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472"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472"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472"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472"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Large Accelerated Filer T</w:t>
            </w:r>
          </w:p>
        </w:tc>
        <w:tc>
          <w:tcPr>
            <w:tcW w:w="250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30"/>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Non-Accelerated Filer £</w:t>
            </w:r>
          </w:p>
        </w:tc>
        <w:tc>
          <w:tcPr>
            <w:tcW w:w="2500" w:type="dxa"/>
            <w:vAlign w:val="bottom"/>
          </w:tcPr>
          <w:p>
            <w:pPr>
              <w:jc w:val="right"/>
              <w:spacing w:after="0"/>
              <w:rPr>
                <w:sz w:val="20"/>
                <w:szCs w:val="20"/>
                <w:color w:val="auto"/>
              </w:rPr>
            </w:pPr>
            <w:r>
              <w:rPr>
                <w:rFonts w:ascii="Arial" w:cs="Arial" w:eastAsia="Arial" w:hAnsi="Arial"/>
                <w:sz w:val="18"/>
                <w:szCs w:val="18"/>
                <w:color w:val="auto"/>
              </w:rPr>
              <w:t>Smaller Reporting Company £</w:t>
            </w:r>
          </w:p>
        </w:tc>
      </w:tr>
      <w:tr>
        <w:trPr>
          <w:trHeight w:val="445"/>
        </w:trPr>
        <w:tc>
          <w:tcPr>
            <w:tcW w:w="8920" w:type="dxa"/>
            <w:vAlign w:val="bottom"/>
          </w:tcPr>
          <w:p>
            <w:pPr>
              <w:jc w:val="right"/>
              <w:ind w:right="3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 Yes</w:t>
            </w:r>
          </w:p>
        </w:tc>
        <w:tc>
          <w:tcPr>
            <w:tcW w:w="2500" w:type="dxa"/>
            <w:vAlign w:val="bottom"/>
          </w:tcPr>
          <w:p>
            <w:pPr>
              <w:jc w:val="right"/>
              <w:ind w:right="1930"/>
              <w:spacing w:after="0"/>
              <w:rPr>
                <w:sz w:val="20"/>
                <w:szCs w:val="20"/>
                <w:color w:val="auto"/>
              </w:rPr>
            </w:pPr>
            <w:r>
              <w:rPr>
                <w:rFonts w:ascii="Arial" w:cs="Arial" w:eastAsia="Arial" w:hAnsi="Arial"/>
                <w:sz w:val="18"/>
                <w:szCs w:val="18"/>
                <w:color w:val="auto"/>
              </w:rPr>
              <w:t>T No</w:t>
            </w: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90"/>
              </w:rPr>
              <w:t>Common Stock, no par value,</w:t>
            </w:r>
          </w:p>
        </w:tc>
        <w:tc>
          <w:tcPr>
            <w:tcW w:w="2500" w:type="dxa"/>
            <w:vAlign w:val="bottom"/>
          </w:tcPr>
          <w:p>
            <w:pPr>
              <w:spacing w:after="0"/>
              <w:rPr>
                <w:sz w:val="18"/>
                <w:szCs w:val="18"/>
                <w:color w:val="auto"/>
              </w:rPr>
            </w:pP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88"/>
              </w:rPr>
              <w:t>33,165,963 shares outstanding</w:t>
            </w:r>
          </w:p>
        </w:tc>
        <w:tc>
          <w:tcPr>
            <w:tcW w:w="2500" w:type="dxa"/>
            <w:vAlign w:val="bottom"/>
          </w:tcPr>
          <w:p>
            <w:pPr>
              <w:spacing w:after="0"/>
              <w:rPr>
                <w:sz w:val="18"/>
                <w:szCs w:val="18"/>
                <w:color w:val="auto"/>
              </w:rPr>
            </w:pPr>
          </w:p>
        </w:tc>
      </w:tr>
      <w:tr>
        <w:trPr>
          <w:trHeight w:val="230"/>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91"/>
              </w:rPr>
              <w:t>as of March 31, 2009</w:t>
            </w:r>
          </w:p>
        </w:tc>
        <w:tc>
          <w:tcPr>
            <w:tcW w:w="2500" w:type="dxa"/>
            <w:vAlign w:val="bottom"/>
          </w:tcPr>
          <w:p>
            <w:pPr>
              <w:spacing w:after="0"/>
              <w:rPr>
                <w:sz w:val="20"/>
                <w:szCs w:val="20"/>
                <w:color w:val="auto"/>
              </w:rPr>
            </w:pPr>
          </w:p>
        </w:tc>
      </w:tr>
      <w:tr>
        <w:trPr>
          <w:trHeight w:val="659"/>
        </w:trPr>
        <w:tc>
          <w:tcPr>
            <w:tcW w:w="89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gridSpan w:val="8"/>
          </w:tcPr>
          <w:p>
            <w:pPr>
              <w:ind w:left="460"/>
              <w:spacing w:after="0"/>
              <w:rPr>
                <w:sz w:val="20"/>
                <w:szCs w:val="20"/>
                <w:color w:val="auto"/>
              </w:rPr>
            </w:pPr>
            <w:r>
              <w:rPr>
                <w:rFonts w:ascii="Arial" w:cs="Arial" w:eastAsia="Arial" w:hAnsi="Arial"/>
                <w:sz w:val="18"/>
                <w:szCs w:val="18"/>
                <w:b w:val="1"/>
                <w:bCs w:val="1"/>
                <w:color w:val="auto"/>
              </w:rPr>
              <w:t>INDEX</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Definitions</w:t>
              </w:r>
            </w:hyperlink>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00" w:type="dxa"/>
            <w:vAlign w:val="bottom"/>
            <w:gridSpan w:val="3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Safe Harbor Statement Under the Private Securities Litigation Reform Act of 1995</w:t>
              </w:r>
            </w:hyperlink>
          </w:p>
        </w:tc>
        <w:tc>
          <w:tcPr>
            <w:tcW w:w="23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740" w:type="dxa"/>
            <w:vAlign w:val="bottom"/>
            <w:gridSpan w:val="2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800" w:type="dxa"/>
            <w:vAlign w:val="bottom"/>
            <w:gridSpan w:val="23"/>
            <w:shd w:val="clear" w:color="auto" w:fill="CCEEFF"/>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w:t>
              </w:r>
            </w:hyperlink>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740" w:type="dxa"/>
            <w:vAlign w:val="bottom"/>
            <w:gridSpan w:val="2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 -</w:t>
              </w:r>
            </w:hyperlink>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0" w:type="dxa"/>
            <w:vAlign w:val="bottom"/>
            <w:gridSpan w:val="23"/>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March 31, 2009 and December 31, 2008</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40" w:type="dxa"/>
            <w:vAlign w:val="bottom"/>
            <w:gridSpan w:val="2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Income -</w:t>
              </w:r>
            </w:hyperlink>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0" w:type="dxa"/>
            <w:vAlign w:val="bottom"/>
            <w:gridSpan w:val="23"/>
            <w:shd w:val="clear" w:color="auto" w:fill="CCEEFF"/>
          </w:tcPr>
          <w:p>
            <w:pPr>
              <w:ind w:left="3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Quarter Ended March 31, 2009 and 2008</w:t>
              </w:r>
            </w:hyperlink>
          </w:p>
        </w:tc>
        <w:tc>
          <w:tcPr>
            <w:tcW w:w="23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Cash Flows -</w:t>
              </w:r>
            </w:hyperlink>
          </w:p>
        </w:tc>
        <w:tc>
          <w:tcPr>
            <w:tcW w:w="4820" w:type="dxa"/>
            <w:vAlign w:val="bottom"/>
            <w:tcBorders>
              <w:bottom w:val="single" w:sz="8" w:color="CCEEFF"/>
            </w:tcBorders>
            <w:gridSpan w:val="12"/>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0" w:type="dxa"/>
            <w:vAlign w:val="bottom"/>
            <w:gridSpan w:val="23"/>
          </w:tcPr>
          <w:p>
            <w:pPr>
              <w:ind w:left="3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Quarter Ended March 31, 2009 and 2008</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40" w:type="dxa"/>
            <w:vAlign w:val="bottom"/>
            <w:gridSpan w:val="2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Borders>
              <w:bottom w:val="single" w:sz="8" w:color="0000EE"/>
            </w:tcBorders>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4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4560" w:type="dxa"/>
            <w:vAlign w:val="bottom"/>
            <w:tcBorders>
              <w:bottom w:val="single" w:sz="8" w:color="0000EE"/>
            </w:tcBorders>
            <w:gridSpan w:val="21"/>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Management’s Discussion and Analysis of Financial Condition</w:t>
              </w:r>
            </w:hyperlink>
          </w:p>
        </w:tc>
        <w:tc>
          <w:tcPr>
            <w:tcW w:w="1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0" w:type="dxa"/>
            <w:vAlign w:val="bottom"/>
            <w:gridSpan w:val="23"/>
          </w:tcPr>
          <w:p>
            <w:pPr>
              <w:ind w:left="30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and Results of Operations</w:t>
              </w:r>
            </w:hyperlink>
          </w:p>
        </w:tc>
        <w:tc>
          <w:tcPr>
            <w:tcW w:w="2320" w:type="dxa"/>
            <w:vAlign w:val="bottom"/>
            <w:gridSpan w:val="4"/>
          </w:tcPr>
          <w:p>
            <w:pPr>
              <w:jc w:val="right"/>
              <w:ind w:right="2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7740" w:type="dxa"/>
            <w:vAlign w:val="bottom"/>
            <w:gridSpan w:val="2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6800" w:type="dxa"/>
            <w:vAlign w:val="bottom"/>
            <w:gridSpan w:val="23"/>
          </w:tcPr>
          <w:p>
            <w:pPr>
              <w:ind w:left="3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2300" w:type="dxa"/>
            <w:vAlign w:val="bottom"/>
            <w:gridSpan w:val="3"/>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00" w:type="dxa"/>
            <w:vAlign w:val="bottom"/>
            <w:gridSpan w:val="3"/>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-4535805</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-4535805</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-4124325</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-4124325</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-3712845</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-3712845</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-1791970</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-1791970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-1654810</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28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-1517015</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-1517015</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285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-1242695</wp:posOffset>
            </wp:positionV>
            <wp:extent cx="28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-1242695</wp:posOffset>
            </wp:positionV>
            <wp:extent cx="285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28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-968375</wp:posOffset>
            </wp:positionV>
            <wp:extent cx="28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-968375</wp:posOffset>
            </wp:positionV>
            <wp:extent cx="28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-831215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-145415</wp:posOffset>
            </wp:positionV>
            <wp:extent cx="28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-145415</wp:posOffset>
            </wp:positionV>
            <wp:extent cx="28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-8255</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-8255</wp:posOffset>
            </wp:positionV>
            <wp:extent cx="28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tcPr>
          <w:p>
            <w:pPr>
              <w:ind w:left="720"/>
              <w:spacing w:after="0"/>
              <w:rPr>
                <w:sz w:val="20"/>
                <w:szCs w:val="20"/>
                <w:color w:val="auto"/>
              </w:rPr>
            </w:pPr>
            <w:r>
              <w:rPr>
                <w:rFonts w:ascii="Arial" w:cs="Arial" w:eastAsia="Arial" w:hAnsi="Arial"/>
                <w:sz w:val="18"/>
                <w:szCs w:val="18"/>
                <w:b w:val="1"/>
                <w:bCs w:val="1"/>
                <w:color w:val="auto"/>
              </w:rPr>
              <w:t>Term</w:t>
            </w: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AFUDC</w:t>
            </w:r>
          </w:p>
        </w:tc>
        <w:tc>
          <w:tcPr>
            <w:tcW w:w="87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1"/>
              </w:rPr>
              <w:t>Allowance for Funds Used During Construction – consisting of the cost of both the debt and equity funds used</w:t>
            </w:r>
          </w:p>
        </w:tc>
      </w:tr>
      <w:tr>
        <w:trPr>
          <w:trHeight w:val="230"/>
        </w:trPr>
        <w:tc>
          <w:tcPr>
            <w:tcW w:w="2720" w:type="dxa"/>
            <w:vAlign w:val="bottom"/>
            <w:shd w:val="clear" w:color="auto" w:fill="CCEEFF"/>
          </w:tcPr>
          <w:p>
            <w:pPr>
              <w:spacing w:after="0"/>
              <w:rPr>
                <w:sz w:val="20"/>
                <w:szCs w:val="20"/>
                <w:color w:val="auto"/>
              </w:rPr>
            </w:pP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 finance utility plant additions during construction periods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ALLETE</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Properties, LLC and its subsidiaries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APB</w:t>
            </w:r>
          </w:p>
        </w:tc>
        <w:tc>
          <w:tcPr>
            <w:tcW w:w="8700" w:type="dxa"/>
            <w:vAlign w:val="bottom"/>
          </w:tcPr>
          <w:p>
            <w:pPr>
              <w:ind w:left="720"/>
              <w:spacing w:after="0"/>
              <w:rPr>
                <w:sz w:val="20"/>
                <w:szCs w:val="20"/>
                <w:color w:val="auto"/>
              </w:rPr>
            </w:pPr>
            <w:r>
              <w:rPr>
                <w:rFonts w:ascii="Arial" w:cs="Arial" w:eastAsia="Arial" w:hAnsi="Arial"/>
                <w:sz w:val="18"/>
                <w:szCs w:val="18"/>
                <w:color w:val="auto"/>
              </w:rPr>
              <w:t>Accounting Principles Board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AREA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Arrowhead Regional Emission Abatement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ARS</w:t>
            </w:r>
          </w:p>
        </w:tc>
        <w:tc>
          <w:tcPr>
            <w:tcW w:w="8700" w:type="dxa"/>
            <w:vAlign w:val="bottom"/>
          </w:tcPr>
          <w:p>
            <w:pPr>
              <w:ind w:left="720"/>
              <w:spacing w:after="0"/>
              <w:rPr>
                <w:sz w:val="20"/>
                <w:szCs w:val="20"/>
                <w:color w:val="auto"/>
              </w:rPr>
            </w:pPr>
            <w:r>
              <w:rPr>
                <w:rFonts w:ascii="Arial" w:cs="Arial" w:eastAsia="Arial" w:hAnsi="Arial"/>
                <w:sz w:val="18"/>
                <w:szCs w:val="18"/>
                <w:color w:val="auto"/>
              </w:rPr>
              <w:t>Auction Rate Securities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American Transmission Company LLC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BNI Coal</w:t>
            </w:r>
          </w:p>
        </w:tc>
        <w:tc>
          <w:tcPr>
            <w:tcW w:w="8700" w:type="dxa"/>
            <w:vAlign w:val="bottom"/>
          </w:tcPr>
          <w:p>
            <w:pPr>
              <w:ind w:left="720"/>
              <w:spacing w:after="0"/>
              <w:rPr>
                <w:sz w:val="20"/>
                <w:szCs w:val="20"/>
                <w:color w:val="auto"/>
              </w:rPr>
            </w:pPr>
            <w:r>
              <w:rPr>
                <w:rFonts w:ascii="Arial" w:cs="Arial" w:eastAsia="Arial" w:hAnsi="Arial"/>
                <w:sz w:val="18"/>
                <w:szCs w:val="18"/>
                <w:color w:val="auto"/>
              </w:rPr>
              <w:t>BNI Coal, Ltd.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BNSF</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BNSF Railway Company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Boswell</w:t>
            </w:r>
          </w:p>
        </w:tc>
        <w:tc>
          <w:tcPr>
            <w:tcW w:w="8700" w:type="dxa"/>
            <w:vAlign w:val="bottom"/>
          </w:tcPr>
          <w:p>
            <w:pPr>
              <w:ind w:left="720"/>
              <w:spacing w:after="0"/>
              <w:rPr>
                <w:sz w:val="20"/>
                <w:szCs w:val="20"/>
                <w:color w:val="auto"/>
              </w:rPr>
            </w:pPr>
            <w:r>
              <w:rPr>
                <w:rFonts w:ascii="Arial" w:cs="Arial" w:eastAsia="Arial" w:hAnsi="Arial"/>
                <w:sz w:val="18"/>
                <w:szCs w:val="18"/>
                <w:color w:val="auto"/>
              </w:rPr>
              <w:t>Boswell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Inc. and its subsidiaries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DC</w:t>
            </w:r>
          </w:p>
        </w:tc>
        <w:tc>
          <w:tcPr>
            <w:tcW w:w="8700" w:type="dxa"/>
            <w:vAlign w:val="bottom"/>
          </w:tcPr>
          <w:p>
            <w:pPr>
              <w:ind w:left="720"/>
              <w:spacing w:after="0"/>
              <w:rPr>
                <w:sz w:val="20"/>
                <w:szCs w:val="20"/>
                <w:color w:val="auto"/>
              </w:rPr>
            </w:pPr>
            <w:r>
              <w:rPr>
                <w:rFonts w:ascii="Arial" w:cs="Arial" w:eastAsia="Arial" w:hAnsi="Arial"/>
                <w:sz w:val="18"/>
                <w:szCs w:val="18"/>
                <w:color w:val="auto"/>
              </w:rPr>
              <w:t>Direct Current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EITF</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Emerging Issues Task Force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EPA</w:t>
            </w:r>
          </w:p>
        </w:tc>
        <w:tc>
          <w:tcPr>
            <w:tcW w:w="8700" w:type="dxa"/>
            <w:vAlign w:val="bottom"/>
          </w:tcPr>
          <w:p>
            <w:pPr>
              <w:ind w:left="72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ESOP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Ownership Plan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FASB</w:t>
            </w:r>
          </w:p>
        </w:tc>
        <w:tc>
          <w:tcPr>
            <w:tcW w:w="8700" w:type="dxa"/>
            <w:vAlign w:val="bottom"/>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Form 10-K</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Annual Report on Form 10-K</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Form 10-Q</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Quarterly Report on Form 10-Q</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FSP</w:t>
            </w:r>
          </w:p>
        </w:tc>
        <w:tc>
          <w:tcPr>
            <w:tcW w:w="8700" w:type="dxa"/>
            <w:vAlign w:val="bottom"/>
          </w:tcPr>
          <w:p>
            <w:pPr>
              <w:ind w:left="720"/>
              <w:spacing w:after="0"/>
              <w:rPr>
                <w:sz w:val="20"/>
                <w:szCs w:val="20"/>
                <w:color w:val="auto"/>
              </w:rPr>
            </w:pPr>
            <w:r>
              <w:rPr>
                <w:rFonts w:ascii="Arial" w:cs="Arial" w:eastAsia="Arial" w:hAnsi="Arial"/>
                <w:sz w:val="18"/>
                <w:szCs w:val="18"/>
                <w:color w:val="auto"/>
              </w:rPr>
              <w:t>FASB Staff Position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GHG</w:t>
            </w:r>
          </w:p>
        </w:tc>
        <w:tc>
          <w:tcPr>
            <w:tcW w:w="8700" w:type="dxa"/>
            <w:vAlign w:val="bottom"/>
          </w:tcPr>
          <w:p>
            <w:pPr>
              <w:ind w:left="720"/>
              <w:spacing w:after="0"/>
              <w:rPr>
                <w:sz w:val="20"/>
                <w:szCs w:val="20"/>
                <w:color w:val="auto"/>
              </w:rPr>
            </w:pPr>
            <w:r>
              <w:rPr>
                <w:rFonts w:ascii="Arial" w:cs="Arial" w:eastAsia="Arial" w:hAnsi="Arial"/>
                <w:sz w:val="18"/>
                <w:szCs w:val="18"/>
                <w:color w:val="auto"/>
              </w:rPr>
              <w:t>Greenhouse Gases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IBEW Local 31</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International Brotherhood of Electrical Workers Local 31</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Invest Direct</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kV</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Kilovolt(s)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Laskin</w:t>
            </w:r>
          </w:p>
        </w:tc>
        <w:tc>
          <w:tcPr>
            <w:tcW w:w="8700" w:type="dxa"/>
            <w:vAlign w:val="bottom"/>
          </w:tcPr>
          <w:p>
            <w:pPr>
              <w:ind w:left="720"/>
              <w:spacing w:after="0"/>
              <w:rPr>
                <w:sz w:val="20"/>
                <w:szCs w:val="20"/>
                <w:color w:val="auto"/>
              </w:rPr>
            </w:pPr>
            <w:r>
              <w:rPr>
                <w:rFonts w:ascii="Arial" w:cs="Arial" w:eastAsia="Arial" w:hAnsi="Arial"/>
                <w:sz w:val="18"/>
                <w:szCs w:val="18"/>
                <w:color w:val="auto"/>
              </w:rPr>
              <w:t>Laskin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 operating division of ALLETE,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Minnkota Power</w:t>
            </w:r>
          </w:p>
        </w:tc>
        <w:tc>
          <w:tcPr>
            <w:tcW w:w="8700" w:type="dxa"/>
            <w:vAlign w:val="bottom"/>
          </w:tcPr>
          <w:p>
            <w:pPr>
              <w:ind w:left="720"/>
              <w:spacing w:after="0"/>
              <w:rPr>
                <w:sz w:val="20"/>
                <w:szCs w:val="20"/>
                <w:color w:val="auto"/>
              </w:rPr>
            </w:pPr>
            <w:r>
              <w:rPr>
                <w:rFonts w:ascii="Arial" w:cs="Arial" w:eastAsia="Arial" w:hAnsi="Arial"/>
                <w:sz w:val="18"/>
                <w:szCs w:val="18"/>
                <w:color w:val="auto"/>
              </w:rPr>
              <w:t>Minnkota Power Cooperative,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MISO</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MPCA</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Pollution Control Agency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MPUC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Minnesota Public Utilities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MW / MWh</w:t>
            </w:r>
          </w:p>
        </w:tc>
        <w:tc>
          <w:tcPr>
            <w:tcW w:w="8700" w:type="dxa"/>
            <w:vAlign w:val="bottom"/>
          </w:tcPr>
          <w:p>
            <w:pPr>
              <w:ind w:left="720"/>
              <w:spacing w:after="0"/>
              <w:rPr>
                <w:sz w:val="20"/>
                <w:szCs w:val="20"/>
                <w:color w:val="auto"/>
              </w:rPr>
            </w:pPr>
            <w:r>
              <w:rPr>
                <w:rFonts w:ascii="Arial" w:cs="Arial" w:eastAsia="Arial" w:hAnsi="Arial"/>
                <w:sz w:val="18"/>
                <w:szCs w:val="18"/>
                <w:color w:val="auto"/>
              </w:rPr>
              <w:t>Megawatt(s) / Megawatt-hour(s)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Non-residential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30"/>
        </w:trPr>
        <w:tc>
          <w:tcPr>
            <w:tcW w:w="2720" w:type="dxa"/>
            <w:vAlign w:val="bottom"/>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8700" w:type="dxa"/>
            <w:vAlign w:val="bottom"/>
          </w:tcPr>
          <w:p>
            <w:pPr>
              <w:ind w:left="720"/>
              <w:spacing w:after="0"/>
              <w:rPr>
                <w:sz w:val="20"/>
                <w:szCs w:val="20"/>
                <w:color w:val="auto"/>
              </w:rPr>
            </w:pPr>
            <w:r>
              <w:rPr>
                <w:rFonts w:ascii="Arial" w:cs="Arial" w:eastAsia="Arial" w:hAnsi="Arial"/>
                <w:sz w:val="18"/>
                <w:szCs w:val="18"/>
                <w:color w:val="auto"/>
              </w:rPr>
              <w:t>Nitrogen Oxide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Note ___</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Oliver Wind I</w:t>
            </w:r>
          </w:p>
        </w:tc>
        <w:tc>
          <w:tcPr>
            <w:tcW w:w="8700" w:type="dxa"/>
            <w:vAlign w:val="bottom"/>
          </w:tcPr>
          <w:p>
            <w:pPr>
              <w:ind w:left="720"/>
              <w:spacing w:after="0"/>
              <w:rPr>
                <w:sz w:val="20"/>
                <w:szCs w:val="20"/>
                <w:color w:val="auto"/>
              </w:rPr>
            </w:pPr>
            <w:r>
              <w:rPr>
                <w:rFonts w:ascii="Arial" w:cs="Arial" w:eastAsia="Arial" w:hAnsi="Arial"/>
                <w:sz w:val="18"/>
                <w:szCs w:val="18"/>
                <w:color w:val="auto"/>
              </w:rPr>
              <w:t>Oliver Wind I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Oliver Wind II Energy Center</w:t>
            </w:r>
          </w:p>
        </w:tc>
      </w:tr>
      <w:tr>
        <w:trPr>
          <w:trHeight w:val="377"/>
        </w:trPr>
        <w:tc>
          <w:tcPr>
            <w:tcW w:w="2720" w:type="dxa"/>
            <w:vAlign w:val="bottom"/>
          </w:tcPr>
          <w:p>
            <w:pPr>
              <w:spacing w:after="0"/>
              <w:rPr>
                <w:sz w:val="24"/>
                <w:szCs w:val="24"/>
                <w:color w:val="auto"/>
              </w:rPr>
            </w:pPr>
          </w:p>
        </w:tc>
        <w:tc>
          <w:tcPr>
            <w:tcW w:w="8700" w:type="dxa"/>
            <w:vAlign w:val="bottom"/>
          </w:tcPr>
          <w:p>
            <w:pPr>
              <w:ind w:left="1840"/>
              <w:spacing w:after="0"/>
              <w:rPr>
                <w:sz w:val="20"/>
                <w:szCs w:val="20"/>
                <w:color w:val="auto"/>
              </w:rPr>
            </w:pPr>
            <w:r>
              <w:rPr>
                <w:rFonts w:ascii="Arial" w:cs="Arial" w:eastAsia="Arial" w:hAnsi="Arial"/>
                <w:sz w:val="14"/>
                <w:szCs w:val="14"/>
                <w:color w:val="auto"/>
              </w:rPr>
              <w:t>ALLETE First Quarter 2009 Form 10-Q</w:t>
            </w:r>
          </w:p>
        </w:tc>
      </w:tr>
      <w:tr>
        <w:trPr>
          <w:trHeight w:val="230"/>
        </w:trPr>
        <w:tc>
          <w:tcPr>
            <w:tcW w:w="2720" w:type="dxa"/>
            <w:vAlign w:val="bottom"/>
          </w:tcPr>
          <w:p>
            <w:pPr>
              <w:spacing w:after="0"/>
              <w:rPr>
                <w:sz w:val="20"/>
                <w:szCs w:val="20"/>
                <w:color w:val="auto"/>
              </w:rPr>
            </w:pPr>
          </w:p>
        </w:tc>
        <w:tc>
          <w:tcPr>
            <w:tcW w:w="8700" w:type="dxa"/>
            <w:vAlign w:val="bottom"/>
          </w:tcPr>
          <w:p>
            <w:pPr>
              <w:ind w:left="8620"/>
              <w:spacing w:after="0"/>
              <w:rPr>
                <w:sz w:val="20"/>
                <w:szCs w:val="20"/>
                <w:color w:val="auto"/>
              </w:rPr>
            </w:pPr>
            <w:r>
              <w:rPr>
                <w:rFonts w:ascii="Arial" w:cs="Arial" w:eastAsia="Arial" w:hAnsi="Arial"/>
                <w:sz w:val="15"/>
                <w:szCs w:val="15"/>
                <w:color w:val="auto"/>
                <w:w w:val="71"/>
              </w:rPr>
              <w:t>3</w:t>
            </w:r>
          </w:p>
        </w:tc>
      </w:tr>
      <w:tr>
        <w:trPr>
          <w:trHeight w:val="118"/>
        </w:trPr>
        <w:tc>
          <w:tcPr>
            <w:tcW w:w="2720" w:type="dxa"/>
            <w:vAlign w:val="bottom"/>
            <w:tcBorders>
              <w:bottom w:val="single" w:sz="8" w:color="808080"/>
            </w:tcBorders>
          </w:tcPr>
          <w:p>
            <w:pPr>
              <w:spacing w:after="0"/>
              <w:rPr>
                <w:sz w:val="10"/>
                <w:szCs w:val="10"/>
                <w:color w:val="auto"/>
              </w:rPr>
            </w:pPr>
          </w:p>
        </w:tc>
        <w:tc>
          <w:tcPr>
            <w:tcW w:w="8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700" w:type="dxa"/>
            <w:vAlign w:val="bottom"/>
          </w:tcPr>
          <w:p>
            <w:pPr>
              <w:ind w:left="2080"/>
              <w:spacing w:after="0"/>
              <w:rPr>
                <w:sz w:val="20"/>
                <w:szCs w:val="20"/>
                <w:color w:val="auto"/>
              </w:rPr>
            </w:pPr>
            <w:r>
              <w:rPr>
                <w:rFonts w:ascii="Arial" w:cs="Arial" w:eastAsia="Arial" w:hAnsi="Arial"/>
                <w:sz w:val="18"/>
                <w:szCs w:val="18"/>
                <w:b w:val="1"/>
                <w:bCs w:val="1"/>
                <w:color w:val="auto"/>
              </w:rPr>
              <w:t>Definitions (Continued)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Term</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Palm Coast Park</w:t>
            </w:r>
          </w:p>
        </w:tc>
        <w:tc>
          <w:tcPr>
            <w:tcW w:w="8700" w:type="dxa"/>
            <w:vAlign w:val="bottom"/>
          </w:tcPr>
          <w:p>
            <w:pPr>
              <w:ind w:left="720"/>
              <w:spacing w:after="0"/>
              <w:rPr>
                <w:sz w:val="20"/>
                <w:szCs w:val="20"/>
                <w:color w:val="auto"/>
              </w:rPr>
            </w:pPr>
            <w:r>
              <w:rPr>
                <w:rFonts w:ascii="Arial" w:cs="Arial" w:eastAsia="Arial" w:hAnsi="Arial"/>
                <w:sz w:val="18"/>
                <w:szCs w:val="18"/>
                <w:color w:val="auto"/>
              </w:rPr>
              <w:t>Palm Coast Park development project in Florida</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 District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Palm Coast Park Community Development District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PSCW</w:t>
            </w:r>
          </w:p>
        </w:tc>
        <w:tc>
          <w:tcPr>
            <w:tcW w:w="8700" w:type="dxa"/>
            <w:vAlign w:val="bottom"/>
          </w:tcPr>
          <w:p>
            <w:pPr>
              <w:ind w:left="720"/>
              <w:spacing w:after="0"/>
              <w:rPr>
                <w:sz w:val="20"/>
                <w:szCs w:val="20"/>
                <w:color w:val="auto"/>
              </w:rPr>
            </w:pPr>
            <w:r>
              <w:rPr>
                <w:rFonts w:ascii="Arial" w:cs="Arial" w:eastAsia="Arial" w:hAnsi="Arial"/>
                <w:sz w:val="18"/>
                <w:szCs w:val="18"/>
                <w:color w:val="auto"/>
              </w:rPr>
              <w:t>Public Service Commission of Wisconsin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Rainy River Energy</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Rainy River Energy Corporation - Wisconsin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SEC</w:t>
            </w:r>
          </w:p>
        </w:tc>
        <w:tc>
          <w:tcPr>
            <w:tcW w:w="8700" w:type="dxa"/>
            <w:vAlign w:val="bottom"/>
          </w:tcPr>
          <w:p>
            <w:pPr>
              <w:ind w:left="72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SFAS</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Statement of Financial Accounting Standards No.</w:t>
            </w:r>
          </w:p>
        </w:tc>
      </w:tr>
      <w:tr>
        <w:trPr>
          <w:trHeight w:val="230"/>
        </w:trPr>
        <w:tc>
          <w:tcPr>
            <w:tcW w:w="2720" w:type="dxa"/>
            <w:vAlign w:val="bottom"/>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5"/>
                <w:szCs w:val="25"/>
                <w:color w:val="auto"/>
                <w:vertAlign w:val="subscript"/>
              </w:rPr>
              <w:t>2</w:t>
            </w:r>
          </w:p>
        </w:tc>
        <w:tc>
          <w:tcPr>
            <w:tcW w:w="8700" w:type="dxa"/>
            <w:vAlign w:val="bottom"/>
          </w:tcPr>
          <w:p>
            <w:pPr>
              <w:ind w:left="720"/>
              <w:spacing w:after="0"/>
              <w:rPr>
                <w:sz w:val="20"/>
                <w:szCs w:val="20"/>
                <w:color w:val="auto"/>
              </w:rPr>
            </w:pPr>
            <w:r>
              <w:rPr>
                <w:rFonts w:ascii="Arial" w:cs="Arial" w:eastAsia="Arial" w:hAnsi="Arial"/>
                <w:sz w:val="18"/>
                <w:szCs w:val="18"/>
                <w:color w:val="auto"/>
              </w:rPr>
              <w:t>Sulfur Dioxide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Square Butte</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Square Butte Electric Cooperative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SWL&amp;P</w:t>
            </w:r>
          </w:p>
        </w:tc>
        <w:tc>
          <w:tcPr>
            <w:tcW w:w="8700" w:type="dxa"/>
            <w:vAlign w:val="bottom"/>
          </w:tcPr>
          <w:p>
            <w:pPr>
              <w:ind w:left="720"/>
              <w:spacing w:after="0"/>
              <w:rPr>
                <w:sz w:val="20"/>
                <w:szCs w:val="20"/>
                <w:color w:val="auto"/>
              </w:rPr>
            </w:pPr>
            <w:r>
              <w:rPr>
                <w:rFonts w:ascii="Arial" w:cs="Arial" w:eastAsia="Arial" w:hAnsi="Arial"/>
                <w:sz w:val="18"/>
                <w:szCs w:val="18"/>
                <w:color w:val="auto"/>
              </w:rPr>
              <w:t>Superior Water, Light and Power Company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Taconite Harbor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Town Center</w:t>
            </w:r>
          </w:p>
        </w:tc>
        <w:tc>
          <w:tcPr>
            <w:tcW w:w="8700" w:type="dxa"/>
            <w:vAlign w:val="bottom"/>
          </w:tcPr>
          <w:p>
            <w:pPr>
              <w:ind w:left="72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WDNR</w:t>
            </w:r>
          </w:p>
        </w:tc>
        <w:tc>
          <w:tcPr>
            <w:tcW w:w="8700" w:type="dxa"/>
            <w:vAlign w:val="bottom"/>
          </w:tcPr>
          <w:p>
            <w:pPr>
              <w:ind w:left="720"/>
              <w:spacing w:after="0"/>
              <w:rPr>
                <w:sz w:val="20"/>
                <w:szCs w:val="20"/>
                <w:color w:val="auto"/>
              </w:rPr>
            </w:pPr>
            <w:r>
              <w:rPr>
                <w:rFonts w:ascii="Arial" w:cs="Arial" w:eastAsia="Arial" w:hAnsi="Arial"/>
                <w:sz w:val="18"/>
                <w:szCs w:val="18"/>
                <w:color w:val="auto"/>
              </w:rPr>
              <w:t>Wisconsin Department of Natural Resources</w:t>
            </w:r>
          </w:p>
        </w:tc>
      </w:tr>
      <w:tr>
        <w:trPr>
          <w:trHeight w:val="392"/>
        </w:trPr>
        <w:tc>
          <w:tcPr>
            <w:tcW w:w="2720" w:type="dxa"/>
            <w:vAlign w:val="bottom"/>
          </w:tcPr>
          <w:p>
            <w:pPr>
              <w:spacing w:after="0"/>
              <w:rPr>
                <w:sz w:val="24"/>
                <w:szCs w:val="24"/>
                <w:color w:val="auto"/>
              </w:rPr>
            </w:pPr>
          </w:p>
        </w:tc>
        <w:tc>
          <w:tcPr>
            <w:tcW w:w="8700" w:type="dxa"/>
            <w:vAlign w:val="bottom"/>
          </w:tcPr>
          <w:p>
            <w:pPr>
              <w:ind w:left="1840"/>
              <w:spacing w:after="0"/>
              <w:rPr>
                <w:sz w:val="20"/>
                <w:szCs w:val="20"/>
                <w:color w:val="auto"/>
              </w:rPr>
            </w:pPr>
            <w:r>
              <w:rPr>
                <w:rFonts w:ascii="Arial" w:cs="Arial" w:eastAsia="Arial" w:hAnsi="Arial"/>
                <w:sz w:val="14"/>
                <w:szCs w:val="14"/>
                <w:color w:val="auto"/>
              </w:rPr>
              <w:t>ALLETE First Quarter 2009 Form 10-Q</w:t>
            </w: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15"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jc w:val="both"/>
        <w:ind w:left="820" w:hanging="812"/>
        <w:spacing w:after="0" w:line="265"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operating expenses</w:t>
      </w:r>
      <w:r>
        <w:rPr>
          <w:rFonts w:ascii="Arial" w:cs="Arial" w:eastAsia="Arial" w:hAnsi="Arial"/>
          <w:sz w:val="18"/>
          <w:szCs w:val="18"/>
          <w:b w:val="1"/>
          <w:bCs w:val="1"/>
          <w:color w:val="auto"/>
        </w:rPr>
        <w:t>,</w:t>
      </w:r>
      <w:r>
        <w:rPr>
          <w:rFonts w:ascii="Arial" w:cs="Arial" w:eastAsia="Arial" w:hAnsi="Arial"/>
          <w:sz w:val="18"/>
          <w:szCs w:val="18"/>
          <w:color w:val="auto"/>
        </w:rPr>
        <w:t xml:space="preserve"> capital and land development expenditures;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w:t>
      </w:r>
    </w:p>
    <w:p>
      <w:pPr>
        <w:spacing w:after="0" w:line="20"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ALLETE.</w:t>
      </w: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20 of our 2008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82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March</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p>
        </w:tc>
        <w:tc>
          <w:tcPr>
            <w:tcW w:w="2900" w:type="dxa"/>
            <w:vAlign w:val="bottom"/>
            <w:shd w:val="clear" w:color="auto" w:fill="CCEEFF"/>
          </w:tcPr>
          <w:p>
            <w:pPr>
              <w:jc w:val="right"/>
              <w:ind w:right="1310"/>
              <w:spacing w:after="0"/>
              <w:rPr>
                <w:sz w:val="20"/>
                <w:szCs w:val="20"/>
                <w:color w:val="auto"/>
              </w:rPr>
            </w:pPr>
            <w:r>
              <w:rPr>
                <w:rFonts w:ascii="Arial" w:cs="Arial" w:eastAsia="Arial" w:hAnsi="Arial"/>
                <w:sz w:val="18"/>
                <w:szCs w:val="18"/>
                <w:b w:val="1"/>
                <w:bCs w:val="1"/>
                <w:color w:val="auto"/>
              </w:rPr>
              <w:t>31,</w:t>
            </w:r>
          </w:p>
        </w:tc>
        <w:tc>
          <w:tcPr>
            <w:tcW w:w="174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$98.0</w:t>
            </w:r>
          </w:p>
        </w:tc>
        <w:tc>
          <w:tcPr>
            <w:tcW w:w="1740" w:type="dxa"/>
            <w:vAlign w:val="bottom"/>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of $0.7 at March 31, 2009</w:t>
            </w: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20"/>
              <w:spacing w:after="0"/>
              <w:rPr>
                <w:sz w:val="20"/>
                <w:szCs w:val="20"/>
                <w:color w:val="auto"/>
              </w:rPr>
            </w:pPr>
            <w:r>
              <w:rPr>
                <w:rFonts w:ascii="Arial" w:cs="Arial" w:eastAsia="Arial" w:hAnsi="Arial"/>
                <w:sz w:val="18"/>
                <w:szCs w:val="18"/>
                <w:color w:val="auto"/>
              </w:rPr>
              <w:t>and $0.7 at December 31, 2008)</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76.4</w:t>
            </w:r>
          </w:p>
        </w:tc>
        <w:tc>
          <w:tcPr>
            <w:tcW w:w="1740" w:type="dxa"/>
            <w:vAlign w:val="bottom"/>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49.8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Prepayments and Other</w:t>
            </w: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19.7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243.9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1,435.2</w:t>
            </w:r>
          </w:p>
        </w:tc>
        <w:tc>
          <w:tcPr>
            <w:tcW w:w="1740" w:type="dxa"/>
            <w:vAlign w:val="bottom"/>
          </w:tcPr>
          <w:p>
            <w:pPr>
              <w:jc w:val="right"/>
              <w:spacing w:after="0"/>
              <w:rPr>
                <w:sz w:val="20"/>
                <w:szCs w:val="20"/>
                <w:color w:val="auto"/>
              </w:rPr>
            </w:pPr>
            <w:r>
              <w:rPr>
                <w:rFonts w:ascii="Arial" w:cs="Arial" w:eastAsia="Arial" w:hAnsi="Arial"/>
                <w:sz w:val="18"/>
                <w:szCs w:val="18"/>
                <w:color w:val="auto"/>
              </w:rPr>
              <w:t>1,387.3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ATC</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79.7</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Investments</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127.3</w:t>
            </w:r>
          </w:p>
        </w:tc>
        <w:tc>
          <w:tcPr>
            <w:tcW w:w="1740" w:type="dxa"/>
            <w:vAlign w:val="bottom"/>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9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282.8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$2,168.9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Accrued Taxes</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17.7</w:t>
            </w:r>
          </w:p>
        </w:tc>
        <w:tc>
          <w:tcPr>
            <w:tcW w:w="17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Long-Term Debt Due Within One Year</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14.0</w:t>
            </w:r>
          </w:p>
        </w:tc>
        <w:tc>
          <w:tcPr>
            <w:tcW w:w="17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37.7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137.3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627.1</w:t>
            </w:r>
          </w:p>
        </w:tc>
        <w:tc>
          <w:tcPr>
            <w:tcW w:w="1740" w:type="dxa"/>
            <w:vAlign w:val="bottom"/>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363.9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1,310.5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9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ALLETE’s Equity</w:t>
            </w:r>
          </w:p>
        </w:tc>
        <w:tc>
          <w:tcPr>
            <w:tcW w:w="2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Without Par Value, 43.3 Shares Authorized, 33.2 and 32.6</w:t>
            </w:r>
          </w:p>
        </w:tc>
        <w:tc>
          <w:tcPr>
            <w:tcW w:w="29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500"/>
              <w:spacing w:after="0"/>
              <w:rPr>
                <w:sz w:val="20"/>
                <w:szCs w:val="20"/>
                <w:color w:val="auto"/>
              </w:rPr>
            </w:pPr>
            <w:r>
              <w:rPr>
                <w:rFonts w:ascii="Arial" w:cs="Arial" w:eastAsia="Arial" w:hAnsi="Arial"/>
                <w:sz w:val="18"/>
                <w:szCs w:val="18"/>
                <w:color w:val="auto"/>
              </w:rPr>
              <w:t>Shares Outstanding</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549.5</w:t>
            </w:r>
          </w:p>
        </w:tc>
        <w:tc>
          <w:tcPr>
            <w:tcW w:w="1740" w:type="dxa"/>
            <w:vAlign w:val="bottom"/>
          </w:tcPr>
          <w:p>
            <w:pPr>
              <w:jc w:val="right"/>
              <w:spacing w:after="0"/>
              <w:rPr>
                <w:sz w:val="20"/>
                <w:szCs w:val="20"/>
                <w:color w:val="auto"/>
              </w:rPr>
            </w:pPr>
            <w:r>
              <w:rPr>
                <w:rFonts w:ascii="Arial" w:cs="Arial" w:eastAsia="Arial" w:hAnsi="Arial"/>
                <w:sz w:val="18"/>
                <w:szCs w:val="18"/>
                <w:color w:val="auto"/>
              </w:rPr>
              <w:t>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ESOP Shares</w:t>
            </w:r>
          </w:p>
        </w:tc>
        <w:tc>
          <w:tcPr>
            <w:tcW w:w="2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(33.6)</w:t>
            </w:r>
          </w:p>
        </w:tc>
        <w:tc>
          <w:tcPr>
            <w:tcW w:w="174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9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384.1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Total ALLETE’s Equity</w:t>
            </w:r>
          </w:p>
        </w:tc>
        <w:tc>
          <w:tcPr>
            <w:tcW w:w="2900" w:type="dxa"/>
            <w:vAlign w:val="bottom"/>
          </w:tcPr>
          <w:p>
            <w:pPr>
              <w:jc w:val="right"/>
              <w:ind w:right="430"/>
              <w:spacing w:after="0"/>
              <w:rPr>
                <w:sz w:val="20"/>
                <w:szCs w:val="20"/>
                <w:color w:val="auto"/>
              </w:rPr>
            </w:pPr>
            <w:r>
              <w:rPr>
                <w:rFonts w:ascii="Arial" w:cs="Arial" w:eastAsia="Arial" w:hAnsi="Arial"/>
                <w:sz w:val="18"/>
                <w:szCs w:val="18"/>
                <w:color w:val="auto"/>
              </w:rPr>
              <w:t>848.7</w:t>
            </w:r>
          </w:p>
        </w:tc>
        <w:tc>
          <w:tcPr>
            <w:tcW w:w="1740" w:type="dxa"/>
            <w:vAlign w:val="bottom"/>
          </w:tcPr>
          <w:p>
            <w:pPr>
              <w:jc w:val="right"/>
              <w:spacing w:after="0"/>
              <w:rPr>
                <w:sz w:val="20"/>
                <w:szCs w:val="20"/>
                <w:color w:val="auto"/>
              </w:rPr>
            </w:pPr>
            <w:r>
              <w:rPr>
                <w:rFonts w:ascii="Arial" w:cs="Arial" w:eastAsia="Arial" w:hAnsi="Arial"/>
                <w:sz w:val="18"/>
                <w:szCs w:val="18"/>
                <w:color w:val="auto"/>
              </w:rPr>
              <w:t>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 in Subsidiaries</w:t>
            </w:r>
          </w:p>
        </w:tc>
        <w:tc>
          <w:tcPr>
            <w:tcW w:w="29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9.7</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Equity</w:t>
            </w: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858.4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9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$2,168.9</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center"/>
        <w:ind w:left="9440"/>
        <w:spacing w:after="0"/>
        <w:rPr>
          <w:sz w:val="20"/>
          <w:szCs w:val="20"/>
          <w:color w:val="auto"/>
        </w:rPr>
      </w:pPr>
      <w:r>
        <w:rPr>
          <w:rFonts w:ascii="Arial" w:cs="Arial" w:eastAsia="Arial" w:hAnsi="Arial"/>
          <w:sz w:val="18"/>
          <w:szCs w:val="18"/>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040" w:type="dxa"/>
            <w:vAlign w:val="bottom"/>
            <w:tcBorders>
              <w:bottom w:val="single" w:sz="8" w:color="auto"/>
            </w:tcBorders>
            <w:shd w:val="clear" w:color="auto" w:fill="CCEEFF"/>
          </w:tcPr>
          <w:p>
            <w:pPr>
              <w:spacing w:after="0"/>
              <w:rPr>
                <w:sz w:val="18"/>
                <w:szCs w:val="18"/>
                <w:color w:val="auto"/>
              </w:rPr>
            </w:pPr>
          </w:p>
        </w:tc>
        <w:tc>
          <w:tcPr>
            <w:tcW w:w="3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Operating Revenue</w:t>
            </w:r>
          </w:p>
        </w:tc>
        <w:tc>
          <w:tcPr>
            <w:tcW w:w="3540" w:type="dxa"/>
            <w:vAlign w:val="bottom"/>
          </w:tcPr>
          <w:p>
            <w:pPr>
              <w:jc w:val="right"/>
              <w:ind w:right="70"/>
              <w:spacing w:after="0"/>
              <w:rPr>
                <w:sz w:val="20"/>
                <w:szCs w:val="20"/>
                <w:color w:val="auto"/>
              </w:rPr>
            </w:pPr>
            <w:r>
              <w:rPr>
                <w:rFonts w:ascii="Arial" w:cs="Arial" w:eastAsia="Arial" w:hAnsi="Arial"/>
                <w:sz w:val="18"/>
                <w:szCs w:val="18"/>
                <w:color w:val="auto"/>
              </w:rPr>
              <w:t>$204.9</w:t>
            </w:r>
          </w:p>
        </w:tc>
        <w:tc>
          <w:tcPr>
            <w:tcW w:w="820" w:type="dxa"/>
            <w:vAlign w:val="bottom"/>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Prior Year Rate Refunds</w:t>
            </w:r>
          </w:p>
        </w:tc>
        <w:tc>
          <w:tcPr>
            <w:tcW w:w="3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Total Operating Revenue</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and Purchased Power</w:t>
            </w:r>
          </w:p>
        </w:tc>
        <w:tc>
          <w:tcPr>
            <w:tcW w:w="3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Operating and Maintenance</w:t>
            </w:r>
          </w:p>
        </w:tc>
        <w:tc>
          <w:tcPr>
            <w:tcW w:w="3540" w:type="dxa"/>
            <w:vAlign w:val="bottom"/>
          </w:tcPr>
          <w:p>
            <w:pPr>
              <w:jc w:val="right"/>
              <w:ind w:right="70"/>
              <w:spacing w:after="0"/>
              <w:rPr>
                <w:sz w:val="20"/>
                <w:szCs w:val="20"/>
                <w:color w:val="auto"/>
              </w:rPr>
            </w:pPr>
            <w:r>
              <w:rPr>
                <w:rFonts w:ascii="Arial" w:cs="Arial" w:eastAsia="Arial" w:hAnsi="Arial"/>
                <w:sz w:val="18"/>
                <w:szCs w:val="18"/>
                <w:color w:val="auto"/>
              </w:rPr>
              <w:t>80.5</w:t>
            </w: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3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Total Operating Expenses</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Equity Earnings in ATC</w:t>
            </w:r>
          </w:p>
        </w:tc>
        <w:tc>
          <w:tcPr>
            <w:tcW w:w="35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Total Other Income (Expense)</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540" w:type="dxa"/>
            <w:vAlign w:val="bottom"/>
          </w:tcPr>
          <w:p>
            <w:pPr>
              <w:jc w:val="right"/>
              <w:ind w:right="70"/>
              <w:spacing w:after="0"/>
              <w:rPr>
                <w:sz w:val="20"/>
                <w:szCs w:val="20"/>
                <w:color w:val="auto"/>
              </w:rPr>
            </w:pPr>
            <w:r>
              <w:rPr>
                <w:rFonts w:ascii="Arial" w:cs="Arial" w:eastAsia="Arial" w:hAnsi="Arial"/>
                <w:sz w:val="18"/>
                <w:szCs w:val="18"/>
                <w:color w:val="auto"/>
              </w:rPr>
              <w:t>27.7</w:t>
            </w:r>
          </w:p>
        </w:tc>
        <w:tc>
          <w:tcPr>
            <w:tcW w:w="82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3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Diluted</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 of Common Stock</w:t>
            </w:r>
          </w:p>
        </w:tc>
        <w:tc>
          <w:tcPr>
            <w:tcW w:w="3540" w:type="dxa"/>
            <w:vAlign w:val="bottom"/>
          </w:tcPr>
          <w:p>
            <w:pPr>
              <w:jc w:val="right"/>
              <w:ind w:right="70"/>
              <w:spacing w:after="0"/>
              <w:rPr>
                <w:sz w:val="20"/>
                <w:szCs w:val="20"/>
                <w:color w:val="auto"/>
              </w:rPr>
            </w:pPr>
            <w:r>
              <w:rPr>
                <w:rFonts w:ascii="Arial" w:cs="Arial" w:eastAsia="Arial" w:hAnsi="Arial"/>
                <w:sz w:val="18"/>
                <w:szCs w:val="18"/>
                <w:color w:val="auto"/>
              </w:rPr>
              <w:t>$0.55</w:t>
            </w:r>
          </w:p>
        </w:tc>
        <w:tc>
          <w:tcPr>
            <w:tcW w:w="820" w:type="dxa"/>
            <w:vAlign w:val="bottom"/>
          </w:tcPr>
          <w:p>
            <w:pPr>
              <w:jc w:val="right"/>
              <w:spacing w:after="0"/>
              <w:rPr>
                <w:sz w:val="20"/>
                <w:szCs w:val="20"/>
                <w:color w:val="auto"/>
              </w:rPr>
            </w:pPr>
            <w:r>
              <w:rPr>
                <w:rFonts w:ascii="Arial" w:cs="Arial" w:eastAsia="Arial" w:hAnsi="Arial"/>
                <w:sz w:val="18"/>
                <w:szCs w:val="18"/>
                <w:color w:val="auto"/>
              </w:rPr>
              <w:t>$0.82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3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 Unaudited</w:t>
      </w:r>
    </w:p>
    <w:p>
      <w:pPr>
        <w:spacing w:after="0" w:line="9" w:lineRule="exact"/>
        <w:rPr>
          <w:sz w:val="20"/>
          <w:szCs w:val="20"/>
          <w:color w:val="auto"/>
        </w:rPr>
      </w:pPr>
    </w:p>
    <w:p>
      <w:pPr>
        <w:jc w:val="center"/>
        <w:ind w:left="944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center"/>
        <w:ind w:left="9440"/>
        <w:spacing w:after="0"/>
        <w:rPr>
          <w:sz w:val="20"/>
          <w:szCs w:val="20"/>
          <w:color w:val="auto"/>
        </w:rPr>
      </w:pPr>
      <w:r>
        <w:rPr>
          <w:rFonts w:ascii="Arial" w:cs="Arial" w:eastAsia="Arial" w:hAnsi="Arial"/>
          <w:sz w:val="18"/>
          <w:szCs w:val="18"/>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$16.9</w:t>
            </w: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Funds Used During Construction</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Loss (Income) from Equity Investments, Net of Dividends</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Available-for-Sale Securities</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Expense</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Bad Debt Expense</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Prepayments and Other</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Current Liabilities</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3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Cash from Operating Activities</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Available-for-Sale Securities</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Payments for Purchase of Available-for-Sale Securities</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in ATC</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Changes to Other Investments</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Cash for Investing Activities</w:t>
            </w:r>
          </w:p>
        </w:tc>
        <w:tc>
          <w:tcPr>
            <w:tcW w:w="3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Proceeds from Issuance of Common Stock</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Issuance of Long-Term Debt</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Reductions of Long-Term Debt</w:t>
            </w:r>
          </w:p>
        </w:tc>
        <w:tc>
          <w:tcPr>
            <w:tcW w:w="34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Debt Issuance Costs</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Dividends on Common Stock</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Cash from Financing Activities</w:t>
            </w:r>
          </w:p>
        </w:tc>
        <w:tc>
          <w:tcPr>
            <w:tcW w:w="3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3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2008 consolidated balance sheet was derived from audited financial statements but does not include all disclosures required by GAAP. All adjustments are of a normal, recurring nature, except as otherwise disclosed. Certain prior year amounts within operating activities in our consolidated statement of cash flows have been reclassified between line items for comparative purposes. The reclassifications did not affect our net income or cash flows from operating activities. In the opinion of management, the accompanying unaudited consolidated financial statements contain all normal and recurring adjustments necessary to make a fair statement of the consolidated financial position, results of operations and cash flows of ALLETE for the interim periods presented. Operating results for the period ended March 31, 2009, are not necessarily indicative of results that may be expected for any other interim period or for the year ending December 31, 2009. For further information, refer to the consolidated financial statements and notes included in our 2008 Form 10-K and Form 10-K/A.</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Fuel</w:t>
            </w:r>
          </w:p>
        </w:tc>
        <w:tc>
          <w:tcPr>
            <w:tcW w:w="2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Materials and Supplies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Inventories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$49.8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Liabilities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w:t>
            </w:r>
          </w:p>
        </w:tc>
        <w:tc>
          <w:tcPr>
            <w:tcW w:w="2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217.5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Liabilities</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$363.9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2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 Net of Amounts Capitalized</w:t>
            </w:r>
          </w:p>
        </w:tc>
        <w:tc>
          <w:tcPr>
            <w:tcW w:w="2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380" w:type="dxa"/>
            <w:vAlign w:val="bottom"/>
          </w:tcPr>
          <w:p>
            <w:pPr>
              <w:jc w:val="right"/>
              <w:ind w:right="230"/>
              <w:spacing w:after="0"/>
              <w:rPr>
                <w:sz w:val="20"/>
                <w:szCs w:val="20"/>
                <w:color w:val="auto"/>
              </w:rPr>
            </w:pPr>
            <w:r>
              <w:rPr>
                <w:rFonts w:ascii="Arial" w:cs="Arial" w:eastAsia="Arial" w:hAnsi="Arial"/>
                <w:sz w:val="18"/>
                <w:szCs w:val="18"/>
                <w:color w:val="auto"/>
              </w:rPr>
              <w:t>$0.6</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Accounts Payable for Capital Additions to Property Plant and Equipment</w:t>
            </w:r>
          </w:p>
        </w:tc>
        <w:tc>
          <w:tcPr>
            <w:tcW w:w="2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ALLETE Common Stock contributed to the Pension Plan</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New Accounting Standards. </w:t>
      </w:r>
      <w:r>
        <w:rPr>
          <w:rFonts w:ascii="Arial" w:cs="Arial" w:eastAsia="Arial" w:hAnsi="Arial"/>
          <w:sz w:val="18"/>
          <w:szCs w:val="18"/>
          <w:i w:val="1"/>
          <w:iCs w:val="1"/>
          <w:color w:val="auto"/>
        </w:rPr>
        <w:t>FSP FAS 157-2</w:t>
      </w:r>
      <w:r>
        <w:rPr>
          <w:rFonts w:ascii="Arial" w:cs="Arial" w:eastAsia="Arial" w:hAnsi="Arial"/>
          <w:sz w:val="18"/>
          <w:szCs w:val="18"/>
          <w:color w:val="auto"/>
        </w:rPr>
        <w:t>. In February 2008, the FASB issued FSP FAS 157-2, "Effective Date of FASB Statement 157,” which delayed</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SFAS 157 for all nonrecurring fair value measurements of nonfinancial assets and liabilities until fiscal years beginning after November 15, 2008. The implementation of FSP FAS 157-2 did not have a material impact on our consolidated financial position, results of operations or cash flows. (See Note 5. Fair Value.)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SFAS 160. </w:t>
      </w:r>
      <w:r>
        <w:rPr>
          <w:rFonts w:ascii="Arial" w:cs="Arial" w:eastAsia="Arial" w:hAnsi="Arial"/>
          <w:sz w:val="16"/>
          <w:szCs w:val="16"/>
          <w:color w:val="auto"/>
        </w:rPr>
        <w:t>In December 2007, the FASB issued SFAS 160, “Non-controlling Interests in Consolidated Financial Statements – an amendment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Bulletin (ARB) 51,” to improve the relevance, comparability, and transparency of the financial 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SFAS 160 defines a non-controlling interest in a subsidiary as an ownership interest in the consolidated entity that should be reported as equity in the consolidated financial statements. SFAS 160 changes the presentation of the consolidated income statement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SFAS 160 shall be applied prospectively, with the exception of the presentation and disclosure requirements, which shall be applied retrospectively for all periods presented. ALLETE Properties does have certain non-controlling interests in consolidated subsidiaries.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for the quarter ended March 31, 2009, we adopted SFAS 160 which impacted the presentation of our consolidated balance sheet. For the quarter ended March 31, 2009 and 2008, we did not record any non-controlling interest income and therefore have not changed the presentation of our consolidated income statement or statement of cash flows. Both statements and any remaining presentation changes will be updated to conform with SFAS 160 in future periods when non-controlling interest income is recorded.</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SFAS 161. </w:t>
      </w:r>
      <w:r>
        <w:rPr>
          <w:rFonts w:ascii="Arial" w:cs="Arial" w:eastAsia="Arial" w:hAnsi="Arial"/>
          <w:sz w:val="16"/>
          <w:szCs w:val="16"/>
          <w:color w:val="auto"/>
        </w:rPr>
        <w:t>In March 2008, the FASB issued SFAS 161, “Disclosures about Derivative Instruments and Hedging Activities, an amendment of FASB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133” (SFAS 161). SFAS 161 amends and expands the disclosure requirements of SFAS 133, “Accounting for Derivative Instruments and Hedging Activities” (SFAS 133), by requiring 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SFAS 161 requires qualitative disclosures about objectives and strategies for using derivatives, quantitative disclosures about fair value amounts of and gains and losses on derivative instruments, and disclosures about credit-risk-related contingent features in derivative agreements. SFAS 161 was adopted on January 1, 2009. As SFAS 161 provides only disclosure requirements, the adoption of this standard did not have an impact on our consolidated financial position, results of operations or cash flows. (See Note 4. Derivatives.)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FSP FAS 132(R)-1. </w:t>
      </w:r>
      <w:r>
        <w:rPr>
          <w:rFonts w:ascii="Arial" w:cs="Arial" w:eastAsia="Arial" w:hAnsi="Arial"/>
          <w:sz w:val="18"/>
          <w:szCs w:val="18"/>
          <w:color w:val="auto"/>
        </w:rPr>
        <w:t>In December 2008, the FASB issued FSP FAS 132(R)-1. This FSP amends SFAS 132(R), “Employers’ Disclosures about Pensions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Postretirement Benefits,” to provide guidance on an employer’s disclosures about plan assets, including employers’ investment strategies, major categories of plan assets, concentrations of risk within plan assets, and valuation techniques used to measure the fair value of plan assets. This FSP is effective for fiscal years ending after December 15, 2009. Upon initial adoption, the provisions of this FSP are not required for earlier periods that are presented for comparative purposes. As FSP FAS 132(R)-1 provides only disclosure requirements, the adoption of this standard will not have an impact on our consolidated financial position, results of operations or cash flows.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FSP FAS 107-1 and APB 28-1. </w:t>
      </w:r>
      <w:r>
        <w:rPr>
          <w:rFonts w:ascii="Arial" w:cs="Arial" w:eastAsia="Arial" w:hAnsi="Arial"/>
          <w:sz w:val="18"/>
          <w:szCs w:val="18"/>
          <w:color w:val="auto"/>
        </w:rPr>
        <w:t>In April 2009, the FASB issued FSP FAS 107-1 and APB 28-1, “Interim Disclosures about Fair Value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which amends SFAS 107, “Disclosures about Fair Value of Financial Instruments” and APB Opinion 28, “Interim Financial Reporting,” respectively, to require disclosure about fair value of financial instruments for interim reporting periods of publicly traded companies in addition to annual financial statements. FSP FAS 107-1 and APB 28-1 will be required for interim periods ending after June 15, 2009. As FSP FAS 107-1 and APB 28-1 provide only disclosure requirements, the adoption of this standard will not have a material impact on our consolidated financial position, results of operations or cash flows.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FSP FAS 157-4</w:t>
      </w:r>
      <w:r>
        <w:rPr>
          <w:rFonts w:ascii="Arial" w:cs="Arial" w:eastAsia="Arial" w:hAnsi="Arial"/>
          <w:sz w:val="16"/>
          <w:szCs w:val="16"/>
          <w:color w:val="auto"/>
        </w:rPr>
        <w:t>. In April 2009, the FASB issued FSP FAS 157-4, “Determining Fair Value When the Volume and Level of Activity for the Asset or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Have Significantly Decreased and Identifying Transactions That Are Not Orderly,” which provides additional guidance for applying the provisions of SFAS</w:t>
      </w:r>
    </w:p>
    <w:p>
      <w:pPr>
        <w:jc w:val="both"/>
        <w:ind w:firstLine="8"/>
        <w:spacing w:after="0" w:line="252" w:lineRule="auto"/>
        <w:tabs>
          <w:tab w:leader="none" w:pos="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SFAS 157 defines fair value as the price that would be received to sell an asset or paid to transfer a liability in an orderly transaction between market participants under current market conditions. This FSP requires an evaluation of whether there has been a significant decrease in the volume and level of activity for the asset or liability in relation to normal market activity for the asset or liability. If there has, transactions or quoted prices may not be indicative of fair value and a significant adjustment may need to be made to those prices to estimate fair value. Additionally, an entity must consider whether the observed transaction was orderly (that is, not distressed or forced). If the transaction was orderly, the obtained price can be considered a relevant observable input for determining fair value. If the transaction is not orderly, other valuation techniques must be used when estimating fair value. FSP FAS 157-4 will be required for interim periods ending after June 15, 2009. We do not believe it will have a material impact on our consolidated financial position, results of operations or cash flows.</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FSP FAS 115-2 and FAS 124-2</w:t>
      </w:r>
      <w:r>
        <w:rPr>
          <w:rFonts w:ascii="Arial" w:cs="Arial" w:eastAsia="Arial" w:hAnsi="Arial"/>
          <w:sz w:val="16"/>
          <w:szCs w:val="16"/>
          <w:color w:val="auto"/>
        </w:rPr>
        <w:t>. In April 2009, the FASB issued FSP FAS 115-2 and FAS 124-2, “Recognition and Presentation of Other-Than-Temporary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Impairments” (FSP FAS 115-2 and FAS 124-2), which amends SFAS 115, “Accounting for Certain Investments in Debt and Equity Securities” and SFAS 124, “Accounting for Certain Investments Held by Not-for-Profit Organizations”. This standard establishes a different other-than-temporary impairment indicator for debt securities than previously prescribed. If it is more likely than not that an impaired security will be sold before the recovery of its cost basis, either due to the investor’s intent to sell or because it will be required to sell the security, the entire impairment is recognized in earnings. Otherwise, only the portion of the impaired debt security related to estimated credit losses is recognized in earnings, while the remainder of the impairment is recorded in other comprehensive income and recognized over the remaining life of the debt security. In addition, the standard expands the presentation and disclosure requirements for other-than-temporary-impairments for both debt and equity securities. FSP FAS 115-2 and FAS 124-2 will be required for interim periods ending after June 15, 2009. We do not believe it will have a material impact on our consolidated financial position, results of operations or cash flows.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business. This segment also includes Emerging Technology Investments, a small amount of non-rate base generation, approximately 7,000 acres of land for sale in Minnesota, and earnings on cash and short-term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rPr>
              <w:t>Regulated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Consolidated</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Operations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For the Quarter Ended March</w:t>
            </w:r>
          </w:p>
        </w:tc>
        <w:tc>
          <w:tcPr>
            <w:tcW w:w="30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31, 2009</w:t>
            </w:r>
          </w:p>
        </w:tc>
        <w:tc>
          <w:tcPr>
            <w:tcW w:w="3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$204.9</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$186.4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Year Rate Refunds</w:t>
            </w:r>
          </w:p>
        </w:tc>
        <w:tc>
          <w:tcPr>
            <w:tcW w:w="30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(5.3)</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(5.3)</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Revenue</w:t>
            </w:r>
          </w:p>
        </w:tc>
        <w:tc>
          <w:tcPr>
            <w:tcW w:w="30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199.6</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181.1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3060" w:type="dxa"/>
            <w:vAlign w:val="bottom"/>
          </w:tcPr>
          <w:p>
            <w:pPr>
              <w:jc w:val="right"/>
              <w:ind w:right="910"/>
              <w:spacing w:after="0"/>
              <w:rPr>
                <w:sz w:val="20"/>
                <w:szCs w:val="20"/>
                <w:color w:val="auto"/>
              </w:rPr>
            </w:pPr>
            <w:r>
              <w:rPr>
                <w:rFonts w:ascii="Arial" w:cs="Arial" w:eastAsia="Arial" w:hAnsi="Arial"/>
                <w:sz w:val="18"/>
                <w:szCs w:val="18"/>
                <w:color w:val="auto"/>
              </w:rPr>
              <w:t>72.8</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72.8</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30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80.5</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62.8</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30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15.2</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14.1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30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31.1</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31.4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3060" w:type="dxa"/>
            <w:vAlign w:val="bottom"/>
          </w:tcPr>
          <w:p>
            <w:pPr>
              <w:jc w:val="right"/>
              <w:ind w:right="910"/>
              <w:spacing w:after="0"/>
              <w:rPr>
                <w:sz w:val="20"/>
                <w:szCs w:val="20"/>
                <w:color w:val="auto"/>
              </w:rPr>
            </w:pPr>
            <w:r>
              <w:rPr>
                <w:rFonts w:ascii="Arial" w:cs="Arial" w:eastAsia="Arial" w:hAnsi="Arial"/>
                <w:sz w:val="18"/>
                <w:szCs w:val="18"/>
                <w:color w:val="auto"/>
              </w:rPr>
              <w:t>(8.7)</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(7.3)</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30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4.2</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4.2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(Loss)</w:t>
            </w:r>
          </w:p>
        </w:tc>
        <w:tc>
          <w:tcPr>
            <w:tcW w:w="30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1.1</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1.2</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Income</w:t>
            </w:r>
          </w:p>
        </w:tc>
        <w:tc>
          <w:tcPr>
            <w:tcW w:w="30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30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27.7</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29.5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60" w:type="dxa"/>
            <w:vAlign w:val="bottom"/>
          </w:tcPr>
          <w:p>
            <w:pPr>
              <w:jc w:val="right"/>
              <w:ind w:right="910"/>
              <w:spacing w:after="0"/>
              <w:rPr>
                <w:sz w:val="20"/>
                <w:szCs w:val="20"/>
                <w:color w:val="auto"/>
              </w:rPr>
            </w:pPr>
            <w:r>
              <w:rPr>
                <w:rFonts w:ascii="Arial" w:cs="Arial" w:eastAsia="Arial" w:hAnsi="Arial"/>
                <w:sz w:val="18"/>
                <w:szCs w:val="18"/>
                <w:color w:val="auto"/>
              </w:rPr>
              <w:t>10.8</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11.8</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3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$16.9</w:t>
            </w:r>
          </w:p>
        </w:tc>
        <w:tc>
          <w:tcPr>
            <w:tcW w:w="28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$17.7</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2009</w:t>
            </w:r>
          </w:p>
        </w:tc>
        <w:tc>
          <w:tcPr>
            <w:tcW w:w="30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Assets</w:t>
            </w:r>
          </w:p>
        </w:tc>
        <w:tc>
          <w:tcPr>
            <w:tcW w:w="3060" w:type="dxa"/>
            <w:vAlign w:val="bottom"/>
          </w:tcPr>
          <w:p>
            <w:pPr>
              <w:jc w:val="right"/>
              <w:ind w:right="910"/>
              <w:spacing w:after="0"/>
              <w:rPr>
                <w:sz w:val="20"/>
                <w:szCs w:val="20"/>
                <w:color w:val="auto"/>
              </w:rPr>
            </w:pPr>
            <w:r>
              <w:rPr>
                <w:rFonts w:ascii="Arial" w:cs="Arial" w:eastAsia="Arial" w:hAnsi="Arial"/>
                <w:sz w:val="18"/>
                <w:szCs w:val="18"/>
                <w:color w:val="auto"/>
              </w:rPr>
              <w:t>$2,168.9</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$1,872.5</w:t>
            </w:r>
          </w:p>
        </w:tc>
        <w:tc>
          <w:tcPr>
            <w:tcW w:w="1940" w:type="dxa"/>
            <w:vAlign w:val="bottom"/>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w:t>
            </w:r>
          </w:p>
        </w:tc>
        <w:tc>
          <w:tcPr>
            <w:tcW w:w="306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rPr>
              <w:t>$1,435.2</w:t>
            </w:r>
          </w:p>
        </w:tc>
        <w:tc>
          <w:tcPr>
            <w:tcW w:w="286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rPr>
              <w:t>$1,381.9</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3060" w:type="dxa"/>
            <w:vAlign w:val="bottom"/>
            <w:vMerge w:val="continue"/>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194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vMerge w:val="continue"/>
            <w:shd w:val="clear" w:color="auto" w:fill="CCEEFF"/>
          </w:tcPr>
          <w:p>
            <w:pPr>
              <w:spacing w:after="0"/>
              <w:rPr>
                <w:sz w:val="9"/>
                <w:szCs w:val="9"/>
                <w:color w:val="auto"/>
              </w:rPr>
            </w:pPr>
          </w:p>
        </w:tc>
        <w:tc>
          <w:tcPr>
            <w:tcW w:w="306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60" w:type="dxa"/>
            <w:vAlign w:val="bottom"/>
          </w:tcPr>
          <w:p>
            <w:pPr>
              <w:jc w:val="right"/>
              <w:ind w:right="910"/>
              <w:spacing w:after="0"/>
              <w:rPr>
                <w:sz w:val="20"/>
                <w:szCs w:val="20"/>
                <w:color w:val="auto"/>
              </w:rPr>
            </w:pPr>
            <w:r>
              <w:rPr>
                <w:rFonts w:ascii="Arial" w:cs="Arial" w:eastAsia="Arial" w:hAnsi="Arial"/>
                <w:sz w:val="18"/>
                <w:szCs w:val="18"/>
                <w:color w:val="auto"/>
              </w:rPr>
              <w:t>$867.1</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$817.6</w:t>
            </w:r>
          </w:p>
        </w:tc>
        <w:tc>
          <w:tcPr>
            <w:tcW w:w="194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3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$61.7</w:t>
            </w:r>
          </w:p>
        </w:tc>
        <w:tc>
          <w:tcPr>
            <w:tcW w:w="28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$60.8</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rPr>
              <w:t>Regulated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Consolidated</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Operations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4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Arial" w:cs="Arial" w:eastAsia="Arial" w:hAnsi="Arial"/>
                <w:sz w:val="18"/>
                <w:szCs w:val="18"/>
                <w:b w:val="1"/>
                <w:bCs w:val="1"/>
                <w:color w:val="auto"/>
              </w:rPr>
              <w:t>For the Quarter Ended March</w:t>
            </w:r>
          </w:p>
        </w:tc>
        <w:tc>
          <w:tcPr>
            <w:tcW w:w="24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31, 2008</w:t>
            </w: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4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$213.4</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$193.3</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480" w:type="dxa"/>
            <w:vAlign w:val="bottom"/>
          </w:tcPr>
          <w:p>
            <w:pPr>
              <w:jc w:val="right"/>
              <w:ind w:right="910"/>
              <w:spacing w:after="0"/>
              <w:rPr>
                <w:sz w:val="20"/>
                <w:szCs w:val="20"/>
                <w:color w:val="auto"/>
              </w:rPr>
            </w:pPr>
            <w:r>
              <w:rPr>
                <w:rFonts w:ascii="Arial" w:cs="Arial" w:eastAsia="Arial" w:hAnsi="Arial"/>
                <w:sz w:val="18"/>
                <w:szCs w:val="18"/>
                <w:color w:val="auto"/>
              </w:rPr>
              <w:t>86.3</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86.3</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4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83.1</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62.5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12.7</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11.5</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4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31.3</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33.0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2480" w:type="dxa"/>
            <w:vAlign w:val="bottom"/>
          </w:tcPr>
          <w:p>
            <w:pPr>
              <w:jc w:val="right"/>
              <w:ind w:right="910"/>
              <w:spacing w:after="0"/>
              <w:rPr>
                <w:sz w:val="20"/>
                <w:szCs w:val="20"/>
                <w:color w:val="auto"/>
              </w:rPr>
            </w:pPr>
            <w:r>
              <w:rPr>
                <w:rFonts w:ascii="Arial" w:cs="Arial" w:eastAsia="Arial" w:hAnsi="Arial"/>
                <w:sz w:val="18"/>
                <w:szCs w:val="18"/>
                <w:color w:val="auto"/>
              </w:rPr>
              <w:t>(6.0)</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(5.8)</w:t>
            </w:r>
          </w:p>
        </w:tc>
        <w:tc>
          <w:tcPr>
            <w:tcW w:w="19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4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3.4</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8.6</w:t>
            </w:r>
          </w:p>
        </w:tc>
        <w:tc>
          <w:tcPr>
            <w:tcW w:w="2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4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37.3</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Tax Expense</w:t>
            </w:r>
          </w:p>
        </w:tc>
        <w:tc>
          <w:tcPr>
            <w:tcW w:w="2480" w:type="dxa"/>
            <w:vAlign w:val="bottom"/>
          </w:tcPr>
          <w:p>
            <w:pPr>
              <w:jc w:val="right"/>
              <w:ind w:right="910"/>
              <w:spacing w:after="0"/>
              <w:rPr>
                <w:sz w:val="20"/>
                <w:szCs w:val="20"/>
                <w:color w:val="auto"/>
              </w:rPr>
            </w:pPr>
            <w:r>
              <w:rPr>
                <w:rFonts w:ascii="Arial" w:cs="Arial" w:eastAsia="Arial" w:hAnsi="Arial"/>
                <w:sz w:val="18"/>
                <w:szCs w:val="18"/>
                <w:color w:val="auto"/>
              </w:rPr>
              <w:t>13.7</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11.6</w:t>
            </w:r>
          </w:p>
        </w:tc>
        <w:tc>
          <w:tcPr>
            <w:tcW w:w="19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48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$23.6</w:t>
            </w:r>
          </w:p>
        </w:tc>
        <w:tc>
          <w:tcPr>
            <w:tcW w:w="28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$20.1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2008</w:t>
            </w:r>
          </w:p>
        </w:tc>
        <w:tc>
          <w:tcPr>
            <w:tcW w:w="24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2480" w:type="dxa"/>
            <w:vAlign w:val="bottom"/>
          </w:tcPr>
          <w:p>
            <w:pPr>
              <w:jc w:val="right"/>
              <w:ind w:right="910"/>
              <w:spacing w:after="0"/>
              <w:rPr>
                <w:sz w:val="20"/>
                <w:szCs w:val="20"/>
                <w:color w:val="auto"/>
              </w:rPr>
            </w:pPr>
            <w:r>
              <w:rPr>
                <w:rFonts w:ascii="Arial" w:cs="Arial" w:eastAsia="Arial" w:hAnsi="Arial"/>
                <w:sz w:val="18"/>
                <w:szCs w:val="18"/>
                <w:color w:val="auto"/>
              </w:rPr>
              <w:t>$1,715.8</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$1,419.8</w:t>
            </w:r>
          </w:p>
        </w:tc>
        <w:tc>
          <w:tcPr>
            <w:tcW w:w="1940" w:type="dxa"/>
            <w:vAlign w:val="bottom"/>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w:t>
            </w:r>
          </w:p>
        </w:tc>
        <w:tc>
          <w:tcPr>
            <w:tcW w:w="248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rPr>
              <w:t>$1,153.1</w:t>
            </w:r>
          </w:p>
        </w:tc>
        <w:tc>
          <w:tcPr>
            <w:tcW w:w="286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rPr>
              <w:t>$1,099.3</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2480" w:type="dxa"/>
            <w:vAlign w:val="bottom"/>
            <w:vMerge w:val="continue"/>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194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vMerge w:val="continue"/>
            <w:shd w:val="clear" w:color="auto" w:fill="CCEEFF"/>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tcPr>
          <w:p>
            <w:pPr>
              <w:jc w:val="right"/>
              <w:ind w:right="910"/>
              <w:spacing w:after="0"/>
              <w:rPr>
                <w:sz w:val="20"/>
                <w:szCs w:val="20"/>
                <w:color w:val="auto"/>
              </w:rPr>
            </w:pPr>
            <w:r>
              <w:rPr>
                <w:rFonts w:ascii="Arial" w:cs="Arial" w:eastAsia="Arial" w:hAnsi="Arial"/>
                <w:sz w:val="18"/>
                <w:szCs w:val="18"/>
                <w:color w:val="auto"/>
              </w:rPr>
              <w:t>$850.8</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$804.8</w:t>
            </w:r>
          </w:p>
        </w:tc>
        <w:tc>
          <w:tcPr>
            <w:tcW w:w="194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48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$60.3</w:t>
            </w:r>
          </w:p>
        </w:tc>
        <w:tc>
          <w:tcPr>
            <w:tcW w:w="28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$58.0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our Emerging Technology Investments, ARS, and land held for sale in Minnesota.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43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Investments</w:t>
            </w:r>
          </w:p>
        </w:tc>
        <w:tc>
          <w:tcPr>
            <w:tcW w:w="4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ALLETE Properties</w:t>
            </w:r>
          </w:p>
        </w:tc>
        <w:tc>
          <w:tcPr>
            <w:tcW w:w="4320" w:type="dxa"/>
            <w:vAlign w:val="bottom"/>
          </w:tcPr>
          <w:p>
            <w:pPr>
              <w:jc w:val="right"/>
              <w:ind w:right="290"/>
              <w:spacing w:after="0"/>
              <w:rPr>
                <w:sz w:val="20"/>
                <w:szCs w:val="20"/>
                <w:color w:val="auto"/>
              </w:rPr>
            </w:pPr>
            <w:r>
              <w:rPr>
                <w:rFonts w:ascii="Arial" w:cs="Arial" w:eastAsia="Arial" w:hAnsi="Arial"/>
                <w:sz w:val="18"/>
                <w:szCs w:val="18"/>
                <w:color w:val="auto"/>
              </w:rPr>
              <w:t>$85.1</w:t>
            </w:r>
          </w:p>
        </w:tc>
        <w:tc>
          <w:tcPr>
            <w:tcW w:w="142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Emerging Technology Investments</w:t>
            </w:r>
          </w:p>
        </w:tc>
        <w:tc>
          <w:tcPr>
            <w:tcW w:w="432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Investments</w:t>
            </w:r>
          </w:p>
        </w:tc>
        <w:tc>
          <w:tcPr>
            <w:tcW w:w="4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$127.3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 Properties</w:t>
            </w:r>
          </w:p>
        </w:tc>
        <w:tc>
          <w:tcPr>
            <w:tcW w:w="3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Land Held for Sale Beginning Balance</w:t>
            </w:r>
          </w:p>
        </w:tc>
        <w:tc>
          <w:tcPr>
            <w:tcW w:w="3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Additions During Period: Capitalized Improvements</w:t>
            </w:r>
          </w:p>
        </w:tc>
        <w:tc>
          <w:tcPr>
            <w:tcW w:w="352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13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Deductions During Period: Cost of Real Estate Sold</w:t>
            </w:r>
          </w:p>
        </w:tc>
        <w:tc>
          <w:tcPr>
            <w:tcW w:w="3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Land Held for Sale Ending Balance</w:t>
            </w:r>
          </w:p>
        </w:tc>
        <w:tc>
          <w:tcPr>
            <w:tcW w:w="3520" w:type="dxa"/>
            <w:vAlign w:val="bottom"/>
          </w:tcPr>
          <w:p>
            <w:pPr>
              <w:jc w:val="right"/>
              <w:ind w:right="230"/>
              <w:spacing w:after="0"/>
              <w:rPr>
                <w:sz w:val="20"/>
                <w:szCs w:val="20"/>
                <w:color w:val="auto"/>
              </w:rPr>
            </w:pPr>
            <w:r>
              <w:rPr>
                <w:rFonts w:ascii="Arial" w:cs="Arial" w:eastAsia="Arial" w:hAnsi="Arial"/>
                <w:sz w:val="18"/>
                <w:szCs w:val="18"/>
                <w:color w:val="auto"/>
              </w:rPr>
              <w:t>71.5</w:t>
            </w: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Receivables</w:t>
            </w:r>
          </w:p>
        </w:tc>
        <w:tc>
          <w:tcPr>
            <w:tcW w:w="3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Real Estate Assets</w:t>
            </w:r>
          </w:p>
        </w:tc>
        <w:tc>
          <w:tcPr>
            <w:tcW w:w="3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$85.1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Land Held for Sale. </w:t>
      </w:r>
      <w:r>
        <w:rPr>
          <w:rFonts w:ascii="Arial" w:cs="Arial" w:eastAsia="Arial" w:hAnsi="Arial"/>
          <w:sz w:val="18"/>
          <w:szCs w:val="18"/>
          <w:color w:val="auto"/>
        </w:rPr>
        <w:t>Land held for sale is recorded at the lower of cost or fair value determined by the evaluation of individual land parcels. Land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for impairment and no impairments have been recorded for the quarter ended March 31, 2009 (none in 2008).</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Finance Receivables. </w:t>
      </w:r>
      <w:r>
        <w:rPr>
          <w:rFonts w:ascii="Arial" w:cs="Arial" w:eastAsia="Arial" w:hAnsi="Arial"/>
          <w:sz w:val="16"/>
          <w:szCs w:val="16"/>
          <w:color w:val="auto"/>
        </w:rPr>
        <w:t>Finance receivables, which are collateralized by property sold, accrue interest at market-based rates and are net of an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doubtful accounts of $0.1 million at March 31, 2009 ($0.1 million at December 31, 2008). The majority are receivables having maturities up to four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Auction Rate Securities. </w:t>
      </w:r>
      <w:r>
        <w:rPr>
          <w:rFonts w:ascii="Arial" w:cs="Arial" w:eastAsia="Arial" w:hAnsi="Arial"/>
          <w:sz w:val="16"/>
          <w:szCs w:val="16"/>
          <w:color w:val="auto"/>
        </w:rPr>
        <w:t>As of March 31, 2009, we held $14.3 million ($15.2 million at December 31, 2008) of three auction rate municipal bonds with stated</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dates ranging between 15 and 27 years. These ARS consist of guaranteed student loans insured or reinsured by the federal government. These ARS were historically auctioned every 35 days to set new rates and provide a liquidating event in which investors can either buy or sell securities. Beginning in 2008, the auctions have been unable to sustain themselves due to the overall lack of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above market interest rates.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used a discounted cash flow model to determine the estimated fair value of its investment in ARS as of March 31, 2009.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Based upon the results of the discounted cash flow model, the fact that these ARS consist of guaranteed student loans insured or reinsured by the federal government, and recent market activity, no other-than-temporary impairment loss has been reported.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DERIVATIVES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2009, we have entered into financial derivative instruments to manage price risk for certain power marketing contracts. These derivative instruments are recorded on our consolidated balance sheet at fair value. Changes in the derivatives’ fair value are recognized currently in earnings unless specific hedge accounting criteria is met.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2009, we have recorded approximately $0.5 million of commodity based derivatives in other assets on our consolidated balance sheet. Of this total, $0.2 million has been designated as a cash flow hedge and any mark-to-market fluctuations have been recorded in other comprehensive income on the consolidated balance sheet.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commodity based derivative instrument designated as a cash flow hedge relates to an energy sale with pricing based on daily natural gas prices. Through the first quarter of 2009 the price for natural gas has dropped, decreasing the overall margins for this contract. As a means to offset the reduced margins associated with the falling natural gas prices, we entered into a natural gas swap to lock in a fixed price for a portion of the remaining contract, which expires in April 2010. If the cash flow hedge is effective in offsetting the changing value of natural gas prices, the difference is recorded in the consolidated statement of income at the same time earnings are affected by the energy sale transaction. If the cash flow hedge is not effective, the ineffective portion is recorded directly to earnings.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remaining commodity based derivative not designated as a cash flow hedge, relates primarily to the sale of a 50-MW energy swap. We sold the energy swap to mitigate the impact of falling energy market prices. The 50-MW energy swap locks in a fixed energy price for July and August of 2009. We elected not to apply hedge accounting to this transaction due to the short-term nature of the swap and the limited financial exposure to the Company. The fair value for this transaction as of March 31, 2009, was $0.3 million and has been recorded in operating revenue on our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defined in SFAS 157, “Fair Value Measurements,” 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endeavors to utilize the best available information. Accordingly, we utilize valuation techniques that maximize the use of observable inputs and minimize the use of unobservable inputs. We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Instruments in this category include primarily mutual fund investments held to fund employee benefits.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represent the Company’s deferred compensation obligation, fixed income securities, and commodity based derivatives.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management performs an analysis of all instruments subject to SFAS 157 and includes in Level 3 all of those instruments whose fair value is based on significant unobservable inputs. Instruments in this category include ARS consisting of guaranteed student loans classified as Level 3 investments as of March 31, 2009. The Company also holds certain financial transmission rights (FTRs) related to our participation in MISO. While our valuation of these FTRs is based on Level 3 inputs, the fair value of our FTRs at March 31, 2009, is immaterial, and as a result we have not presented them in the tables below.</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March 31, 2009 and December 31, 2008. As required by SFAS 157,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Fair Value as of March 31, 2009</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3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3</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Bonds</w:t>
            </w:r>
          </w:p>
        </w:tc>
        <w:tc>
          <w:tcPr>
            <w:tcW w:w="3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3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$14.3</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Assets</w:t>
            </w:r>
          </w:p>
        </w:tc>
        <w:tc>
          <w:tcPr>
            <w:tcW w:w="3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 Obligation</w:t>
            </w:r>
          </w:p>
        </w:tc>
        <w:tc>
          <w:tcPr>
            <w:tcW w:w="3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Liabilities</w:t>
            </w:r>
          </w:p>
        </w:tc>
        <w:tc>
          <w:tcPr>
            <w:tcW w:w="3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Fair Value of Assets (Liabilities)</w:t>
            </w:r>
          </w:p>
        </w:tc>
        <w:tc>
          <w:tcPr>
            <w:tcW w:w="3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FAIR VALUE (Continued)</w:t>
      </w:r>
    </w:p>
    <w:p>
      <w:pPr>
        <w:spacing w:after="0" w:line="25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Fair Value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Recurring Fair Value Measures</w:t>
            </w:r>
          </w:p>
        </w:tc>
        <w:tc>
          <w:tcPr>
            <w:tcW w:w="30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11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Bonds</w:t>
            </w:r>
          </w:p>
        </w:tc>
        <w:tc>
          <w:tcPr>
            <w:tcW w:w="3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3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Money Market Funds</w:t>
            </w:r>
          </w:p>
        </w:tc>
        <w:tc>
          <w:tcPr>
            <w:tcW w:w="3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Assets</w:t>
            </w:r>
          </w:p>
        </w:tc>
        <w:tc>
          <w:tcPr>
            <w:tcW w:w="3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Compensation Obligation</w:t>
            </w:r>
          </w:p>
        </w:tc>
        <w:tc>
          <w:tcPr>
            <w:tcW w:w="3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Liabilities</w:t>
            </w:r>
          </w:p>
        </w:tc>
        <w:tc>
          <w:tcPr>
            <w:tcW w:w="3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Fair Value of Assets (Liabilities)</w:t>
            </w:r>
          </w:p>
        </w:tc>
        <w:tc>
          <w:tcPr>
            <w:tcW w:w="3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42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Auction Rate Securities</w:t>
            </w: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Activity in Level 3</w:t>
            </w:r>
          </w:p>
        </w:tc>
        <w:tc>
          <w:tcPr>
            <w:tcW w:w="30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2009</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Balance as of December 31, 2008 and December 31, 2007, respectively</w:t>
            </w:r>
          </w:p>
        </w:tc>
        <w:tc>
          <w:tcPr>
            <w:tcW w:w="3080" w:type="dxa"/>
            <w:vAlign w:val="bottom"/>
          </w:tcPr>
          <w:p>
            <w:pPr>
              <w:jc w:val="right"/>
              <w:ind w:right="210"/>
              <w:spacing w:after="0"/>
              <w:rPr>
                <w:sz w:val="20"/>
                <w:szCs w:val="20"/>
                <w:color w:val="auto"/>
              </w:rPr>
            </w:pPr>
            <w:r>
              <w:rPr>
                <w:rFonts w:ascii="Arial" w:cs="Arial" w:eastAsia="Arial" w:hAnsi="Arial"/>
                <w:sz w:val="18"/>
                <w:szCs w:val="18"/>
                <w:color w:val="auto"/>
              </w:rPr>
              <w:t>$15.2</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Sales, Issuances and Settlements, Net</w:t>
            </w:r>
          </w:p>
        </w:tc>
        <w:tc>
          <w:tcPr>
            <w:tcW w:w="3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Level 3 Transfers In</w:t>
            </w:r>
          </w:p>
        </w:tc>
        <w:tc>
          <w:tcPr>
            <w:tcW w:w="3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r>
      <w:tr>
        <w:trPr>
          <w:trHeight w:val="223"/>
        </w:trPr>
        <w:tc>
          <w:tcPr>
            <w:tcW w:w="20" w:type="dxa"/>
            <w:vAlign w:val="bottom"/>
          </w:tcPr>
          <w:p>
            <w:pPr>
              <w:spacing w:after="0"/>
              <w:rPr>
                <w:sz w:val="19"/>
                <w:szCs w:val="19"/>
                <w:color w:val="auto"/>
              </w:rPr>
            </w:pPr>
          </w:p>
        </w:tc>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3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$14.3</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customers consist of 16 municipalities in Minnesota and 1 private utility in Wisconsin. SWL&amp;P, a wholly-owned subsidiary of ALLETE, is also a private utility in Wisconsin and a wholesale customer of Minnesota Power. In 2008, Minnesota Power entered into new contracts with all of our wholesale customers with the exception of one small customer whose contract is now in the cancellation period. The new contracts transition each customer to formula-based rates, which means rates can be adjusted annually based on changes in costs. The new agreements with the private utilities in Wisconsin are subject to PSCW approval. In February 2009, the FERC approved our municipal contracts, including the formula-based rate provision. A 9.5 percent rate increase for our municipal customers was implemented on February 1, 2009 under the formula-based rate provision. Incremental revenue from this rate increase is expected to be approximately $7 million on an annualized basis.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2, 2008, Minnesota Power filed a rate increase request with the MPUC seeking an average rate increase of 8.5 percent for retail customers. The retail rate filing sought a return on equity of 11.15 percent, and a capital structure consisting of 54.8 percent equity and 45.2 percent debt. On an annualized basis, the requested rate increase would have generated approximately $40 million in additional revenue. Interim rates went into effect on August 1, 2008, and resulted in an increase for retail customers of approximately $36 million, or 7.5 percent, on an annualized basis, subject to refund pending the final rate order.</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3, 2009, the MPUC deliberated and voted on our retail rate filing. Based on this hearing, we estimate that the MPUC will order an overall rate increase of approximately 4.5 percent when a formal written order (Order) is issued on or before May 4, 2009. The MPUC approved a 10.74 percent return on common equity and a capital structure consisting of 54.8 percent equity and 45.2 percent debt. The MPUC also approved the stipulation and settlement agreement that affirmed the Company’s continued recovery of fuel and purchased power costs under the former base cost of fuel that was in effect prior to the retail rate filing. The approved agreement eliminates the possibility that approximately $19 million of fuel and purchased power costs incurred in 2008 would not be recovered via the fuel adjustment clause. Once the Order has been issued, any party may request reconsideration to the MPUC. After reconsideration, any party may appeal to the Minnesota Court of Appeals. We will continue collecting interim rates from our customers until the new rates go into effect, which will be after the reconsideration period has expired and after all compliance filings are completed and accepted. Reconsideration of the order or modifications during compliance could affect the final rate increase estimate.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2009, we recorded an $8.9 million liability, including interest, for refunds anticipated to be paid to our customers as a result of the MPUC hearing on our retail rate filing. Current year rate refunds totaling $3.3 million have been netted against operating revenue on our consolidated statement of income and prior year rate refunds totaling $5.3 million are stated separately. Interest expense of $0.3 million was also recorded on our consolidated statement of income related to rate refunds. Refunds will commence once final rates are effective.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SWL&amp;P’s current retail rates are based on a December 2008 PSCW retail rate order that became effective January 1, 2009, and allows for an 11.1 percent return on common equity. The new rates reflect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Rainy River Energy owns approximately 8 percent of ATC, a Wisconsin-based utility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pursuant to EITF 03-16, “Accounting for Investments in Limited Liability Companies.” As of March 31, 2009, our equity investment balance in ATC was $79.7 million ($66.7 million as of March 31, 2008). On April 30, 2009, we invested an additional $1.6 million in ATC.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Interest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412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as of December 31, 2008</w:t>
            </w:r>
          </w:p>
        </w:tc>
        <w:tc>
          <w:tcPr>
            <w:tcW w:w="4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Investments</w:t>
            </w:r>
          </w:p>
        </w:tc>
        <w:tc>
          <w:tcPr>
            <w:tcW w:w="412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4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4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as of March 31, 2009</w:t>
            </w:r>
          </w:p>
        </w:tc>
        <w:tc>
          <w:tcPr>
            <w:tcW w:w="4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$79.7</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In January 2009, we issued $42 million in principal amount of First Mortgage Bonds (Bonds) in the private placement market. The Bonds</w:t>
      </w:r>
      <w:r>
        <w:rPr>
          <w:rFonts w:ascii="Arial" w:cs="Arial" w:eastAsia="Arial" w:hAnsi="Arial"/>
          <w:sz w:val="18"/>
          <w:szCs w:val="18"/>
          <w:b w:val="1"/>
          <w:bCs w:val="1"/>
          <w:color w:val="auto"/>
        </w:rPr>
        <w:t xml:space="preserve"> </w:t>
      </w:r>
      <w:r>
        <w:rPr>
          <w:rFonts w:ascii="Arial" w:cs="Arial" w:eastAsia="Arial" w:hAnsi="Arial"/>
          <w:sz w:val="18"/>
          <w:szCs w:val="18"/>
          <w:color w:val="auto"/>
        </w:rPr>
        <w:t>mature 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4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Emerging Technology Investments</w:t>
            </w:r>
          </w:p>
        </w:tc>
        <w:tc>
          <w:tcPr>
            <w:tcW w:w="4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AFUDC – Equity</w:t>
            </w:r>
          </w:p>
        </w:tc>
        <w:tc>
          <w:tcPr>
            <w:tcW w:w="414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Investment and Other Income </w:t>
            </w:r>
            <w:r>
              <w:rPr>
                <w:rFonts w:ascii="Arial" w:cs="Arial" w:eastAsia="Arial" w:hAnsi="Arial"/>
                <w:sz w:val="18"/>
                <w:szCs w:val="18"/>
                <w:i w:val="1"/>
                <w:iCs w:val="1"/>
                <w:color w:val="auto"/>
              </w:rPr>
              <w:t>(a)</w:t>
            </w:r>
          </w:p>
        </w:tc>
        <w:tc>
          <w:tcPr>
            <w:tcW w:w="4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w:t>
            </w:r>
          </w:p>
        </w:tc>
        <w:tc>
          <w:tcPr>
            <w:tcW w:w="4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 2008, Investment and Other Income included a gain from the sale of certain available-for-sale securities. The gain was triggered when securities were sold to reallocate investments to meet defined investment allocations based upon an approved investment strategy.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INCOME TAX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4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Current Tax Expense (Benefit)</w:t>
            </w:r>
          </w:p>
        </w:tc>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Federal</w:t>
            </w:r>
          </w:p>
        </w:tc>
        <w:tc>
          <w:tcPr>
            <w:tcW w:w="4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State</w:t>
            </w:r>
          </w:p>
        </w:tc>
        <w:tc>
          <w:tcPr>
            <w:tcW w:w="4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Total Current Tax Expense</w:t>
            </w:r>
          </w:p>
        </w:tc>
        <w:tc>
          <w:tcPr>
            <w:tcW w:w="4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Deferred Tax Expense</w:t>
            </w:r>
          </w:p>
        </w:tc>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Federal</w:t>
            </w:r>
          </w:p>
        </w:tc>
        <w:tc>
          <w:tcPr>
            <w:tcW w:w="4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State</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1.5</w:t>
            </w: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Deferred Tax Credits</w:t>
            </w:r>
          </w:p>
        </w:tc>
        <w:tc>
          <w:tcPr>
            <w:tcW w:w="4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Total Deferred Tax Expense</w:t>
            </w:r>
          </w:p>
        </w:tc>
        <w:tc>
          <w:tcPr>
            <w:tcW w:w="4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4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quarter ended March 31, 2009, the effective tax rate was 39.0 percent (36.6 percent for the quarter ended March 31, 2008). The 2009 effective tax rate deviated from the statutory rate of approximately 41 percent primarily due to deductions for Medicare health subsidies, AFUDC-Equity, investment tax credits, wind production tax credits and depletion.</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Under the provisions of FIN 48, “Accounting for Uncertainty in Income Taxes – an Interpretation of FASB Statement 109,”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gross unrecognized tax benefits of $8.7 million as of March 31, 2009. Of this total, $1.3 million (net of federal tax benefit on state issues) represents the amount of unrecognized tax benefits that, if recognized, would favorably impact the effective income tax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total amount of unrecognized tax benefits as of March 31, 2009 will change by less than $1.0 million in the next 12 months.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comprehensive income were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of Tax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33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Gain (Loss) on Securities</w:t>
            </w:r>
          </w:p>
        </w:tc>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80"/>
              <w:spacing w:after="0"/>
              <w:rPr>
                <w:sz w:val="20"/>
                <w:szCs w:val="20"/>
                <w:color w:val="auto"/>
              </w:rPr>
            </w:pPr>
            <w:r>
              <w:rPr>
                <w:rFonts w:ascii="Arial" w:cs="Arial" w:eastAsia="Arial" w:hAnsi="Arial"/>
                <w:sz w:val="18"/>
                <w:szCs w:val="18"/>
                <w:color w:val="auto"/>
              </w:rPr>
              <w:t>Reclassification Adjustment for Gains Included in Income</w:t>
            </w:r>
          </w:p>
        </w:tc>
        <w:tc>
          <w:tcPr>
            <w:tcW w:w="3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Gain on Derivatives</w:t>
            </w:r>
          </w:p>
        </w:tc>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Defined Benefit Pension and Other Postretirement Plans</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33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3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EARNINGS PER SHARE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and performance share awards granted under our Executive and Director Long-Term Incentive Compensation Plans. In accordance with SFAS 128, “Earnings Per Share,” for the quarter ended March 31, 2009 and March 31, 2008, 0.6 million options to purchase shares of common stock were excluded from the computation of diluted earnings per share because the option exercise prices were greater than the average market prices, therefore, their effect would have been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1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2009</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9"/>
              </w:rPr>
              <w:t>2008</w:t>
            </w: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Dilutive</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Basic</w:t>
            </w:r>
          </w:p>
        </w:tc>
        <w:tc>
          <w:tcPr>
            <w:tcW w:w="9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8"/>
              </w:rPr>
              <w:t>Securities</w:t>
            </w: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1"/>
              </w:rPr>
              <w:t>Diluted</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128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$16.9</w:t>
            </w:r>
          </w:p>
        </w:tc>
        <w:tc>
          <w:tcPr>
            <w:tcW w:w="96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$0.55</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6760" w:type="dxa"/>
            <w:vAlign w:val="bottom"/>
            <w:gridSpan w:val="4"/>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8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Postretirement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200" w:type="dxa"/>
            <w:vAlign w:val="bottom"/>
          </w:tcPr>
          <w:p>
            <w:pPr>
              <w:spacing w:after="0"/>
              <w:rPr>
                <w:sz w:val="18"/>
                <w:szCs w:val="18"/>
                <w:color w:val="auto"/>
              </w:rPr>
            </w:pPr>
          </w:p>
        </w:tc>
        <w:tc>
          <w:tcPr>
            <w:tcW w:w="21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Health and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Quarter Ended March 31,</w:t>
            </w:r>
          </w:p>
        </w:tc>
        <w:tc>
          <w:tcPr>
            <w:tcW w:w="1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89"/>
              </w:rPr>
              <w:t>2008</w:t>
            </w:r>
          </w:p>
        </w:tc>
        <w:tc>
          <w:tcPr>
            <w:tcW w:w="12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2009</w:t>
            </w:r>
          </w:p>
        </w:tc>
        <w:tc>
          <w:tcPr>
            <w:tcW w:w="9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6.3</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7"/>
              </w:rPr>
              <w:t>(8.4)</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0.9</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1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Expense</w:t>
            </w:r>
          </w:p>
        </w:tc>
        <w:tc>
          <w:tcPr>
            <w:tcW w:w="1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$0.5</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$0.3</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quarter ended March 31, 2009, we contributed $18.0 million to our pension plan; $12.0 million was contributed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463,000 shares of ALLETE common stock. We also contributed $9.3 million to our postretirement health and life plan. We expect to make additional contributions of $14.9 million to our pension plan and $5.0 million to our postretirement health and life plan in 2009.</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FSP FAS 106-2, “Accounting and Disclosure Requirements Related to the Medicare Prescription Drug, Improvement and Modernization Act of 2003 (Act)” provides accounting and disclosure guidance for employers that sponsor postretirement health care plans that provide prescription drug benefits. FSP FAS 106-2 requires that the accumulated postretirement benefit obligation and postretirement benefit cost reflect the impact of the Act upon adoption. We provide postretirement health benefits that include prescription drug benefits which qualify us for the federal subsidy under the Act. The expected reimbursement for Medicare health subsidies reduced our after-tax postretirement medical expense by $2.0 million for 2009 ($1.2 million for 2008). In 2005, we enrolled with the Centers for Medicare and Medicaid Services (CMS) and began recovering the subsidy in 2007. In the quarter ended March 31, 2009, we received $0.3 million from the 2007 CMS plan year.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i w:val="1"/>
          <w:iCs w:val="1"/>
          <w:color w:val="auto"/>
        </w:rPr>
        <w:t>Square Butte.</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has a power purchase agreement with Square Butte that extends through 2026</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Minnesota Power is obligated to pay its pro rata share of Square Butte’s costs based on Minnesota Power’s entitlement to Unit output. Our output entitlement under the Agreement is 50 percent for the remainder of the contract. Minnesota Power’s payment obligation will be suspended if Square Butte fails to deliver any power, whether produced or purchased, for a period of one year. Square Butte’s fixed costs consist primarily of debt service. At March 31, 2009, Square Butte had total debt outstanding of $307.6 million. Total annual debt service for Square Butte is expected to be approximately $29 million in each of the years 2009 through 2013. Variable operating costs include the price of coal purchased from BNI Coal, our subsidiary, under a long-term contract.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North Dakota Wind Project. </w:t>
      </w:r>
      <w:r>
        <w:rPr>
          <w:rFonts w:ascii="Arial" w:cs="Arial" w:eastAsia="Arial" w:hAnsi="Arial"/>
          <w:sz w:val="17"/>
          <w:szCs w:val="17"/>
          <w:color w:val="auto"/>
        </w:rPr>
        <w:t>In March 2009, we filed a petition with the MPUC for current cost recovery of investments and expenditures related to the Bison</w:t>
      </w:r>
      <w:r>
        <w:rPr>
          <w:rFonts w:ascii="Arial" w:cs="Arial" w:eastAsia="Arial" w:hAnsi="Arial"/>
          <w:sz w:val="17"/>
          <w:szCs w:val="17"/>
          <w:i w:val="1"/>
          <w:iCs w:val="1"/>
          <w:color w:val="auto"/>
        </w:rPr>
        <w:t xml:space="preserve"> </w:t>
      </w:r>
      <w:r>
        <w:rPr>
          <w:rFonts w:ascii="Arial" w:cs="Arial" w:eastAsia="Arial" w:hAnsi="Arial"/>
          <w:sz w:val="17"/>
          <w:szCs w:val="17"/>
          <w:color w:val="auto"/>
        </w:rPr>
        <w:t>I Wind Project (Bison I) and associated transmission upgrades. With MPUC approval, Bison I will become the first portion of several hundred MWs of the North Dakota Wind Project, which upon completion is expected to complete the 2025 renewable energy supply requirements for our retail load. Bison I will be located southwest of Center, North Dakota and comprised of 33 wind turbines with a nameplate capacity of 75 MWs. As part of the North Dakota Wind Project, we announced plans to purchase an existing 250 kV DC transmission line to transport this wind energy to our customers while gradually reducing the supply of energy currently delivered to our system on this same transmission line from Square Butte’s coal-fired Milton R. Young Unit 2. In September 2008, we signed an agreement to purchase the transmission line from Square Butte for approximately $80 million. The transaction is subject to regulatory approvals and is anticipated to close in 2009.</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Wind Power Purchase Agreements. </w:t>
      </w:r>
      <w:r>
        <w:rPr>
          <w:rFonts w:ascii="Arial" w:cs="Arial" w:eastAsia="Arial" w:hAnsi="Arial"/>
          <w:sz w:val="18"/>
          <w:szCs w:val="18"/>
          <w:color w:val="auto"/>
        </w:rPr>
        <w:t>We have two wind power purchase agreements with an affiliate of NextEra Energy to purchase the output from two wind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Oliver Wind I (50 MWs) and Oliver Wind II (48 MWs) located near Center, North Dakota. Each agreement is for 25 years and provides for the purchase of all output from the facilities.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power purchase agreements (PPAs) described above have been evaluated under the provisions of FIN 46R. We have determined that either we have no variable interest in the PPAs, or where we do have variable interests, we are not the primary beneficiary; therefore, consolidation is not required. These conclusions are based on the following factors: we have no equity investment in these facilities and do not incur actual or expected losses related to the loss of facility value, and we do not exude significant control over the operations of each of these facilities. Our financial exposure relating to these PPAs relates to our fixed capacity and energy payments.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i w:val="1"/>
          <w:iCs w:val="1"/>
          <w:color w:val="auto"/>
        </w:rPr>
        <w:t xml:space="preserve"> </w:t>
      </w:r>
      <w:r>
        <w:rPr>
          <w:rFonts w:ascii="Arial" w:cs="Arial" w:eastAsia="Arial" w:hAnsi="Arial"/>
          <w:sz w:val="18"/>
          <w:szCs w:val="18"/>
          <w:color w:val="auto"/>
        </w:rPr>
        <w:t>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$8.3 million in 2009, $8.2 million in 2010, $8.3 million in 2011, $8.2 million in 2012, $7.8 million in 2013 and $52.9 million thereafter.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Coal, Rail and Shipping Contracts. </w:t>
      </w:r>
      <w:r>
        <w:rPr>
          <w:rFonts w:ascii="Arial" w:cs="Arial" w:eastAsia="Arial" w:hAnsi="Arial"/>
          <w:sz w:val="18"/>
          <w:szCs w:val="18"/>
          <w:color w:val="auto"/>
        </w:rPr>
        <w:t>We have three primary coal supply agreements with various expiration dates ranging from December 2009 to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2011. We also have rail and shipping agreements for the transportation of all of our coal, with various expiration dates ranging from December 2009 to January 2012. Our minimum annual payment obligations under these coal, rail and shipping agreements are currently $46.6 million in 2009, $11.7 million in 2010, $7.6 million in 2011, and no specific commitments beyond 2011. Our minimum annual payment obligations will increase when annual nominations are made for coal deliveries in future years.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24, 2008, we received a letter from BNSF alleging that the Company defaulted on a material obligation under the Company’s Coal Transportation Agreement (CTA). In the notice, BNSF claimed we underpaid approximately $1.6 million for coal transportation services in 2006 and that failure to pay such amount plus interest may result in BNSF’s termination of the CTA. On April 1, 2008, to ensure that BNSF did not attempt to terminate the CTA, we paid under protest the full amount claimed by BNSF and filed a demand for arbitration of the issue. On April 22, 2008, BNSF filed a counterclaim in the arbitration disputing our position that we are entitled to a refund from BNSF of $1.5 million plus interest for amounts that we overpaid for 2007 deliveries. On March 11, 2009, the Company and BNSF resolved the disputes with no resulting associated Company liability or loss contingencies, and by an order dated March 27, 2009, the arbitrator dismissed the case. The delivered costs of fuel for the Company’s generation are recoverable from Minnesota Power’s utility customers through the fuel adjustment clause.</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Emerging Technology Investments. </w:t>
      </w:r>
      <w:r>
        <w:rPr>
          <w:rFonts w:ascii="Arial" w:cs="Arial" w:eastAsia="Arial" w:hAnsi="Arial"/>
          <w:sz w:val="17"/>
          <w:szCs w:val="17"/>
          <w:color w:val="auto"/>
        </w:rPr>
        <w:t>We have investments in emerging technologies through minority investments in venture capital funds structured as</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liability companies, and direct investments in privately-held, start-up companies. We have committed to make $0.7 million in additional investments in certain emerging technology venture capital funds. We do not have plans to make any additional investments beyond this commitment.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Environmental Matters. </w:t>
      </w:r>
      <w:r>
        <w:rPr>
          <w:rFonts w:ascii="Arial" w:cs="Arial" w:eastAsia="Arial" w:hAnsi="Arial"/>
          <w:sz w:val="17"/>
          <w:szCs w:val="17"/>
          <w:color w:val="auto"/>
        </w:rPr>
        <w:t>Our businesses are subject to regulation of environmental matters by various federal, state and local authorities. We consider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We review environmental matters for disclosure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our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EPA Clean Air Interstate Rule. </w:t>
      </w:r>
      <w:r>
        <w:rPr>
          <w:rFonts w:ascii="Arial" w:cs="Arial" w:eastAsia="Arial" w:hAnsi="Arial"/>
          <w:sz w:val="16"/>
          <w:szCs w:val="16"/>
          <w:color w:val="auto"/>
        </w:rPr>
        <w:t>In March 2005, the EPA announced the Clean Air Interstate Rule (CAIR) that sought to reduce and permanently cap emissions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SO</w:t>
      </w:r>
      <w:r>
        <w:rPr>
          <w:rFonts w:ascii="Arial" w:cs="Arial" w:eastAsia="Arial" w:hAnsi="Arial"/>
          <w:sz w:val="22"/>
          <w:szCs w:val="22"/>
          <w:color w:val="auto"/>
          <w:vertAlign w:val="subscript"/>
        </w:rPr>
        <w:t>2</w:t>
      </w:r>
      <w:r>
        <w:rPr>
          <w:rFonts w:ascii="Arial" w:cs="Arial" w:eastAsia="Arial" w:hAnsi="Arial"/>
          <w:sz w:val="16"/>
          <w:szCs w:val="16"/>
          <w:color w:val="auto"/>
        </w:rPr>
        <w:t>, NO</w:t>
      </w:r>
      <w:r>
        <w:rPr>
          <w:rFonts w:ascii="Arial" w:cs="Arial" w:eastAsia="Arial" w:hAnsi="Arial"/>
          <w:sz w:val="22"/>
          <w:szCs w:val="22"/>
          <w:color w:val="auto"/>
          <w:vertAlign w:val="subscript"/>
        </w:rPr>
        <w:t>X</w:t>
      </w:r>
      <w:r>
        <w:rPr>
          <w:rFonts w:ascii="Arial" w:cs="Arial" w:eastAsia="Arial" w:hAnsi="Arial"/>
          <w:sz w:val="16"/>
          <w:szCs w:val="16"/>
          <w:color w:val="auto"/>
        </w:rPr>
        <w:t>, and particulates in the eastern United States. Minnesota is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Minnesota Power has received written assurance from the EPA that it intends to publish a rule amending the CAIR to stay its effectiveness with respect to Minnesota until completion of the EPA’s determination of whether Minnesota should be included as a CAIR state. Minnesota Power anticipates the EPA will act regarding this Minnesota administrative stay of the CAIR before CAIR compliance reporting would be required in 2010. If the CAIR ultimately goes into effect in Minnesota, we expect we will have to supplement ongoing emission control retrofits by providing for CAIR related emission allowance purchases, supplemental emission reductions or a combination of both.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Regional Haze. </w:t>
      </w:r>
      <w:r>
        <w:rPr>
          <w:rFonts w:ascii="Arial" w:cs="Arial" w:eastAsia="Arial" w:hAnsi="Arial"/>
          <w:sz w:val="18"/>
          <w:szCs w:val="18"/>
          <w:color w:val="auto"/>
        </w:rPr>
        <w:t>The regional haze rule requires states to submit state implementation plans (SIPs) to the EPA to address regional haze visibility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in 156 federally-protected parks and wilderness areas. Under the regional haze rule, certain large stationary sources of visibility-impairing emissions that were put in place between 1962 and 1977 are required to install emission controls, known as best available retrofit technology (BART). We have certain steam units (Boswell Unit 3 and Taconite Harbor Unit 3) that are subject to BART requirements.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the CAIR. However, a formal SIP was never filed due to the Court’s review of CAIR as more fully described above under “EPA Clean Air Interstate Rule.” Subsequently, the MPCA has requested that companies with BART eligible units complete and submit a BART emissions control retrofit study, which was done on Taconite Harbor Unit 3 in November 2008 in order to develop a final SIP for submission to the EPA. The retrofit work currently underway on Boswell Unit 3 meets the BART requirement for that unit. It is uncertain what controls will ultimately be required at Taconite Harbor Unit 3 in connection with the regional haze rule.</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EPA Clean Air Mercury Rule. </w:t>
      </w:r>
      <w:r>
        <w:rPr>
          <w:rFonts w:ascii="Arial" w:cs="Arial" w:eastAsia="Arial" w:hAnsi="Arial"/>
          <w:sz w:val="17"/>
          <w:szCs w:val="17"/>
          <w:color w:val="auto"/>
        </w:rPr>
        <w:t>In March 2005, the EPA also announced the Clean Air Mercury Rule (CAMR) that would have reduced and permanently</w:t>
      </w:r>
      <w:r>
        <w:rPr>
          <w:rFonts w:ascii="Arial" w:cs="Arial" w:eastAsia="Arial" w:hAnsi="Arial"/>
          <w:sz w:val="17"/>
          <w:szCs w:val="17"/>
          <w:i w:val="1"/>
          <w:iCs w:val="1"/>
          <w:color w:val="auto"/>
        </w:rPr>
        <w:t xml:space="preserve"> </w:t>
      </w:r>
      <w:r>
        <w:rPr>
          <w:rFonts w:ascii="Arial" w:cs="Arial" w:eastAsia="Arial" w:hAnsi="Arial"/>
          <w:sz w:val="17"/>
          <w:szCs w:val="17"/>
          <w:color w:val="auto"/>
        </w:rPr>
        <w:t>capped electric utility mercury emissions in the continental United States through a cap and trade program. In February 2008, the Court vacated the CAMR and remanded the rulemaking to the EPA for reconsideration. In October 2008, the Department of Justice, on behalf of the EPA, petitioned the Supreme Court to review the Court’s decision in the CAMR case. In January 2009, the EPA withdrew their petition, paving the way for possible regulation of mercury emissions through Section 112 of the Clean Air Act, setting Maximum Achievable Control Technology standards for the utility sector. Cost estimates for complying with potential future mercury regulations under the Clean Air Act are premature at this time.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New Source Review. </w:t>
      </w:r>
      <w:r>
        <w:rPr>
          <w:rFonts w:ascii="Arial" w:cs="Arial" w:eastAsia="Arial" w:hAnsi="Arial"/>
          <w:sz w:val="18"/>
          <w:szCs w:val="18"/>
          <w:color w:val="auto"/>
        </w:rPr>
        <w:t>On August 8, 2008, Minnesota Power received a Notice of Violation (NOV) from the United States EPA asserting violations of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Source Review (NSR) requirements of 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has been conducting a nationwide enforcement initiative since 1999 relating to NSR requirements. In 2000, 2001, and 2002 Minnesota Power received requests from the EPA pursuant to Section 114(a) of the Clean Air Act seeking information regarding capital expenditures with respect to Boswell and Laskin. Minnesota Power responded to these requests; however, we had no further communications from the EPA regarding the information provided until receipt of the NOV.</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within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We have accrued a $0.5 million liability for this site as of March 31, 2009, and have recorded a corresponding regulatory asset as we expect recovery of remediation costs to be allowed by the PSCW.</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2009, ALLETE Properties, through its subsidiaries, had surety bonds outstanding of $18.2 million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maintenance obligations for governmental entities to construct improvements in the Company’s various projects. The cost of the remaining work to be completed on these improvements is estimated to be approximately $8.5 million, and ALLETE Properties does not believe it is likely that any of these outstanding bonds will be drawn upon.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2005, the Town Center District issued $26.4 million of tax-exempt, 6% Capital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Bonds, Series 2005; and in May 2006, the Palm Coast Park District issued $31.8 million of tax-exempt, 5.7%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assessments imposed, levied and collected by each district. The assessments were billed to the landowners in November 2006, for Town Center and November 2007, for Palm Coast Park. To the extent that we still own land at the time of the assessment, in accordance with EITF 91-10, “Accounting for Special Assessments and Tax Increment Financing Entities,” we will incur the cost of our portion of these assessments, based upon our ownership of benefited property. At March 31, 2009, we owned 69 percent of the assessable land in the Town Center District (69 percent at December 31, 2008) and 86 percent of the assessable land in the Palm Coast Park District (86 percent at December 31, 2008). As we sell property, the obligation to pay special assessments will pass to the new landowners. Under current accounting rules, these bonds are not reflected as debt on our consolidated balance sheet.</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2008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20 of our 2008 Form 10-K. The risks and uncertainties described in this Form 10-Q and our 2008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143,000 retail customers and wholesale electric service to 16 municipalities. SWL&amp;P provides regulated electric service, natural gas and water service in northwestern Wisconsin to 15,000 electric customers, 12,000 natural gas customers and 10,000 water customers. Our regulated utility operations include retail and wholesale activities under the jurisdiction of state and federal regulatory authorities.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This segment also includes Emerging Technology Investments ($6.2 million at March 31, 2009), a small amount of non-rate base generation, approximately 7,000 acres of land for sale in Minnesota, and earnings on cash and short-term investments.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2009, unless otherwise indicated. All subsidiaries are wholly owned unless otherwise specifically indicated. References in this report to “we,” “us” and “our” are to ALLETE and its subsidiaries, collectively.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quarter ended March 31, 2009 to the quarter ended March 31, 2008.</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2009 was $16.9 million, or $0.55 per diluted share compared to $23.6 million, or $0.82 per diluted share for 2008. Earnings per diluted share decreased approximately $0.04 compared to 2008 as a result of additional shares of common stock outstanding in 2009. (See Note 11. Earnings Per Share.) Net income for 2009 was down $6.7 million from 2008.</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contributed income of $17.7 million in 2009 ($20.1 million in 2008). The decrease in earnings is primarily due to rate refunds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2008 as a result of an April 3, 2009 MPUC hearing, and higher depreciation and interest expense. The decrease was partially offset by:</w:t>
      </w:r>
    </w:p>
    <w:p>
      <w:pPr>
        <w:spacing w:after="0" w:line="169" w:lineRule="exact"/>
        <w:rPr>
          <w:sz w:val="20"/>
          <w:szCs w:val="20"/>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August 1, 2008 interim rate increase, net of 2009 estimated rate refunds for retail customers in Minnesota; and</w:t>
      </w:r>
    </w:p>
    <w:p>
      <w:pPr>
        <w:spacing w:after="0" w:line="23" w:lineRule="exact"/>
        <w:rPr>
          <w:rFonts w:ascii="Arial" w:cs="Arial" w:eastAsia="Arial" w:hAnsi="Arial"/>
          <w:sz w:val="18"/>
          <w:szCs w:val="18"/>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FERC approved wholesale rate increases for our municipal customers on March 1, 2008 and February 1, 2009.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addition, lower sales to our large power customers were mostly offset by higher sales to Other Power Suppliers.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a net loss of $0.8 million in 2009 ($3.5 million net income in 2008).</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2009 is primarily due to the sale of certain available-for-sale securities in the first quarter of 2008, and a net loss at ALLETE Properties of $1.1 million in the quarter ended Mach 31, 2009 ($0.5 million net loss in the quarter ended March 31, 2008), which continues to experience difficult real estate market conditions in Florida.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MARCH 31, 2009 AND 2008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Business Segments for financial results by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$12.2 million, or 6 percent, from 2008 due to lower fuel and purchased power recoveries, lower retail and municipal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kilowatt-hour sales, and estimated prior year retail rate refunds related to our 2008 retail rate case anticipated to be paid to our customers. These decreases were partially offset by higher sales to Other Power Suppliers and higher rates.</w:t>
      </w:r>
    </w:p>
    <w:p>
      <w:pPr>
        <w:spacing w:after="0" w:line="20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Lower fuel and purchased power recoveries along with a decrease in retail and municipal kilowatt-hour sales combined for a total revenue reduction of $25.4 million. Fuel and purchased power recoveries decreased due to a $13.5 million reduction in fuel and purchased power expense. (See Fuel and Purchased Power Expense discussion below.) Total kilowatt-hour sales to retail and municipal customers decreased 17.6 percent from 2008 primarily due to idled production lines and plant closures at some of our taconite customers.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prior year retail rate refunds based on an April 3, 2009 MPUC hearing total $5.3 million.</w:t>
      </w:r>
    </w:p>
    <w:p>
      <w:pPr>
        <w:spacing w:after="0" w:line="2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decrease in kilowatt-hour sales to retail and municipal customers has been more than offset by revenue from electric sales to Other Power Suppliers which increased $15.0 million in 2009. Sales to Other Power Suppliers are sold at market-based prices into the MISO market on a daily basis or through bilateral agreements of various durations.</w:t>
      </w:r>
    </w:p>
    <w:p>
      <w:pPr>
        <w:spacing w:after="0" w:line="20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Higher rates resulting from the August 1, 2008 interim rate increase for retail customers in Minnesota increased revenue by $4.8 million, net of estimated refunds, and the FERC approved wholesale rate increases for our municipal customers on March 1, 2008 and February 1, 2009 increased revenue by $2.2 million.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COMPARISON OF THE QUARTERS ENDED MARCH 31, 2009 AND 2008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1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Ended March 31,</w:t>
            </w:r>
          </w:p>
        </w:tc>
        <w:tc>
          <w:tcPr>
            <w:tcW w:w="2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Regulated Utility</w:t>
            </w:r>
          </w:p>
        </w:tc>
        <w:tc>
          <w:tcPr>
            <w:tcW w:w="2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Residential</w:t>
            </w:r>
          </w:p>
        </w:tc>
        <w:tc>
          <w:tcPr>
            <w:tcW w:w="2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375</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363</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980"/>
              <w:spacing w:after="0"/>
              <w:rPr>
                <w:sz w:val="20"/>
                <w:szCs w:val="20"/>
                <w:color w:val="auto"/>
              </w:rPr>
            </w:pPr>
            <w:r>
              <w:rPr>
                <w:rFonts w:ascii="Arial" w:cs="Arial" w:eastAsia="Arial" w:hAnsi="Arial"/>
                <w:sz w:val="18"/>
                <w:szCs w:val="18"/>
                <w:color w:val="auto"/>
              </w:rPr>
              <w:t>Commercial</w:t>
            </w:r>
          </w:p>
        </w:tc>
        <w:tc>
          <w:tcPr>
            <w:tcW w:w="2440" w:type="dxa"/>
            <w:vAlign w:val="bottom"/>
          </w:tcPr>
          <w:p>
            <w:pPr>
              <w:jc w:val="right"/>
              <w:ind w:right="210"/>
              <w:spacing w:after="0"/>
              <w:rPr>
                <w:sz w:val="20"/>
                <w:szCs w:val="20"/>
                <w:color w:val="auto"/>
              </w:rPr>
            </w:pPr>
            <w:r>
              <w:rPr>
                <w:rFonts w:ascii="Arial" w:cs="Arial" w:eastAsia="Arial" w:hAnsi="Arial"/>
                <w:sz w:val="18"/>
                <w:szCs w:val="18"/>
                <w:color w:val="auto"/>
              </w:rPr>
              <w:t>379</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160" w:type="dxa"/>
            <w:vAlign w:val="bottom"/>
          </w:tcPr>
          <w:p>
            <w:pPr>
              <w:jc w:val="right"/>
              <w:spacing w:after="0"/>
              <w:rPr>
                <w:sz w:val="20"/>
                <w:szCs w:val="20"/>
                <w:color w:val="auto"/>
              </w:rPr>
            </w:pPr>
            <w:r>
              <w:rPr>
                <w:rFonts w:ascii="Arial" w:cs="Arial" w:eastAsia="Arial" w:hAnsi="Arial"/>
                <w:sz w:val="18"/>
                <w:szCs w:val="18"/>
                <w:color w:val="auto"/>
              </w:rPr>
              <w:t>(0.8)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Industrial</w:t>
            </w:r>
          </w:p>
        </w:tc>
        <w:tc>
          <w:tcPr>
            <w:tcW w:w="2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1,323</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1,823</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Municipals</w:t>
            </w:r>
          </w:p>
        </w:tc>
        <w:tc>
          <w:tcPr>
            <w:tcW w:w="2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265</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273</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Retail and Municipals</w:t>
            </w:r>
          </w:p>
        </w:tc>
        <w:tc>
          <w:tcPr>
            <w:tcW w:w="2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2,342</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2,841</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Power Suppliers</w:t>
            </w:r>
          </w:p>
        </w:tc>
        <w:tc>
          <w:tcPr>
            <w:tcW w:w="2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916</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404</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Regulated Utility Kilowatt-hours Sold</w:t>
            </w:r>
          </w:p>
        </w:tc>
        <w:tc>
          <w:tcPr>
            <w:tcW w:w="2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3,258</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3,245</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Revenue from electric sales to taconite customers accounted for 19 percent of consolidated operating revenue during the first three months of 2009 (26 percent in 2008). The decrease in revenue to our taconite customers was offset by revenue from electric sales to Other Power Suppliers which accounted for 17 percent of consolidated operating revenue during the first three months of 2009 (9 percent in 2008). Revenue from electric sales to paper and pulp mills accounted for 8 percent of consolidated operating revenue during the first three months of 2009 (9 percent in 2008). Revenue from electric sales to pipelines and other industrials accounted for 7 percent of consolidated operating revenue during the first three months of 2009 (7 percent in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$10.6 million, or 7 percent, from 2008.</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$13.5 million, or 16 percent, from 2008 primarily due to a decrease in purchased power expense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lower market prices for energy.</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$0.3 million from 2008 reflecting higher labor and benefits and rate case expenses, which were mostly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natural gas purchases due to a decline in the price and quantity of natural gas.</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$2.6 million, or 23 percent, from 2008 reflecting higher property, plant, and equipment balances placed in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annual depreciation rates for distribution and transmission.</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$1.5 million, or 26 percent, from 2008 primarily due to higher long-term debt balances from increased construction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$0.3 million related to estimated rate refunds.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$1.6 million, or 8 percent, from 2008 primarily due to a decrease in revenue at ALLETE Properties reflecting 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weak real estate market conditions in Florida and the loss of rental income related to the retail shopping center in Winter Haven, Florida which was sold in the second quarter of 2008.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200" w:type="dxa"/>
            <w:vAlign w:val="bottom"/>
            <w:shd w:val="clear" w:color="auto" w:fill="CCEEFF"/>
          </w:tcPr>
          <w:p>
            <w:pPr>
              <w:ind w:left="2760"/>
              <w:spacing w:after="0"/>
              <w:rPr>
                <w:sz w:val="20"/>
                <w:szCs w:val="20"/>
                <w:color w:val="auto"/>
              </w:rPr>
            </w:pPr>
            <w:r>
              <w:rPr>
                <w:rFonts w:ascii="Arial" w:cs="Arial" w:eastAsia="Arial" w:hAnsi="Arial"/>
                <w:sz w:val="18"/>
                <w:szCs w:val="18"/>
                <w:b w:val="1"/>
                <w:bCs w:val="1"/>
                <w:color w:val="auto"/>
              </w:rPr>
              <w:t>2009</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320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Quantity</w:t>
            </w: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Amount</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8"/>
              </w:rPr>
              <w:t>Quantity</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3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 from Land Sales</w:t>
            </w:r>
          </w:p>
        </w:tc>
        <w:tc>
          <w:tcPr>
            <w:tcW w:w="3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3200" w:type="dxa"/>
            <w:vAlign w:val="bottom"/>
            <w:tcBorders>
              <w:bottom w:val="single" w:sz="8" w:color="auto"/>
            </w:tcBorders>
          </w:tcPr>
          <w:p>
            <w:pPr>
              <w:ind w:left="2760"/>
              <w:spacing w:after="0"/>
              <w:rPr>
                <w:sz w:val="20"/>
                <w:szCs w:val="20"/>
                <w:color w:val="auto"/>
              </w:rPr>
            </w:pPr>
            <w:r>
              <w:rPr>
                <w:rFonts w:ascii="Arial" w:cs="Arial" w:eastAsia="Arial" w:hAnsi="Arial"/>
                <w:sz w:val="18"/>
                <w:szCs w:val="18"/>
                <w:color w:val="auto"/>
              </w:rPr>
              <w:t>19</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(b)</w:t>
            </w:r>
          </w:p>
        </w:tc>
        <w:tc>
          <w:tcPr>
            <w:tcW w:w="3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Deferred Revenue</w:t>
            </w:r>
          </w:p>
        </w:tc>
        <w:tc>
          <w:tcPr>
            <w:tcW w:w="3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 from Land Sales</w:t>
            </w:r>
          </w:p>
        </w:tc>
        <w:tc>
          <w:tcPr>
            <w:tcW w:w="3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Revenue</w:t>
            </w:r>
          </w:p>
        </w:tc>
        <w:tc>
          <w:tcPr>
            <w:tcW w:w="3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3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42"/>
        <w:spacing w:after="0"/>
        <w:tabs>
          <w:tab w:leader="none" w:pos="340" w:val="left"/>
        </w:tabs>
        <w:numPr>
          <w:ilvl w:val="1"/>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non-controlling interest.</w:t>
      </w:r>
    </w:p>
    <w:p>
      <w:pPr>
        <w:spacing w:after="0" w:line="23" w:lineRule="exact"/>
        <w:rPr>
          <w:rFonts w:ascii="Arial" w:cs="Arial" w:eastAsia="Arial" w:hAnsi="Arial"/>
          <w:sz w:val="18"/>
          <w:szCs w:val="18"/>
          <w:i w:val="1"/>
          <w:iCs w:val="1"/>
          <w:color w:val="auto"/>
        </w:rPr>
      </w:pPr>
    </w:p>
    <w:p>
      <w:pPr>
        <w:ind w:left="320" w:hanging="258"/>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total contract sales price on closed land transactions. Land sales are recorded using a percentage-of-completion method.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COMPARISON OF THE QUARTERS ENDED MARCH 31, 2009 AND 2008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$3.0 million, or 14 percent, from 2008 reflecting a decrease in the cost of real estate sold and decreased selling expenses.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$1.2 million from 2008 primarily due to higher long term debt balances.</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$7.6 million from 2008 primarily due to the absence of a $6.8 million gain realized from the sale of certain available-for-sale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in the first quarter of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For the quarter ended March 31, 2009, the effective tax rate was 39.0 percent (36.6 percent for the quarter ended March 31, 2008). The effective tax rate in both years deviated from the statutory rate (approximately 41 percent) primarily due to deductions for Medicare health subsidies, AFUDC-Equity, depletion, investment tax credits, and wind production tax credits.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of our 2008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ALLETE is committed to earning a financial return that rewards our shareholders, allows for reinvestment in our businesses and sustains growth. Minnesota Power’s industrial customers are facing weak conditions in the markets for their products, and have and may continue to reduce the amount of energy they use. We will work to sell this released energy in the wholesale markets, and believe that our ability to produce energy at low cost will be a competitive advantage. Our focus will be to maintain the competitively-priced production of energy, while meeting environmental requirements. Minnesota Power will also focus on maintaining competitive retail rates, as we believe this is important to the success of our customers.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going forward is to focus on growth opportunities within our core business as we expect to continue making significant investments to comply with renewable and environmental requirements, maintain our existing low-cost generation fleet, and strengthen and enhance the regional transmission grid. We will also look for additional transmission and renewable energy opportunities which take advantage of our geographical location between sources of renewable energy and growing energy markets. Earnings from our ATC investment are expected to grow as we anticipate making additional investments to fund our pro-rata share of ATC’s capital expansion program. We expect to invest $5 to $7 million in ATC throughout 2009.</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 expects significant rate base growth over the next several years as it continues its program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renewable energy requirements and environmental mandates. In addition, significant investment will be made in our existing low-cost generation fleet to provide for continued future operations. We anticipate our capital investments will be recovered through a combination of current cost recovery riders and anticipated increased base electric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Cases</w:t>
      </w:r>
      <w:r>
        <w:rPr>
          <w:rFonts w:ascii="Arial" w:cs="Arial" w:eastAsia="Arial" w:hAnsi="Arial"/>
          <w:sz w:val="18"/>
          <w:szCs w:val="18"/>
          <w:color w:val="auto"/>
        </w:rPr>
        <w:t>. Entities within our Regulated Operations segment file for periodic rate revisions with the MPUC, the FERC or the PSCW.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wholesale customers consist of 16 municipalities in Minnesota and 1 private utility in Wisconsin. SWL&amp;P, a wholly-owned subsidiary of ALLETE, is also a private utility in Wisconsin and a wholesale customer of Minnesota Power. In 2008, Minnesota Power entered into new contracts with all of our wholesale customers with the exception of one small customer whose contract is now in the cancellation period. The new contracts transition each customer to formula-based rates, which means rates can be adjusted annually based on changes in costs. The new agreements with the private utilities in Wisconsin are subject to PSCW approval. In February 2009, the FERC approved our municipal contracts, including the formula-based rate provision. A 9.5 percent rate increase for our municipal customers was implemented on February 1, 2009 under the formula-based rate provision. Incremental revenue from this rate increase is expected to be approximately $7 million on an annualized basis.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2, 2008, Minnesota Power filed a rate increase request with the MPUC seeking an average rate increase of 8.5 percent for retail customers. The retail rate filing sought a return on equity of 11.15 percent, and a capital structure consisting of 54.8 percent equity and 45.2 percent debt. On an annualized basis, the requested rate increase would have generated approximately $40 million in additional revenue. Interim rates went into effect on August 1, 2008, and resulted in an increase for retail customers of approximately $36 million, or 7.5 percent, on an annualized basis, subject to refund pending the final rate order.</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3, 2009, the MPUC deliberated and voted on our retail rate filing. Based on this hearing, we estimate that the MPUC will order an overall rate increase of approximately 4.5 percent when a formal written order (Order) is issued on or before May 4, 2009. The MPUC approved a 10.74 percent return on common equity and a capital structure consisting of 54.8 percent equity and 45.2 percent debt. The MPUC also approved the stipulation and settlement agreement that affirmed the Company’s continued recovery of fuel and purchased power costs under the former base cost of fuel that was in effect prior to the retail rate filing. The approved agreement eliminates the possibility that approximately $19 million of fuel and purchased power costs incurred in 2008 would not be recovered via the fuel adjustment clause. Once the Order has been issued, any party may request reconsideration to the MPUC. After reconsideration, any party may appeal to the Minnesota Court of Appeals. We will continue collecting interim rates from our customers until the new rates go into effect, which will be after the reconsideration period has expired and after all compliance filings are completed and accepted. Reconsideration of the order or modifications during compliance could affect the final rate increase estimate.</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2009, we recorded an $8.9 million liability, including interest, for refunds anticipated to be paid to our customers as a result of the MPUC hearing on our retail rate filing. Current year rate refunds totaling $3.3 million have been netted against operating revenue on our consolidated statement of income and prior year rate refunds totaling $5.3 million are stated separately. Interest expense of $0.3 million was also recorded on our consolidated statement of income related to rate refunds. Refunds will commence once final rates are effective.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SWL&amp;P’s current retail rates are based on a December 2008, PSCW retail rate order that became effective January 1, 2009, and allows for an 11.1 percent return on common equity. The new rates reflect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mining, paper production, and pipeline industries. Approximately 41 percent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Regulated Utility kilowatt-hour sales were made to our industrial customers in the quarter ended March 31, 2009, which includes the taconite, paper and pulp, and pipeline industries.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Strong worldwide steel demand, driven largely by extensive infrastructure development in China, resulted in very robust world iron ore demand and steel pricing for nearly a six year period which lasted through the summer of 2008. Between 2004 and 2008, annual taconite production averaged just over 40 million tons per year from taconite mines in Northeastern Minnesota. Beginning in the fall of 2008, worldwide steel makers began to dramatically cut steel production in response to reduced demand driven largely by the world credit situation. During the fourth quarter of 2008, United States raw steel production was running at less than 50 percent of capacity and at levels not seen since the early 1980s. Currently, domestic raw steel production is at approximately 45 percent of capacity reflecting poor demand in automobiles, durable goods, structural, and other steel products. In late 2008, Minnesota taconite producers began to feel the impacts of decreased steel demand. As a result, reduced taconite production levels are occurring in 2009. Consequently, 2009 demand nominations for power from our taconite customers are expected to be lower by approximately 40 percent from 2008 levels. We continue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To date in 2009, we have successfully mitigated approximately 85 percent of the expected annual earnings impact. These contracts expire at various times during 2009 and 2010, and have pricing levels similar to the rates charged to our large power customers. If our taconite customers continue to nominate reduced demand we will have additional power to sell in 2009. We are unable to predict pricing levels on any such sales at this time.</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Renewable Generation Sources. </w:t>
      </w:r>
      <w:r>
        <w:rPr>
          <w:rFonts w:ascii="Arial" w:cs="Arial" w:eastAsia="Arial" w:hAnsi="Arial"/>
          <w:sz w:val="16"/>
          <w:szCs w:val="16"/>
          <w:color w:val="auto"/>
        </w:rPr>
        <w:t>In February 2007, Minnesota enacted a law requiring Minnesota Power to generate or procure 25 percent of its energy from</w:t>
      </w:r>
      <w:r>
        <w:rPr>
          <w:rFonts w:ascii="Arial" w:cs="Arial" w:eastAsia="Arial" w:hAnsi="Arial"/>
          <w:sz w:val="16"/>
          <w:szCs w:val="16"/>
          <w:i w:val="1"/>
          <w:iCs w:val="1"/>
          <w:color w:val="auto"/>
        </w:rPr>
        <w:t xml:space="preserve"> </w:t>
      </w:r>
      <w:r>
        <w:rPr>
          <w:rFonts w:ascii="Arial" w:cs="Arial" w:eastAsia="Arial" w:hAnsi="Arial"/>
          <w:sz w:val="16"/>
          <w:szCs w:val="16"/>
          <w:color w:val="auto"/>
        </w:rPr>
        <w:t>renewable energy sources by 2025. The law also requires Minnesota Power to meet interim milestones of 12 percent by 2012, 17 percent by 2016, 20 percent by 2020, and 25 percent by 2025.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 Minnesota Power believes it will meet the requirements of this legislation.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areas in which we operate have strong wind, water and biomass resources, and provide us with opportunities to develop a number of renewable forms of generation. Our electric service area in northeastern Minnesota is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cooperatively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 For more than a century, we have been Minnesota’s leading producer of renewable hydroelectric energy.</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executing our renewable energy and environmental compliance strategy. Taconite Ridge Wind I, a $50 million, 25-MW wind facility located in northeastern Minnesota became operational in 2008. In 2006 and 2007, we entered into two long-term purchase power agreements for a total of 98 MWs of wind energy constructed in North Dakota (Oliver Wind I and II); 366,945 megawatt-hours were purchased under these agreements in 2008.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North Dakota Wind Project. </w:t>
      </w:r>
      <w:r>
        <w:rPr>
          <w:rFonts w:ascii="Arial" w:cs="Arial" w:eastAsia="Arial" w:hAnsi="Arial"/>
          <w:sz w:val="17"/>
          <w:szCs w:val="17"/>
          <w:color w:val="auto"/>
        </w:rPr>
        <w:t>In March 2009, we filed a petition with the MPUC for current cost recovery of investments and expenditures related to the Bison</w:t>
      </w:r>
      <w:r>
        <w:rPr>
          <w:rFonts w:ascii="Arial" w:cs="Arial" w:eastAsia="Arial" w:hAnsi="Arial"/>
          <w:sz w:val="17"/>
          <w:szCs w:val="17"/>
          <w:i w:val="1"/>
          <w:iCs w:val="1"/>
          <w:color w:val="auto"/>
        </w:rPr>
        <w:t xml:space="preserve"> </w:t>
      </w:r>
      <w:r>
        <w:rPr>
          <w:rFonts w:ascii="Arial" w:cs="Arial" w:eastAsia="Arial" w:hAnsi="Arial"/>
          <w:sz w:val="17"/>
          <w:szCs w:val="17"/>
          <w:color w:val="auto"/>
        </w:rPr>
        <w:t>I Wind Project (Bison I) and associated transmission upgrades. With MPUC approval, Bison I will become the first portion of several hundred MWs of the North Dakota Wind Project, which upon completion is expected to complete the 2025 renewable energy supply requirements for our retail load. Bison I will be located southwest of Center, North Dakota and comprised of 33 wind turbines with a nameplate capacity of 75 MWs. As part of the North Dakota Wind Project, we announced plans to purchase an existing 250 kV DC transmission line to transport this wind energy to our customers while gradually reducing the supply of energy currently delivered to our system on this same transmission line from Square Butte’s coal-fired Milton R. Young Unit 2. In September 2008, we signed an agreement to purchase the transmission line from Square Butte for approximately $80 million. The transaction is subject to regulatory approvals and is anticipated to close in 2009.</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On October 31, 2007, Minnesota Power filed its Integrated Resource Plan (IRP), a comprehensive estimate of future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needs within the Minnesota Power service territory. In October 2008, the MPUC issued an order approving our request to re-file the IRP by October 1, 2009 in order to incorporate the North Dakota Wind Project and otherwise update our load forecasting and modeling in the IRP.</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 2020. </w:t>
      </w:r>
      <w:r>
        <w:rPr>
          <w:rFonts w:ascii="Arial" w:cs="Arial" w:eastAsia="Arial" w:hAnsi="Arial"/>
          <w:sz w:val="18"/>
          <w:szCs w:val="18"/>
          <w:color w:val="auto"/>
        </w:rPr>
        <w:t>Minnesota Power is a participant in the CapX 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 2020 includes the state's largest transmission owners, including electric cooperatives, municipals and investor-owned utilities, and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CapX 2020 participants filed a request for a Certificate of Need for three 345 kV lines and associated system interconnections with the MPUC in August 2007. The MPUC determined that it will issue a Certificates of Need for these 345 kV lines in a hearing held April 16, 2009. The MPUC must now determine routes for the new lines in subsequent proceedings. Portions of the 345 kV lines will also require approvals by federal officials and by regulators in North Dakota, South Dakota and Wisconsin. A fourth line, a 230 kV line in north central Minnesota, is also among the CapX 2020 projects. A request for a Certificate of Need for this line was filed in March 2008, and a Route Permit application was filed in June 2008. The MPUC decision on need and routing are expected in 2010.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may invest in two of the lines, a 250-mile 345 kV line between Fargo, North Dakota and Monticello, Minnesota, and a 70-mile 230 kV line between Bemidji and Grand Rapids, Minnesota. Our total investment in these two lines is expected to be approximately $80 million. Upon receipt of the required Certificates of Need, we intend to include these costs in an annual filing with the MPUC for current cost recovery of the expenditures related to our investment in the lines under a Minnesota Power transmission cost recovery tariff rider mechanism authorized by Minnesota legislation. Construction of the lines is targeted to begin in 2010 and last approximately three to four years.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Boswell Unit 3 Emission Reduction Plan. </w:t>
      </w:r>
      <w:r>
        <w:rPr>
          <w:rFonts w:ascii="Arial" w:cs="Arial" w:eastAsia="Arial" w:hAnsi="Arial"/>
          <w:sz w:val="17"/>
          <w:szCs w:val="17"/>
          <w:color w:val="auto"/>
        </w:rPr>
        <w:t>We are making emission reduction investments at our Boswell Unit 3 generating unit. The investments in pollution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equipment will reduce particulates, 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color w:val="auto"/>
        </w:rPr>
        <w:t>, and mercury emissions to meet future federal and state requirements. The MPUC has authorized a cash return on construction work in progress during the construction phase in lieu of AFUDC and allows for a return on investment and current cost recovery of incremental operations and maintenance expenses once the new equipment is installed and the unit is placed back in service in late 2009. We began cost recovery on January 1, 2008. In September 2008, we filed a petition with the MPUC to approve the Boswell Unit 3 billing factor adjustment for 2009. Pending approval, customers will continue to be billed under the 2008 billing factor previously approved by the MPUC.</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16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i w:val="1"/>
          <w:iCs w:val="1"/>
          <w:color w:val="auto"/>
        </w:rPr>
        <w:t>Boswell NO</w:t>
      </w:r>
      <w:r>
        <w:rPr>
          <w:rFonts w:ascii="Arial" w:cs="Arial" w:eastAsia="Arial" w:hAnsi="Arial"/>
          <w:sz w:val="25"/>
          <w:szCs w:val="25"/>
          <w:i w:val="1"/>
          <w:iCs w:val="1"/>
          <w:color w:val="auto"/>
          <w:vertAlign w:val="subscript"/>
        </w:rPr>
        <w:t>X</w:t>
      </w:r>
      <w:r>
        <w:rPr>
          <w:rFonts w:ascii="Arial" w:cs="Arial" w:eastAsia="Arial" w:hAnsi="Arial"/>
          <w:sz w:val="18"/>
          <w:szCs w:val="18"/>
          <w:i w:val="1"/>
          <w:iCs w:val="1"/>
          <w:color w:val="auto"/>
        </w:rPr>
        <w:t xml:space="preserve"> Reduction Plan. </w:t>
      </w:r>
      <w:r>
        <w:rPr>
          <w:rFonts w:ascii="Arial" w:cs="Arial" w:eastAsia="Arial" w:hAnsi="Arial"/>
          <w:sz w:val="18"/>
          <w:szCs w:val="18"/>
          <w:color w:val="auto"/>
        </w:rPr>
        <w:t>In September 2008, we submitted to the MPCA and MPUC a $92 million environmental initiative proposing cost recovery for</w:t>
      </w:r>
      <w:r>
        <w:rPr>
          <w:rFonts w:ascii="Arial" w:cs="Arial" w:eastAsia="Arial" w:hAnsi="Arial"/>
          <w:sz w:val="18"/>
          <w:szCs w:val="18"/>
          <w:i w:val="1"/>
          <w:iCs w:val="1"/>
          <w:color w:val="auto"/>
        </w:rPr>
        <w:t xml:space="preserve"> </w:t>
      </w:r>
      <w:r>
        <w:rPr>
          <w:rFonts w:ascii="Arial" w:cs="Arial" w:eastAsia="Arial" w:hAnsi="Arial"/>
          <w:sz w:val="18"/>
          <w:szCs w:val="18"/>
          <w:color w:val="auto"/>
        </w:rPr>
        <w:t>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emission reductions from Boswell Units 1, 2, and 4. If approved by the MPUC, the Boswell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Reduction Plan is expected to significantly reduce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emissions from these units. In conjunction with the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reduction, we plan to install an efficiency improvement to the existing turbine/generator at Boswell Unit 4 adding approximately 60 MWs of total output with no additional emissions. A second filing requesting cost recovery for the plan will be submitted to the MPUC in the second quarter of 2009.</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Transmission. </w:t>
      </w:r>
      <w:r>
        <w:rPr>
          <w:rFonts w:ascii="Arial" w:cs="Arial" w:eastAsia="Arial" w:hAnsi="Arial"/>
          <w:sz w:val="18"/>
          <w:szCs w:val="18"/>
          <w:color w:val="auto"/>
        </w:rPr>
        <w:t>In September 2008, in connection with our existing cost recovery rider for transmission expenditures, we filed a petition with the MPUC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our 2009 billing factor adjustment for ongoing transmission expenditures. The annual billing factor allows us to charge our retail customers on a current basis for the costs of constructing these facilities plus a return on the capital invested. These expenditures include the Badoura and Tower transmission projects and certain statutorily authorized MISO related transmission facility charges. The Badoura and Tower transmission projects are being developed to address transmission inadequacies in northeastern Minnesota. Both projects will provide regional transmission benefits through increased voltage support and additional line capacity.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At March 31, 2009, our equity investment was $79.7 million, representing an approximate 8 percent ownership interest. ATC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service under rates regulated by the FERC that are set in accordance with the FERC’s policy of establishing the independent operation and ownership of, and investment in, transmission facilities. ATC rates are based on a 12.2 percent return on common equity dedicated to utility plant. ATC has identified $2.7 billion in future projects needed over the next 10 years to improve the adequacy and reliability of the electric transmission system. These investments are expected to be funded through a combination of debt and investor contributions. As additional opportunities arise, we plan to make additional investments in ATC through general capital calls based upon our pro-rata ownership interest in ATC. As of April 30, 2009, we have invested $3.5 million of the estimated $5 to $7 million for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4.5 million tons of coal in 2009 (4.5 million tons were sold in 2008) and has sold approximately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tons in the first quarter of 2009 (1.0 million tons sold in the first quarter of 2008).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is our real estate business that has operated in Florida since 1991. Our current strategy is to complete and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key entitlements and infrastructure improvements which enhance values without requiring significant additional investment, and position the current property portfolio for a maximization of value and cash flow when market conditions improve.</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two major development projects include Town Center and Palm Coast Park. A third proposed development project, Ormond Crossings, is in the permitting and planning stage. Development activities involve mainly zoning, permitting, platting, and master infrastructure construction. Development costs are financed through a combination of community development district bonds, bank loans, and internally-generated funds.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26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Residential</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Non-residential</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Land Available-for-Sale</w:t>
            </w:r>
          </w:p>
        </w:tc>
        <w:tc>
          <w:tcPr>
            <w:tcW w:w="26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Ownership</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Development Projects</w:t>
            </w:r>
          </w:p>
        </w:tc>
        <w:tc>
          <w:tcPr>
            <w:tcW w:w="2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Town Center</w:t>
            </w:r>
          </w:p>
        </w:tc>
        <w:tc>
          <w:tcPr>
            <w:tcW w:w="2680" w:type="dxa"/>
            <w:vAlign w:val="bottom"/>
          </w:tcPr>
          <w:p>
            <w:pPr>
              <w:jc w:val="center"/>
              <w:ind w:left="1130"/>
              <w:spacing w:after="0"/>
              <w:rPr>
                <w:sz w:val="20"/>
                <w:szCs w:val="20"/>
                <w:color w:val="auto"/>
              </w:rPr>
            </w:pPr>
            <w:r>
              <w:rPr>
                <w:rFonts w:ascii="Arial" w:cs="Arial" w:eastAsia="Arial" w:hAnsi="Arial"/>
                <w:sz w:val="18"/>
                <w:szCs w:val="18"/>
                <w:color w:val="auto"/>
                <w:w w:val="94"/>
              </w:rPr>
              <w:t>80%</w:t>
            </w: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2008</w:t>
            </w:r>
          </w:p>
        </w:tc>
        <w:tc>
          <w:tcPr>
            <w:tcW w:w="26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 in Estimate</w:t>
            </w:r>
          </w:p>
        </w:tc>
        <w:tc>
          <w:tcPr>
            <w:tcW w:w="2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At March 31, 2009</w:t>
            </w:r>
          </w:p>
        </w:tc>
        <w:tc>
          <w:tcPr>
            <w:tcW w:w="2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2,268,400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Palm Coast Park</w:t>
            </w:r>
          </w:p>
        </w:tc>
        <w:tc>
          <w:tcPr>
            <w:tcW w:w="2680" w:type="dxa"/>
            <w:vAlign w:val="bottom"/>
          </w:tcPr>
          <w:p>
            <w:pPr>
              <w:jc w:val="center"/>
              <w:ind w:left="1130"/>
              <w:spacing w:after="0"/>
              <w:rPr>
                <w:sz w:val="20"/>
                <w:szCs w:val="20"/>
                <w:color w:val="auto"/>
              </w:rPr>
            </w:pPr>
            <w:r>
              <w:rPr>
                <w:rFonts w:ascii="Arial" w:cs="Arial" w:eastAsia="Arial" w:hAnsi="Arial"/>
                <w:sz w:val="18"/>
                <w:szCs w:val="18"/>
                <w:color w:val="auto"/>
                <w:w w:val="91"/>
              </w:rPr>
              <w:t>100%</w:t>
            </w: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2008</w:t>
            </w:r>
          </w:p>
        </w:tc>
        <w:tc>
          <w:tcPr>
            <w:tcW w:w="26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 in Estimate</w:t>
            </w:r>
          </w:p>
        </w:tc>
        <w:tc>
          <w:tcPr>
            <w:tcW w:w="2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At March 31, 2009</w:t>
            </w:r>
          </w:p>
        </w:tc>
        <w:tc>
          <w:tcPr>
            <w:tcW w:w="2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3,436</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3,555,000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Current Development Projects</w:t>
            </w:r>
          </w:p>
        </w:tc>
        <w:tc>
          <w:tcPr>
            <w:tcW w:w="2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4,427</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5,418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5,823,400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Proposed Development Project</w:t>
            </w:r>
          </w:p>
        </w:tc>
        <w:tc>
          <w:tcPr>
            <w:tcW w:w="2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Ormond Crossings</w:t>
            </w:r>
          </w:p>
        </w:tc>
        <w:tc>
          <w:tcPr>
            <w:tcW w:w="268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color w:val="auto"/>
                <w:w w:val="91"/>
              </w:rPr>
              <w:t>100%</w:t>
            </w:r>
          </w:p>
        </w:tc>
        <w:tc>
          <w:tcPr>
            <w:tcW w:w="1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At March 31, 2009</w:t>
            </w:r>
          </w:p>
        </w:tc>
        <w:tc>
          <w:tcPr>
            <w:tcW w:w="2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5,968</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of Development Projects</w:t>
            </w:r>
          </w:p>
        </w:tc>
        <w:tc>
          <w:tcPr>
            <w:tcW w:w="2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10,395</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5,823,400</w:t>
            </w:r>
          </w:p>
        </w:tc>
        <w:tc>
          <w:tcPr>
            <w:tcW w:w="20" w:type="dxa"/>
            <w:vAlign w:val="bottom"/>
          </w:tcPr>
          <w:p>
            <w:pPr>
              <w:spacing w:after="0"/>
              <w:rPr>
                <w:sz w:val="19"/>
                <w:szCs w:val="19"/>
                <w:color w:val="auto"/>
              </w:rPr>
            </w:pP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non-controlling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jc w:val="both"/>
        <w:ind w:left="340" w:hanging="332"/>
        <w:spacing w:after="0" w:line="273" w:lineRule="auto"/>
        <w:tabs>
          <w:tab w:leader="none" w:pos="3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Other Land Available-for-Sale </w:t>
            </w:r>
            <w:r>
              <w:rPr>
                <w:rFonts w:ascii="Arial" w:cs="Arial" w:eastAsia="Arial" w:hAnsi="Arial"/>
                <w:sz w:val="18"/>
                <w:szCs w:val="18"/>
                <w:b w:val="1"/>
                <w:bCs w:val="1"/>
                <w:i w:val="1"/>
                <w:iCs w:val="1"/>
                <w:color w:val="auto"/>
              </w:rPr>
              <w:t>(a)</w:t>
            </w:r>
          </w:p>
        </w:tc>
        <w:tc>
          <w:tcPr>
            <w:tcW w:w="19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Mixed Use</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Residential</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7"/>
              </w:rPr>
              <w:t>Non-Residential</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Agricultural</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(b)</w:t>
            </w: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2008</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1,353</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353</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402</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r>
      <w:tr>
        <w:trPr>
          <w:trHeight w:val="216"/>
        </w:trPr>
        <w:tc>
          <w:tcPr>
            <w:tcW w:w="20" w:type="dxa"/>
            <w:vAlign w:val="bottom"/>
          </w:tcPr>
          <w:p>
            <w:pPr>
              <w:spacing w:after="0"/>
              <w:rPr>
                <w:sz w:val="18"/>
                <w:szCs w:val="18"/>
                <w:color w:val="auto"/>
              </w:rPr>
            </w:pPr>
          </w:p>
        </w:tc>
        <w:tc>
          <w:tcPr>
            <w:tcW w:w="3440" w:type="dxa"/>
            <w:vAlign w:val="bottom"/>
          </w:tcPr>
          <w:p>
            <w:pPr>
              <w:ind w:left="320"/>
              <w:spacing w:after="0"/>
              <w:rPr>
                <w:sz w:val="20"/>
                <w:szCs w:val="20"/>
                <w:color w:val="auto"/>
              </w:rPr>
            </w:pPr>
            <w:r>
              <w:rPr>
                <w:rFonts w:ascii="Arial" w:cs="Arial" w:eastAsia="Arial" w:hAnsi="Arial"/>
                <w:sz w:val="18"/>
                <w:szCs w:val="18"/>
                <w:color w:val="auto"/>
              </w:rPr>
              <w:t>Property Sold</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March 31, 2009</w:t>
            </w:r>
          </w:p>
        </w:tc>
        <w:tc>
          <w:tcPr>
            <w:tcW w:w="1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1,334</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353</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r>
    </w:tbl>
    <w:p>
      <w:pPr>
        <w:spacing w:after="0" w:line="229" w:lineRule="exact"/>
        <w:rPr>
          <w:sz w:val="20"/>
          <w:szCs w:val="20"/>
          <w:color w:val="auto"/>
        </w:rPr>
      </w:pPr>
    </w:p>
    <w:p>
      <w:pPr>
        <w:ind w:left="340" w:right="20" w:hanging="332"/>
        <w:spacing w:after="0" w:line="258"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Other land includes land located in Palm Coast, Florida not included in development projects, Lehigh Acquisition Corporation and Cape Coral Holdings, Inc.</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March 31, 2009, total pending land sales under contract were $12.4 million ($12.4 million at December 31, 2008) and are scheduled to close at various times through 2009. However, given current market conditions it may be difficult to complete these closings in 2009. We continue to have discussions with our buyers under pending contracts. Our objective is to proactively assist our buyers through this current period of weak market conditions, as we believe the long-term prospects for our properties are favorable. Our discussions sometimes result in adjustments to contract terms, and may include extending closing dates, revised pricing or termination. 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Emerging Technology. </w:t>
      </w:r>
      <w:r>
        <w:rPr>
          <w:rFonts w:ascii="Arial" w:cs="Arial" w:eastAsia="Arial" w:hAnsi="Arial"/>
          <w:sz w:val="18"/>
          <w:szCs w:val="18"/>
          <w:color w:val="auto"/>
        </w:rPr>
        <w:t>We have the potential to recognize gains or losses on the sale of investments in our Emerging Technology Investments. We plan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our Emerging Technology Investments when publicly traded shares are distributed to us. Some restrictions on sales may apply, including, but not limited to, underwriter lock-up periods that typically extend for 180 days following an initial public offering. We have committed to make up to $0.7 million in additional investments in certain emerging technology holdings. We do not have plans to make any additional investments beyond this commitment.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ALLETE’s aggregate federal and multi-state statutory tax rate is approximately 41 percent for 2009. On an ongoing basis, ALLETE has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tax credits and other tax 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reimbursement,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We expect our effective tax rate to be approximately 36 percent for 2009.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is well-positioned to meet the Company’s immediate cash flow needs. With our cash balance of approximately $98.0 million, $160.5 million in lines-of-credit which includes a committed, syndicated, unsecured revolving line of credit of $150.0 million, and a debt to capital ratio of 43 percent at March 31, 2009, we project sufficient capital availability through the immediate term. If needed, we have the flexibility to reduce our planned capital expenditure program to meet changing capital market conditions.</w:t>
      </w:r>
    </w:p>
    <w:p>
      <w:pPr>
        <w:spacing w:after="0" w:line="21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from operating activities was $34.5 million for the quarter ended March 31, 2009 ($54.9 million for the quarter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2008). Cash from operating activities was lower in 2009 due primarily to the timing of working capital requirements and an increase in contributions to the pension and other postretirement plans.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for investing activities was $69.6 million for the quarter ended March 31, 2009 ($50.2 million for the quarter ended March</w:t>
      </w:r>
      <w:r>
        <w:rPr>
          <w:rFonts w:ascii="Arial" w:cs="Arial" w:eastAsia="Arial" w:hAnsi="Arial"/>
          <w:sz w:val="18"/>
          <w:szCs w:val="18"/>
          <w:b w:val="1"/>
          <w:bCs w:val="1"/>
          <w:color w:val="auto"/>
        </w:rPr>
        <w:t xml:space="preserve"> </w:t>
      </w:r>
      <w:r>
        <w:rPr>
          <w:rFonts w:ascii="Arial" w:cs="Arial" w:eastAsia="Arial" w:hAnsi="Arial"/>
          <w:sz w:val="18"/>
          <w:szCs w:val="18"/>
          <w:color w:val="auto"/>
        </w:rPr>
        <w:t>31, 2008). Cash used for investing activities was higher than 2008 reflecting increased capital additions to property, plant, and equipment and additional investments in ATC. Capital additions to property, plant, and equipment increased due to construction activity for environmental retrofit projects and renewable projects</w:t>
      </w:r>
      <w:r>
        <w:rPr>
          <w:rFonts w:ascii="Arial" w:cs="Arial" w:eastAsia="Arial" w:hAnsi="Arial"/>
          <w:sz w:val="18"/>
          <w:szCs w:val="18"/>
          <w:b w:val="1"/>
          <w:bCs w:val="1"/>
          <w:color w:val="auto"/>
        </w:rPr>
        <w: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from financing activities was $31.1 million for the quarter ended March 31, 2009 ($48.2 million for the quarter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2008). Cash from financing activities was lower in 2009 than 2008 due to less debt issuance. Financing activities support our current capital expenditure program.</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the sale of commercial paper. We have 0.7 million original issue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our common stock available for issuance through </w:t>
      </w:r>
      <w:r>
        <w:rPr>
          <w:rFonts w:ascii="Arial" w:cs="Arial" w:eastAsia="Arial" w:hAnsi="Arial"/>
          <w:sz w:val="17"/>
          <w:szCs w:val="17"/>
          <w:i w:val="1"/>
          <w:iCs w:val="1"/>
          <w:color w:val="auto"/>
        </w:rPr>
        <w:t>Invest Direct</w:t>
      </w:r>
      <w:r>
        <w:rPr>
          <w:rFonts w:ascii="Arial" w:cs="Arial" w:eastAsia="Arial" w:hAnsi="Arial"/>
          <w:sz w:val="17"/>
          <w:szCs w:val="17"/>
          <w:color w:val="auto"/>
        </w:rPr>
        <w:t>, our direct stock purchase and dividend reinvestment plan. Additionally, we have 5.0 million original issue shares of common stock available for issuance through a Distribution Agreement with KCCI, Inc. We have consolidated bank lines of credit aggregating $160.5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Auction Rate Securities. </w:t>
      </w:r>
      <w:r>
        <w:rPr>
          <w:rFonts w:ascii="Arial" w:cs="Arial" w:eastAsia="Arial" w:hAnsi="Arial"/>
          <w:sz w:val="16"/>
          <w:szCs w:val="16"/>
          <w:color w:val="auto"/>
        </w:rPr>
        <w:t>As of March 31, 2009, we held $14.3 million ($15.2 million at December 31, 2008) of three auction rate municipal bonds with</w:t>
      </w:r>
      <w:r>
        <w:rPr>
          <w:rFonts w:ascii="Arial" w:cs="Arial" w:eastAsia="Arial" w:hAnsi="Arial"/>
          <w:sz w:val="16"/>
          <w:szCs w:val="16"/>
          <w:b w:val="1"/>
          <w:bCs w:val="1"/>
          <w:color w:val="auto"/>
        </w:rPr>
        <w:t xml:space="preserve"> </w:t>
      </w:r>
      <w:r>
        <w:rPr>
          <w:rFonts w:ascii="Arial" w:cs="Arial" w:eastAsia="Arial" w:hAnsi="Arial"/>
          <w:sz w:val="16"/>
          <w:szCs w:val="16"/>
          <w:color w:val="auto"/>
        </w:rPr>
        <w:t>stated maturity dates ranging between 15 and 27 years. These ARS consist of guaranteed student loans insured or reinsured by the federal government. These ARS were historically auctioned every 35 days to set new rates and provide a liquidating event in which investors can either buy or sell securities. Beginning in 2008, the auctions have been unable to sustain themselves due to the overall lack of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above market interest rates.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used a discounted cash flow model to determine the estimated fair value of its investment in ARS as of March 31, 2009.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Based upon the results of the discounted cash flow model, the fact that these ARS consist of guaranteed student loans insured or reinsured by the federal government and recent market activity no other-than-temporary impairment loss has been reported.</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In January 2009, we issued $42 million in principal amount of First Mortgage Bonds (Bonds) in the private placement market. The Bonds mature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15, 2019 and carry a coupon rate of 8.17 percent.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2008, we entered into a Distribution Agreement with KCCI, Inc. with respect to the issuance and sale of up to 2.5 million shares of our common stock. In February 2009, we amended and restated the Distribution Agreement with KCCI, Inc. such that it now provides for the issuance and sale of up to 5.0 million shares of our common stock, without par value, together with the preferred share purchase rights attached. The shares may be offered for sale, from time to time, in accordance with the terms of the agreement. For the quarter ended March 31, 2009, no shares of common stock were issued under this agreement.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Our long-term debt arrangements contain customary covenants. In addition, our lines of credit and letters of credit supporting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arrangements contain financial covenants. The most restrictive covenant requires ALLETE to maintain a ratio of its Funded Debt to Total Capital of less than or equal to 0.65 to 1.00 measured quarterly. As of March 31, 2009 our ratio was approximately 0.41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2009, ALLETE was in compliance with its financial covenants.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 are summarized in our 2008 Form 10-K, with additional disclosure discussed in Note 13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ended March 31, 2009, capital expenditures totaled $61.7 million ($60.3 million for the quarter ended March 31, 2008). The expenditures were primarily made in the Regulated Operations segment. Internally generated funds and additional long-term debt and equity issuances were the primary sources of funding.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13 of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of this Form 10-Q.</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31, 2009, our available-for-sale securities portfolio consisted of securities in a grantor trust, established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employee benefits, and ARS. (See Note 3. Investments.)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Emerging Technology Investments</w:t>
      </w:r>
      <w:r>
        <w:rPr>
          <w:rFonts w:ascii="Arial" w:cs="Arial" w:eastAsia="Arial" w:hAnsi="Arial"/>
          <w:sz w:val="18"/>
          <w:szCs w:val="18"/>
          <w:color w:val="auto"/>
        </w:rPr>
        <w:t>. As part of our Emerging Technology Investments, we have several minority investments in venture capital funds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 investments in privately-held, start-up companies. (See Note 3.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for resale in our regulated service territories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this energy to the wholesale market to optimize the value of our generating facilities.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Demand nominations for power from our taconite customers in 2009 are expected to be lower by at least 40 percent from 2008 levels. We continue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To date in 2009, we have successfully mitigated approximately 85 percent of the expected annual earnings impact. These contracts expire at various times during 2009 and 2010, and have pricing levels similar to the rates charged to our large power customers. If our taconite customers continue to nominate reduced demand we will have additional power to sell in 2009. We are unable to predict pricing levels on any such sales at this time.</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2009, we have entered into financial and commodity swap derivative instruments to manage price risk for certain power marketing contracts. These derivative instruments are recorded on our consolidated balance sheet at fair value. Changes in the derivatives’ fair value are recognized currently in earnings unless specific hedge accounting criteria is met. As of March 31, 2009, we have recorded approximately $0.5 million of commodity based derivatives in other assets on our consolidated balance sheet. Of this total, $0.2 million has been designated as a cash flow hedge and any mark-to-market fluctuations have been recorded in other comprehensive income on the consolidated balance sheet. (See Note 4. Derivatives.)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200 MWs of capacity and energy from our Taconite Harbor facility in northern Minnesota has been sold through two sales contracts totaling 175 MWs (201 MWs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the fixed minimum charge or an annual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liability. Outages with less than two months notice are subject to an annual duration limitation typical of this type of contract. These contracts qualify for the normal purchase normal sale exception under SFAS 133 “Accounting for Derivative Instruments and Hedging Activities” and are not required to be recorded at fair value.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current market conditions. Based on the variable rate debt outstanding at March 31, 2009, and assuming no other changes to our financial structure, an increase or decrease of 100 basis points in interest rates would impact the amount of pretax interest expense by $0.8 million. This amount was determined by considering the impact of a hypothetical 100 basis point change to the average variable interest rate on the variable rate debt outstanding as of March 31,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2009,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While we continue to enhance our internal control over financial reporting, there has been no change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2009, we contributed 463,000 shares of ALLETE common stock to our pension plan. These shares of ALLETE common stock were contributed pursuant to Section 4(2) of the Securities Act of 1933 and had an aggregate value of $12.0 million when contributed.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our 2008 Form 10-K for background information on the following updates.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 Page 11 – Regulated Operations, Fuel – First Paragraph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24, 2008, the Company received a letter from BNSF alleging that the Company defaulted on a material obligation under the Company’s Coal Transportation Agreement (CTA). In the notice, BNSF claimed the Company underpaid approximately $1.6 million for coal transportation services in 2006 and that failure to pay such amount plus interest may result in BNSF’s termination of the CTA. On April 1, 2008, to ensure that BNSF did not attempt to terminate the CTA, we paid under protest the full amount claimed by BNSF and filed a demand for arbitration of the issue. On April 22, 2008, BNSF filed a counterclaim in the arbitration disputing our position that we are entitled to a refund from BNSF of $1.5 million plus interest for amounts that we overpaid for 2007 deliveries. On March 11, 2009, the Company and BNSF resolved the disputes with no resulting associated Company liability or loss contingencies, and by an order dated March 27, 2009, the arbitrator dismissed the case. The delivered costs of fuel for the Company’s generation are recoverable from Minnesota Power’s utility customers through the fuel adjustment clause.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Ref. Page 12 – Regulated Operations, Minnesota Public Utilities Commission – First Paragraph</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2, 2008, Minnesota Power filed a rate increase request with the MPUC seeking an average rate increase of 8.5 percent for retail customers. The retail rate filing sought a return on equity of 11.15 percent, and a capital structure consisting of 54.8 percent equity and 45.2 percent debt. On an annualized basis, the requested rate increase would have generated approximately $40 million in additional revenue. Interim rates went into effect on August 1, 2008, and resulted in an increase for retail customers of approximately $36 million, or 7.5 percent, on an annualized basis, subject to refund pending the final rate order.</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3, 2009, the MPUC deliberated and voted on our retail rate filing. Based on this hearing, we estimate that the MPUC will order an overall rate increase of approximately 4.5 percent when a formal written order (Order) is issued on or before May 4, 2009. The MPUC approved a 10.74 percent return on common equity and a capital structure consisting of 54.8 percent equity and 45.2 percent debt. The MPUC also approved the stipulation and settlement agreement that affirmed the Company’s continued recovery of fuel and purchased power costs under the former base cost of fuel that was in effect prior to the retail rate filing. The approved agreement eliminates the possibility that approximately $19 million of fuel and purchased power costs incurred in 2008 would not be recovered via the fuel adjustment clause. Once the Order has been issued, any party may request reconsideration to the MPUC. After reconsideration, any party may appeal to the Minnesota Court of Appeals. We will continue collecting interim rates from our customers until the new rates go into effect, which will be after the reconsideration period has expired and after all compliance filings are completed and accepted. Reconsideration of the order or modifications during compliance could affect the final rate increase estimate.</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2009, we recorded an $8.9 million liability, including interest, for refunds anticipated to be paid to our customers as a result of the MPUC hearing on our retail rate filing. Current year rate refunds totaling $3.3 million have been netted against operating revenue on our consolidated statement of income and prior year rate refunds totaling $5.3 million are stated separately. Interest expense of $0.3 million was also recorded on our consolidated statement of income related to rate refunds. Refunds will commence once final rates are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Ref. Page 18 – Employees – Second Paragraph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and IBEW Local 31 continue to work under a contract extension of the agreement that expired on January 31, 2009. On April 10, 2009, IBEW Local 31 requested to move to binding arbitration as provided for in the current contract. The contract also provides Minnesota Power with the protections of a no strike clause.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sz w:val="20"/>
                <w:szCs w:val="20"/>
                <w:color w:val="auto"/>
              </w:rPr>
            </w:pPr>
            <w:r>
              <w:rPr>
                <w:rFonts w:ascii="Arial" w:cs="Arial" w:eastAsia="Arial" w:hAnsi="Arial"/>
                <w:sz w:val="18"/>
                <w:szCs w:val="18"/>
                <w:color w:val="0000EE"/>
                <w:w w:val="90"/>
              </w:rPr>
              <w:t>31(a)</w:t>
            </w:r>
          </w:p>
        </w:tc>
        <w:tc>
          <w:tcPr>
            <w:tcW w:w="2440" w:type="dxa"/>
            <w:vAlign w:val="bottom"/>
            <w:gridSpan w:val="2"/>
          </w:tcPr>
          <w:p>
            <w:pPr>
              <w:ind w:left="580"/>
              <w:spacing w:after="0"/>
              <w:rPr>
                <w:sz w:val="20"/>
                <w:szCs w:val="20"/>
                <w:color w:val="auto"/>
              </w:rPr>
            </w:pPr>
            <w:r>
              <w:rPr>
                <w:rFonts w:ascii="Arial" w:cs="Arial" w:eastAsia="Arial" w:hAnsi="Arial"/>
                <w:sz w:val="18"/>
                <w:szCs w:val="18"/>
                <w:color w:val="0000EE"/>
                <w:w w:val="90"/>
              </w:rPr>
              <w:t>Rule 13a-14(a)/15d-14(a)</w:t>
            </w:r>
          </w:p>
        </w:tc>
        <w:tc>
          <w:tcPr>
            <w:tcW w:w="7560" w:type="dxa"/>
            <w:vAlign w:val="bottom"/>
            <w:gridSpan w:val="2"/>
          </w:tcPr>
          <w:p>
            <w:pPr>
              <w:ind w:left="20"/>
              <w:spacing w:after="0"/>
              <w:rPr>
                <w:sz w:val="20"/>
                <w:szCs w:val="20"/>
                <w:color w:val="auto"/>
              </w:rPr>
            </w:pPr>
            <w:r>
              <w:rPr>
                <w:rFonts w:ascii="Arial" w:cs="Arial" w:eastAsia="Arial" w:hAnsi="Arial"/>
                <w:sz w:val="18"/>
                <w:szCs w:val="18"/>
                <w:color w:val="0000EE"/>
                <w:w w:val="91"/>
              </w:rPr>
              <w:t>Certification by the Chief Executive Officer Pursuant to Section 302 of the Sarbanes-Oxley Act of 2002.</w:t>
            </w:r>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39"/>
        </w:trPr>
        <w:tc>
          <w:tcPr>
            <w:tcW w:w="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31(b)</w:t>
            </w:r>
          </w:p>
        </w:tc>
        <w:tc>
          <w:tcPr>
            <w:tcW w:w="580" w:type="dxa"/>
            <w:vAlign w:val="bottom"/>
          </w:tcPr>
          <w:p>
            <w:pPr>
              <w:spacing w:after="0"/>
              <w:rPr>
                <w:sz w:val="24"/>
                <w:szCs w:val="24"/>
                <w:color w:val="auto"/>
              </w:rPr>
            </w:pPr>
          </w:p>
        </w:tc>
        <w:tc>
          <w:tcPr>
            <w:tcW w:w="18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Rule 13a-14(a)/15d-14(a)</w:t>
            </w:r>
          </w:p>
        </w:tc>
        <w:tc>
          <w:tcPr>
            <w:tcW w:w="752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1"/>
              </w:rPr>
              <w:t>Certification by the Chief Financial Officer Pursuant to Section 302 of the Sarbanes-Oxley Act of 2002.</w:t>
            </w:r>
          </w:p>
        </w:tc>
        <w:tc>
          <w:tcPr>
            <w:tcW w:w="40" w:type="dxa"/>
            <w:vAlign w:val="bottom"/>
          </w:tcPr>
          <w:p>
            <w:pPr>
              <w:spacing w:after="0"/>
              <w:rPr>
                <w:sz w:val="24"/>
                <w:szCs w:val="24"/>
                <w:color w:val="auto"/>
              </w:rPr>
            </w:pPr>
          </w:p>
        </w:tc>
      </w:tr>
    </w:tbl>
    <w:p>
      <w:pPr>
        <w:spacing w:after="0" w:line="256" w:lineRule="exact"/>
        <w:rPr>
          <w:sz w:val="20"/>
          <w:szCs w:val="20"/>
          <w:color w:val="auto"/>
        </w:rPr>
      </w:pPr>
    </w:p>
    <w:p>
      <w:pPr>
        <w:ind w:left="720" w:right="160" w:hanging="590"/>
        <w:spacing w:after="0" w:line="277" w:lineRule="auto"/>
        <w:tabs>
          <w:tab w:leader="none" w:pos="720" w:val="left"/>
        </w:tabs>
        <w:numPr>
          <w:ilvl w:val="0"/>
          <w:numId w:val="10"/>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Section 1350 Certification of Periodic Report by the Chief Executive Officer and Chief Financial Officer Pursuant to Section 906 of the Sarbanes-Oxley Act of 2002.</w:t>
      </w:r>
    </w:p>
    <w:p>
      <w:pPr>
        <w:spacing w:after="0" w:line="193" w:lineRule="exact"/>
        <w:rPr>
          <w:sz w:val="20"/>
          <w:szCs w:val="20"/>
          <w:color w:val="auto"/>
        </w:rPr>
      </w:pPr>
    </w:p>
    <w:p>
      <w:pPr>
        <w:ind w:left="720" w:right="240" w:hanging="617"/>
        <w:spacing w:after="0" w:line="289" w:lineRule="auto"/>
        <w:tabs>
          <w:tab w:leader="none" w:pos="720" w:val="left"/>
        </w:tabs>
        <w:numPr>
          <w:ilvl w:val="0"/>
          <w:numId w:val="11"/>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 xml:space="preserve">ALLETE News Release dated May 1, 2009, announcing 2009 first quarter earnings. </w:t>
      </w:r>
      <w:r>
        <w:rPr>
          <w:rFonts w:ascii="Arial" w:cs="Arial" w:eastAsia="Arial" w:hAnsi="Arial"/>
          <w:sz w:val="17"/>
          <w:szCs w:val="17"/>
          <w:b w:val="1"/>
          <w:bCs w:val="1"/>
          <w:u w:val="single" w:color="auto"/>
          <w:color w:val="0000EE"/>
        </w:rPr>
        <w:t>(This exhibit has been furnished and shall not be deemed</w:t>
      </w:r>
      <w:r>
        <w:rPr>
          <w:rFonts w:ascii="Arial" w:cs="Arial" w:eastAsia="Arial" w:hAnsi="Arial"/>
          <w:sz w:val="17"/>
          <w:szCs w:val="17"/>
          <w:u w:val="single" w:color="auto"/>
          <w:color w:val="0000EE"/>
        </w:rPr>
        <w:t xml:space="preserve"> </w:t>
      </w:r>
      <w:r>
        <w:rPr>
          <w:rFonts w:ascii="Arial" w:cs="Arial" w:eastAsia="Arial" w:hAnsi="Arial"/>
          <w:sz w:val="17"/>
          <w:szCs w:val="17"/>
          <w:b w:val="1"/>
          <w:bCs w:val="1"/>
          <w:u w:val="single" w:color="auto"/>
          <w:color w:val="0000EE"/>
        </w:rPr>
        <w:t>“filed”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May 1, 2009</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May 1, 2009</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2009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Donald J. Shippar, of ALLETE, Inc. (ALLETE), certify that:</w:t>
      </w:r>
    </w:p>
    <w:p>
      <w:pPr>
        <w:spacing w:after="0" w:line="252" w:lineRule="exact"/>
        <w:rPr>
          <w:sz w:val="20"/>
          <w:szCs w:val="20"/>
          <w:color w:val="auto"/>
        </w:rPr>
      </w:pPr>
    </w:p>
    <w:p>
      <w:pPr>
        <w:ind w:left="340" w:hanging="23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2009, of ALLETE;</w:t>
      </w:r>
    </w:p>
    <w:p>
      <w:pPr>
        <w:spacing w:after="0" w:line="252" w:lineRule="exact"/>
        <w:rPr>
          <w:rFonts w:ascii="Arial" w:cs="Arial" w:eastAsia="Arial" w:hAnsi="Arial"/>
          <w:sz w:val="18"/>
          <w:szCs w:val="18"/>
          <w:color w:val="auto"/>
        </w:rPr>
      </w:pPr>
    </w:p>
    <w:p>
      <w:pPr>
        <w:ind w:left="340" w:hanging="233"/>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33"/>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color w:val="auto"/>
        </w:rPr>
        <w:t>Date: May 1, 2009</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5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2009,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May 1, 2009</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hanging="233"/>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March 31, 2009,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May 1, 2009</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Date: May 1, 2009</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61"/>
          <w:szCs w:val="61"/>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99</w:t>
      </w:r>
    </w:p>
    <w:p>
      <w:pPr>
        <w:spacing w:after="0" w:line="23" w:lineRule="exact"/>
        <w:rPr>
          <w:sz w:val="20"/>
          <w:szCs w:val="20"/>
          <w:color w:val="auto"/>
        </w:rPr>
      </w:pPr>
    </w:p>
    <w:p>
      <w:pPr>
        <w:ind w:left="4260"/>
        <w:spacing w:after="0"/>
        <w:tabs>
          <w:tab w:leader="none" w:pos="564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May 1, 2009</w:t>
      </w:r>
    </w:p>
    <w:p>
      <w:pPr>
        <w:spacing w:after="0" w:line="9" w:lineRule="exact"/>
        <w:rPr>
          <w:sz w:val="20"/>
          <w:szCs w:val="20"/>
          <w:color w:val="auto"/>
        </w:rPr>
      </w:pPr>
    </w:p>
    <w:p>
      <w:pPr>
        <w:ind w:left="4260"/>
        <w:spacing w:after="0"/>
        <w:tabs>
          <w:tab w:leader="none" w:pos="5640" w:val="left"/>
        </w:tabs>
        <w:rPr>
          <w:sz w:val="20"/>
          <w:szCs w:val="20"/>
          <w:color w:val="auto"/>
        </w:rPr>
      </w:pPr>
      <w:r>
        <w:rPr>
          <w:rFonts w:ascii="Arial" w:cs="Arial" w:eastAsia="Arial" w:hAnsi="Arial"/>
          <w:sz w:val="18"/>
          <w:szCs w:val="18"/>
          <w:i w:val="1"/>
          <w:iCs w:val="1"/>
          <w:color w:val="auto"/>
        </w:rPr>
        <w:t>Investor Contact:</w:t>
      </w:r>
      <w:r>
        <w:rPr>
          <w:sz w:val="20"/>
          <w:szCs w:val="20"/>
          <w:color w:val="auto"/>
        </w:rPr>
        <w:tab/>
      </w:r>
      <w:r>
        <w:rPr>
          <w:rFonts w:ascii="Arial" w:cs="Arial" w:eastAsia="Arial" w:hAnsi="Arial"/>
          <w:sz w:val="17"/>
          <w:szCs w:val="17"/>
          <w:color w:val="auto"/>
        </w:rPr>
        <w:t>Tim Thorp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218-723-3953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tthorp@allete.com</w:t>
      </w:r>
    </w:p>
    <w:p>
      <w:pPr>
        <w:spacing w:after="0" w:line="211" w:lineRule="exact"/>
        <w:rPr>
          <w:sz w:val="20"/>
          <w:szCs w:val="20"/>
          <w:color w:val="auto"/>
        </w:rPr>
      </w:pPr>
    </w:p>
    <w:p>
      <w:pPr>
        <w:ind w:left="4260"/>
        <w:spacing w:after="0"/>
        <w:tabs>
          <w:tab w:leader="none" w:pos="5640" w:val="left"/>
        </w:tabs>
        <w:rPr>
          <w:sz w:val="20"/>
          <w:szCs w:val="20"/>
          <w:color w:val="auto"/>
        </w:rPr>
      </w:pPr>
      <w:r>
        <w:rPr>
          <w:rFonts w:ascii="Arial" w:cs="Arial" w:eastAsia="Arial" w:hAnsi="Arial"/>
          <w:sz w:val="18"/>
          <w:szCs w:val="18"/>
          <w:i w:val="1"/>
          <w:iCs w:val="1"/>
          <w:color w:val="auto"/>
        </w:rPr>
        <w:t>Contact:</w:t>
      </w:r>
      <w:r>
        <w:rPr>
          <w:sz w:val="20"/>
          <w:szCs w:val="20"/>
          <w:color w:val="auto"/>
        </w:rPr>
        <w:tab/>
      </w:r>
      <w:r>
        <w:rPr>
          <w:rFonts w:ascii="Arial" w:cs="Arial" w:eastAsia="Arial" w:hAnsi="Arial"/>
          <w:sz w:val="18"/>
          <w:szCs w:val="18"/>
          <w:color w:val="auto"/>
        </w:rPr>
        <w:t>Amy Rutledge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Communications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Manager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218-723-7400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218-348-2961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arutledge@mnpower.com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ALLETE reports first quarter earnings</w:t>
      </w:r>
    </w:p>
    <w:p>
      <w:pPr>
        <w:spacing w:after="0" w:line="200" w:lineRule="exact"/>
        <w:rPr>
          <w:sz w:val="20"/>
          <w:szCs w:val="20"/>
          <w:color w:val="auto"/>
        </w:rPr>
      </w:pPr>
    </w:p>
    <w:p>
      <w:pPr>
        <w:sectPr>
          <w:pgSz w:w="11900" w:h="16838" w:orient="portrait"/>
          <w:cols w:equalWidth="0" w:num="2">
            <w:col w:w="3180" w:space="720"/>
            <w:col w:w="7520"/>
          </w:cols>
          <w:pgMar w:left="240" w:top="611" w:right="239" w:bottom="1440" w:gutter="0" w:footer="0" w:header="0"/>
        </w:sectPr>
      </w:pP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Duluth, Minn. –ALLETE, Inc. (NYSE: ALE) today reported first quarter 2009 earnings of 55 cents per share, compared to 82 cents per share in the first quarter of 2008. Net income in the quarter was $16.9 million on revenue of $199.6 million versus net income of $23.6 million and revenue of $213.4 million in the first quarter of 2008.</w:t>
      </w:r>
    </w:p>
    <w:p>
      <w:pPr>
        <w:spacing w:after="0" w:line="20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year-over-year comparison is affected by two nonrecurring items. Earnings in the first quarter of 2008 were boosted by a $3.7 million, or 12 cents per share gain on the sale of securities held for employee benefits. Earnings for the first quarter of 2009 were reduced by a $3.4 million, or 11 cents per share charge reflecting the 2008 portion of a rate refund recorded at Minnesota Power in response to a Minnesota Public Utilities Commission hearing.</w:t>
      </w:r>
    </w:p>
    <w:p>
      <w:pPr>
        <w:spacing w:after="0" w:line="170"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auto"/>
        </w:rPr>
        <w:t xml:space="preserve">ALLETE’s </w:t>
      </w:r>
      <w:r>
        <w:rPr>
          <w:rFonts w:ascii="Arial" w:cs="Arial" w:eastAsia="Arial" w:hAnsi="Arial"/>
          <w:sz w:val="16"/>
          <w:szCs w:val="16"/>
          <w:b w:val="1"/>
          <w:bCs w:val="1"/>
          <w:color w:val="auto"/>
        </w:rPr>
        <w:t>Regulated Operations</w:t>
      </w:r>
      <w:r>
        <w:rPr>
          <w:rFonts w:ascii="Arial" w:cs="Arial" w:eastAsia="Arial" w:hAnsi="Arial"/>
          <w:sz w:val="16"/>
          <w:szCs w:val="16"/>
          <w:color w:val="auto"/>
        </w:rPr>
        <w:t xml:space="preserve"> earned $17.7 million in the first quarter, a decline of $2.4 million compared to the year-ago period. Higher interim retail electric rates and higher wholesale rates were more than offset by increased depreciation and interest expenses, and the aforementioned refund.</w:t>
      </w:r>
    </w:p>
    <w:p>
      <w:pPr>
        <w:spacing w:after="0" w:line="1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was $4.3 million lower than the first quarter of 2008, mainly due to the gain on the sale of investments in the employee benefit plans recorded last year.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addition, earnings per share decreased by four cents compared to the first quarter of 2008 as a result of additional common shares outstanding in 2009.</w:t>
      </w:r>
    </w:p>
    <w:p>
      <w:pPr>
        <w:spacing w:after="0" w:line="2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first quarter, we essentially mitigated the impact of lower sales to our taconite customers by remarketing their available energy to other power suppliers,” said Chairman, President and CEO Don Shippar. “We have sales agreements in place that will offset about 85 percent of the current estimated financial impact from reduced industrial sales for 2009. We will continue our remarketing efforts and expense reduction activities with the goal of offsetting the remaining earnings impact.”</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Shippar said that ALLETE expects year-end earnings to be within a range of $2.10 to $2.25 on net income of $67 to $72 million, excluding the charge for the 2008 portion of the rate refund.</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Based in Duluth, Minn., ALLETE (NYSE: ALE) provides regulated energy services in Minnesota and Wisconsin, has an equity investment in the American Transmission Company, and owns BNI Coal in North Dakota and ALLETE Properties in Florida. More information about the company is available at </w:t>
      </w:r>
      <w:r>
        <w:rPr>
          <w:rFonts w:ascii="Arial" w:cs="Arial" w:eastAsia="Arial" w:hAnsi="Arial"/>
          <w:sz w:val="18"/>
          <w:szCs w:val="18"/>
          <w:u w:val="single" w:color="auto"/>
          <w:color w:val="auto"/>
        </w:rPr>
        <w:t>www.allete.com</w:t>
      </w:r>
      <w:r>
        <w:rPr>
          <w:rFonts w:ascii="Arial" w:cs="Arial" w:eastAsia="Arial" w:hAnsi="Arial"/>
          <w:sz w:val="18"/>
          <w:szCs w:val="18"/>
          <w:color w:val="auto"/>
        </w:rPr>
        <w:t>.</w:t>
      </w:r>
    </w:p>
    <w:p>
      <w:pPr>
        <w:spacing w:after="0" w:line="20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10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rPr>
              <w:t>ALLETE, Inc.</w:t>
            </w: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0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w w:val="89"/>
              </w:rPr>
              <w:t>Consolidated Statement of Income</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360" w:type="dxa"/>
            <w:vAlign w:val="bottom"/>
            <w:gridSpan w:val="3"/>
          </w:tcPr>
          <w:p>
            <w:pPr>
              <w:jc w:val="center"/>
              <w:ind w:right="1050"/>
              <w:spacing w:after="0"/>
              <w:rPr>
                <w:sz w:val="20"/>
                <w:szCs w:val="20"/>
                <w:color w:val="auto"/>
              </w:rPr>
            </w:pPr>
            <w:r>
              <w:rPr>
                <w:rFonts w:ascii="Arial" w:cs="Arial" w:eastAsia="Arial" w:hAnsi="Arial"/>
                <w:sz w:val="18"/>
                <w:szCs w:val="18"/>
                <w:b w:val="1"/>
                <w:bCs w:val="1"/>
                <w:color w:val="auto"/>
                <w:w w:val="90"/>
              </w:rPr>
              <w:t>For the Periods Ended March 31, 2009 and 2008</w:t>
            </w: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100" w:type="dxa"/>
            <w:vAlign w:val="bottom"/>
            <w:gridSpan w:val="2"/>
          </w:tcPr>
          <w:p>
            <w:pPr>
              <w:jc w:val="center"/>
              <w:ind w:right="2290"/>
              <w:spacing w:after="0"/>
              <w:rPr>
                <w:sz w:val="20"/>
                <w:szCs w:val="20"/>
                <w:color w:val="auto"/>
              </w:rPr>
            </w:pPr>
            <w:r>
              <w:rPr>
                <w:rFonts w:ascii="Arial" w:cs="Arial" w:eastAsia="Arial" w:hAnsi="Arial"/>
                <w:sz w:val="18"/>
                <w:szCs w:val="18"/>
                <w:color w:val="auto"/>
                <w:w w:val="92"/>
              </w:rPr>
              <w:t>Millions Except Per Share Amounts</w:t>
            </w: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60"/>
              <w:spacing w:after="0"/>
              <w:rPr>
                <w:sz w:val="20"/>
                <w:szCs w:val="20"/>
                <w:color w:val="auto"/>
              </w:rPr>
            </w:pPr>
            <w:r>
              <w:rPr>
                <w:rFonts w:ascii="Arial" w:cs="Arial" w:eastAsia="Arial" w:hAnsi="Arial"/>
                <w:sz w:val="18"/>
                <w:szCs w:val="18"/>
                <w:color w:val="auto"/>
              </w:rPr>
              <w:t>Operating Revenue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$204.9</w:t>
            </w:r>
          </w:p>
        </w:tc>
        <w:tc>
          <w:tcPr>
            <w:tcW w:w="860" w:type="dxa"/>
            <w:vAlign w:val="bottom"/>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Prior Year Rate Refunds</w:t>
            </w:r>
          </w:p>
        </w:tc>
        <w:tc>
          <w:tcPr>
            <w:tcW w:w="1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Total Operating Revenue</w:t>
            </w: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and Purchased Power</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80.5</w:t>
            </w:r>
          </w:p>
        </w:tc>
        <w:tc>
          <w:tcPr>
            <w:tcW w:w="86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from Continuing Operations</w:t>
            </w:r>
          </w:p>
        </w:tc>
        <w:tc>
          <w:tcPr>
            <w:tcW w:w="100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60"/>
              <w:spacing w:after="0"/>
              <w:rPr>
                <w:sz w:val="20"/>
                <w:szCs w:val="20"/>
                <w:color w:val="auto"/>
              </w:rPr>
            </w:pPr>
            <w:r>
              <w:rPr>
                <w:rFonts w:ascii="Arial" w:cs="Arial" w:eastAsia="Arial" w:hAnsi="Arial"/>
                <w:sz w:val="18"/>
                <w:szCs w:val="18"/>
                <w:color w:val="auto"/>
              </w:rPr>
              <w:t>Equity Earnings in ATC</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6"/>
              </w:rPr>
              <w:t>Total Other Income (Expense)</w:t>
            </w: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27.7</w:t>
            </w:r>
          </w:p>
        </w:tc>
        <w:tc>
          <w:tcPr>
            <w:tcW w:w="86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w w:val="89"/>
              </w:rPr>
              <w:t>Basic and Diluted Earnings Per Share of Common Stock</w:t>
            </w:r>
          </w:p>
        </w:tc>
        <w:tc>
          <w:tcPr>
            <w:tcW w:w="1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$0.55</w:t>
            </w:r>
          </w:p>
        </w:tc>
        <w:tc>
          <w:tcPr>
            <w:tcW w:w="860" w:type="dxa"/>
            <w:vAlign w:val="bottom"/>
          </w:tcPr>
          <w:p>
            <w:pPr>
              <w:jc w:val="right"/>
              <w:spacing w:after="0"/>
              <w:rPr>
                <w:sz w:val="20"/>
                <w:szCs w:val="20"/>
                <w:color w:val="auto"/>
              </w:rPr>
            </w:pPr>
            <w:r>
              <w:rPr>
                <w:rFonts w:ascii="Arial" w:cs="Arial" w:eastAsia="Arial" w:hAnsi="Arial"/>
                <w:sz w:val="18"/>
                <w:szCs w:val="18"/>
                <w:color w:val="auto"/>
              </w:rPr>
              <w:t>$0.82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Dividends Per Share of Common Stock</w:t>
            </w:r>
          </w:p>
        </w:tc>
        <w:tc>
          <w:tcPr>
            <w:tcW w:w="1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0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88"/>
              </w:rPr>
              <w:t>Consolidated Balance Sheet</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00" w:type="dxa"/>
            <w:vAlign w:val="bottom"/>
          </w:tcPr>
          <w:p>
            <w:pPr>
              <w:jc w:val="center"/>
              <w:ind w:right="3310"/>
              <w:spacing w:after="0"/>
              <w:rPr>
                <w:sz w:val="20"/>
                <w:szCs w:val="20"/>
                <w:color w:val="auto"/>
              </w:rPr>
            </w:pPr>
            <w:r>
              <w:rPr>
                <w:rFonts w:ascii="Arial" w:cs="Arial" w:eastAsia="Arial" w:hAnsi="Arial"/>
                <w:sz w:val="18"/>
                <w:szCs w:val="18"/>
                <w:color w:val="auto"/>
              </w:rPr>
              <w:t>Millions</w:t>
            </w: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198" w:lineRule="exact"/>
              <w:rPr>
                <w:sz w:val="20"/>
                <w:szCs w:val="20"/>
                <w:color w:val="auto"/>
              </w:rPr>
            </w:pPr>
            <w:r>
              <w:rPr>
                <w:rFonts w:ascii="Arial" w:cs="Arial" w:eastAsia="Arial" w:hAnsi="Arial"/>
                <w:sz w:val="18"/>
                <w:szCs w:val="18"/>
                <w:b w:val="1"/>
                <w:bCs w:val="1"/>
                <w:color w:val="auto"/>
              </w:rPr>
              <w:t>Dec.</w:t>
            </w:r>
          </w:p>
        </w:tc>
        <w:tc>
          <w:tcPr>
            <w:tcW w:w="4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Mar. 31,</w:t>
            </w:r>
          </w:p>
        </w:tc>
        <w:tc>
          <w:tcPr>
            <w:tcW w:w="10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31,</w:t>
            </w:r>
          </w:p>
        </w:tc>
        <w:tc>
          <w:tcPr>
            <w:tcW w:w="4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Mar. 31,</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Dec.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4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0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Liabilities and Shareholders' Equity</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$98.0</w:t>
            </w:r>
          </w:p>
        </w:tc>
        <w:tc>
          <w:tcPr>
            <w:tcW w:w="1000" w:type="dxa"/>
            <w:vAlign w:val="bottom"/>
          </w:tcPr>
          <w:p>
            <w:pPr>
              <w:jc w:val="right"/>
              <w:spacing w:after="0"/>
              <w:rPr>
                <w:sz w:val="20"/>
                <w:szCs w:val="20"/>
                <w:color w:val="auto"/>
              </w:rPr>
            </w:pPr>
            <w:r>
              <w:rPr>
                <w:rFonts w:ascii="Arial" w:cs="Arial" w:eastAsia="Arial" w:hAnsi="Arial"/>
                <w:sz w:val="18"/>
                <w:szCs w:val="18"/>
                <w:color w:val="auto"/>
              </w:rPr>
              <w:t>$102.0</w:t>
            </w:r>
          </w:p>
        </w:tc>
        <w:tc>
          <w:tcPr>
            <w:tcW w:w="4100" w:type="dxa"/>
            <w:vAlign w:val="bottom"/>
          </w:tcPr>
          <w:p>
            <w:pPr>
              <w:ind w:left="7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jc w:val="right"/>
              <w:spacing w:after="0"/>
              <w:rPr>
                <w:sz w:val="20"/>
                <w:szCs w:val="20"/>
                <w:color w:val="auto"/>
              </w:rPr>
            </w:pPr>
            <w:r>
              <w:rPr>
                <w:rFonts w:ascii="Arial" w:cs="Arial" w:eastAsia="Arial" w:hAnsi="Arial"/>
                <w:sz w:val="18"/>
                <w:szCs w:val="18"/>
                <w:color w:val="auto"/>
              </w:rPr>
              <w:t>$137.3</w:t>
            </w:r>
          </w:p>
        </w:tc>
        <w:tc>
          <w:tcPr>
            <w:tcW w:w="860" w:type="dxa"/>
            <w:vAlign w:val="bottom"/>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145.9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1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1,435.2</w:t>
            </w:r>
          </w:p>
        </w:tc>
        <w:tc>
          <w:tcPr>
            <w:tcW w:w="1000" w:type="dxa"/>
            <w:vAlign w:val="bottom"/>
          </w:tcPr>
          <w:p>
            <w:pPr>
              <w:jc w:val="right"/>
              <w:spacing w:after="0"/>
              <w:rPr>
                <w:sz w:val="20"/>
                <w:szCs w:val="20"/>
                <w:color w:val="auto"/>
              </w:rPr>
            </w:pPr>
            <w:r>
              <w:rPr>
                <w:rFonts w:ascii="Arial" w:cs="Arial" w:eastAsia="Arial" w:hAnsi="Arial"/>
                <w:sz w:val="18"/>
                <w:szCs w:val="18"/>
                <w:color w:val="auto"/>
              </w:rPr>
              <w:t>1,387.3</w:t>
            </w:r>
          </w:p>
        </w:tc>
        <w:tc>
          <w:tcPr>
            <w:tcW w:w="4100" w:type="dxa"/>
            <w:vAlign w:val="bottom"/>
          </w:tcPr>
          <w:p>
            <w:pPr>
              <w:ind w:left="74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jc w:val="right"/>
              <w:spacing w:after="0"/>
              <w:rPr>
                <w:sz w:val="20"/>
                <w:szCs w:val="20"/>
                <w:color w:val="auto"/>
              </w:rPr>
            </w:pPr>
            <w:r>
              <w:rPr>
                <w:rFonts w:ascii="Arial" w:cs="Arial" w:eastAsia="Arial" w:hAnsi="Arial"/>
                <w:sz w:val="18"/>
                <w:szCs w:val="18"/>
                <w:color w:val="auto"/>
              </w:rPr>
              <w:t>363.9</w:t>
            </w:r>
          </w:p>
        </w:tc>
        <w:tc>
          <w:tcPr>
            <w:tcW w:w="860" w:type="dxa"/>
            <w:vAlign w:val="bottom"/>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10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Deferred Income Taxes &amp; Investment Tax</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ATC</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1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Credits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127.3</w:t>
            </w:r>
          </w:p>
        </w:tc>
        <w:tc>
          <w:tcPr>
            <w:tcW w:w="1000" w:type="dxa"/>
            <w:vAlign w:val="bottom"/>
          </w:tcPr>
          <w:p>
            <w:pPr>
              <w:jc w:val="right"/>
              <w:spacing w:after="0"/>
              <w:rPr>
                <w:sz w:val="20"/>
                <w:szCs w:val="20"/>
                <w:color w:val="auto"/>
              </w:rPr>
            </w:pPr>
            <w:r>
              <w:rPr>
                <w:rFonts w:ascii="Arial" w:cs="Arial" w:eastAsia="Arial" w:hAnsi="Arial"/>
                <w:sz w:val="18"/>
                <w:szCs w:val="18"/>
                <w:color w:val="auto"/>
              </w:rPr>
              <w:t>136.9</w:t>
            </w:r>
          </w:p>
        </w:tc>
        <w:tc>
          <w:tcPr>
            <w:tcW w:w="4100" w:type="dxa"/>
            <w:vAlign w:val="bottom"/>
          </w:tcPr>
          <w:p>
            <w:pPr>
              <w:ind w:left="740"/>
              <w:spacing w:after="0"/>
              <w:rPr>
                <w:sz w:val="20"/>
                <w:szCs w:val="20"/>
                <w:color w:val="auto"/>
              </w:rPr>
            </w:pPr>
            <w:r>
              <w:rPr>
                <w:rFonts w:ascii="Arial" w:cs="Arial" w:eastAsia="Arial" w:hAnsi="Arial"/>
                <w:sz w:val="18"/>
                <w:szCs w:val="18"/>
                <w:color w:val="auto"/>
              </w:rPr>
              <w:t>Shareholders' Equity</w:t>
            </w:r>
          </w:p>
        </w:tc>
        <w:tc>
          <w:tcPr>
            <w:tcW w:w="1100" w:type="dxa"/>
            <w:vAlign w:val="bottom"/>
          </w:tcPr>
          <w:p>
            <w:pPr>
              <w:jc w:val="right"/>
              <w:spacing w:after="0"/>
              <w:rPr>
                <w:sz w:val="20"/>
                <w:szCs w:val="20"/>
                <w:color w:val="auto"/>
              </w:rPr>
            </w:pPr>
            <w:r>
              <w:rPr>
                <w:rFonts w:ascii="Arial" w:cs="Arial" w:eastAsia="Arial" w:hAnsi="Arial"/>
                <w:sz w:val="18"/>
                <w:szCs w:val="18"/>
                <w:color w:val="auto"/>
              </w:rPr>
              <w:t>858.4</w:t>
            </w:r>
          </w:p>
        </w:tc>
        <w:tc>
          <w:tcPr>
            <w:tcW w:w="860" w:type="dxa"/>
            <w:vAlign w:val="bottom"/>
          </w:tcPr>
          <w:p>
            <w:pPr>
              <w:jc w:val="right"/>
              <w:spacing w:after="0"/>
              <w:rPr>
                <w:sz w:val="20"/>
                <w:szCs w:val="20"/>
                <w:color w:val="auto"/>
              </w:rPr>
            </w:pPr>
            <w:r>
              <w:rPr>
                <w:rFonts w:ascii="Arial" w:cs="Arial" w:eastAsia="Arial" w:hAnsi="Arial"/>
                <w:sz w:val="18"/>
                <w:szCs w:val="18"/>
                <w:color w:val="auto"/>
              </w:rPr>
              <w:t>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282.8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4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$2,168.9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41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4"/>
              </w:rPr>
              <w:t>Total Liabilities and Shareholders' Equity</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3700" w:type="dxa"/>
            <w:vAlign w:val="bottom"/>
            <w:gridSpan w:val="3"/>
          </w:tcPr>
          <w:p>
            <w:pPr>
              <w:ind w:left="224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Inc.</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Regulated Operations</w:t>
            </w:r>
          </w:p>
        </w:tc>
        <w:tc>
          <w:tcPr>
            <w:tcW w:w="3140" w:type="dxa"/>
            <w:vAlign w:val="bottom"/>
          </w:tcPr>
          <w:p>
            <w:pPr>
              <w:jc w:val="right"/>
              <w:ind w:right="270"/>
              <w:spacing w:after="0"/>
              <w:rPr>
                <w:sz w:val="20"/>
                <w:szCs w:val="20"/>
                <w:color w:val="auto"/>
              </w:rPr>
            </w:pPr>
            <w:r>
              <w:rPr>
                <w:rFonts w:ascii="Arial" w:cs="Arial" w:eastAsia="Arial" w:hAnsi="Arial"/>
                <w:sz w:val="18"/>
                <w:szCs w:val="18"/>
                <w:color w:val="auto"/>
              </w:rPr>
              <w:t>$17.7</w:t>
            </w: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Investments and Other</w:t>
            </w:r>
          </w:p>
        </w:tc>
        <w:tc>
          <w:tcPr>
            <w:tcW w:w="3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Net Income</w:t>
            </w:r>
          </w:p>
        </w:tc>
        <w:tc>
          <w:tcPr>
            <w:tcW w:w="3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Statistical Data</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Corporate</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Common Stock</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0"/>
              <w:spacing w:after="0"/>
              <w:rPr>
                <w:sz w:val="20"/>
                <w:szCs w:val="20"/>
                <w:color w:val="auto"/>
              </w:rPr>
            </w:pPr>
            <w:r>
              <w:rPr>
                <w:rFonts w:ascii="Arial" w:cs="Arial" w:eastAsia="Arial" w:hAnsi="Arial"/>
                <w:sz w:val="18"/>
                <w:szCs w:val="18"/>
                <w:color w:val="auto"/>
              </w:rPr>
              <w:t>High</w:t>
            </w:r>
          </w:p>
        </w:tc>
        <w:tc>
          <w:tcPr>
            <w:tcW w:w="3140" w:type="dxa"/>
            <w:vAlign w:val="bottom"/>
          </w:tcPr>
          <w:p>
            <w:pPr>
              <w:jc w:val="right"/>
              <w:ind w:right="270"/>
              <w:spacing w:after="0"/>
              <w:rPr>
                <w:sz w:val="20"/>
                <w:szCs w:val="20"/>
                <w:color w:val="auto"/>
              </w:rPr>
            </w:pPr>
            <w:r>
              <w:rPr>
                <w:rFonts w:ascii="Arial" w:cs="Arial" w:eastAsia="Arial" w:hAnsi="Arial"/>
                <w:sz w:val="18"/>
                <w:szCs w:val="18"/>
                <w:color w:val="auto"/>
              </w:rPr>
              <w:t>$33.27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Low</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0"/>
              <w:spacing w:after="0"/>
              <w:rPr>
                <w:sz w:val="20"/>
                <w:szCs w:val="20"/>
                <w:color w:val="auto"/>
              </w:rPr>
            </w:pPr>
            <w:r>
              <w:rPr>
                <w:rFonts w:ascii="Arial" w:cs="Arial" w:eastAsia="Arial" w:hAnsi="Arial"/>
                <w:sz w:val="18"/>
                <w:szCs w:val="18"/>
                <w:color w:val="auto"/>
              </w:rPr>
              <w:t>Close</w:t>
            </w:r>
          </w:p>
        </w:tc>
        <w:tc>
          <w:tcPr>
            <w:tcW w:w="3140" w:type="dxa"/>
            <w:vAlign w:val="bottom"/>
          </w:tcPr>
          <w:p>
            <w:pPr>
              <w:jc w:val="right"/>
              <w:ind w:right="270"/>
              <w:spacing w:after="0"/>
              <w:rPr>
                <w:sz w:val="20"/>
                <w:szCs w:val="20"/>
                <w:color w:val="auto"/>
              </w:rPr>
            </w:pPr>
            <w:r>
              <w:rPr>
                <w:rFonts w:ascii="Arial" w:cs="Arial" w:eastAsia="Arial" w:hAnsi="Arial"/>
                <w:sz w:val="18"/>
                <w:szCs w:val="18"/>
                <w:color w:val="auto"/>
              </w:rPr>
              <w:t>$26.69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Book Value</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Millions</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Regulated Utility</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0"/>
              <w:spacing w:after="0"/>
              <w:rPr>
                <w:sz w:val="20"/>
                <w:szCs w:val="20"/>
                <w:color w:val="auto"/>
              </w:rPr>
            </w:pPr>
            <w:r>
              <w:rPr>
                <w:rFonts w:ascii="Arial" w:cs="Arial" w:eastAsia="Arial" w:hAnsi="Arial"/>
                <w:sz w:val="18"/>
                <w:szCs w:val="18"/>
                <w:color w:val="auto"/>
              </w:rPr>
              <w:t>Retail and Municipals</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Residential</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280"/>
              <w:spacing w:after="0"/>
              <w:rPr>
                <w:sz w:val="20"/>
                <w:szCs w:val="20"/>
                <w:color w:val="auto"/>
              </w:rPr>
            </w:pPr>
            <w:r>
              <w:rPr>
                <w:rFonts w:ascii="Arial" w:cs="Arial" w:eastAsia="Arial" w:hAnsi="Arial"/>
                <w:sz w:val="18"/>
                <w:szCs w:val="18"/>
                <w:color w:val="auto"/>
              </w:rPr>
              <w:t>Commercial</w:t>
            </w:r>
          </w:p>
        </w:tc>
        <w:tc>
          <w:tcPr>
            <w:tcW w:w="3140" w:type="dxa"/>
            <w:vAlign w:val="bottom"/>
          </w:tcPr>
          <w:p>
            <w:pPr>
              <w:jc w:val="right"/>
              <w:ind w:right="270"/>
              <w:spacing w:after="0"/>
              <w:rPr>
                <w:sz w:val="20"/>
                <w:szCs w:val="20"/>
                <w:color w:val="auto"/>
              </w:rPr>
            </w:pPr>
            <w:r>
              <w:rPr>
                <w:rFonts w:ascii="Arial" w:cs="Arial" w:eastAsia="Arial" w:hAnsi="Arial"/>
                <w:sz w:val="18"/>
                <w:szCs w:val="18"/>
                <w:color w:val="auto"/>
              </w:rPr>
              <w:t>379</w:t>
            </w:r>
          </w:p>
        </w:tc>
        <w:tc>
          <w:tcPr>
            <w:tcW w:w="54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Municipals</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Industrial</w:t>
            </w:r>
          </w:p>
        </w:tc>
        <w:tc>
          <w:tcPr>
            <w:tcW w:w="3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1,323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Retail and Municipal</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Other Power Suppliers</w:t>
            </w:r>
          </w:p>
        </w:tc>
        <w:tc>
          <w:tcPr>
            <w:tcW w:w="3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916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Regulated Utility</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Non-regulated Energy Operations</w:t>
            </w:r>
          </w:p>
        </w:tc>
        <w:tc>
          <w:tcPr>
            <w:tcW w:w="3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shd w:val="clear" w:color="auto" w:fill="CCEEFF"/>
          </w:tcPr>
          <w:p>
            <w:pPr>
              <w:ind w:left="3540"/>
              <w:spacing w:after="0"/>
              <w:rPr>
                <w:sz w:val="20"/>
                <w:szCs w:val="20"/>
                <w:color w:val="auto"/>
              </w:rPr>
            </w:pPr>
            <w:r>
              <w:rPr>
                <w:rFonts w:ascii="Arial" w:cs="Arial" w:eastAsia="Arial" w:hAnsi="Arial"/>
                <w:sz w:val="18"/>
                <w:szCs w:val="18"/>
                <w:color w:val="auto"/>
              </w:rPr>
              <w:t>Total Kilowatt-hours Sold</w:t>
            </w:r>
          </w:p>
        </w:tc>
        <w:tc>
          <w:tcPr>
            <w:tcW w:w="3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3,315</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Town Center Development Project</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Non-residential Square Footage Sold</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0"/>
              <w:spacing w:after="0"/>
              <w:rPr>
                <w:sz w:val="20"/>
                <w:szCs w:val="20"/>
                <w:color w:val="auto"/>
              </w:rPr>
            </w:pPr>
            <w:r>
              <w:rPr>
                <w:rFonts w:ascii="Arial" w:cs="Arial" w:eastAsia="Arial" w:hAnsi="Arial"/>
                <w:sz w:val="18"/>
                <w:szCs w:val="18"/>
                <w:color w:val="auto"/>
              </w:rPr>
              <w:t>Residential Units</w:t>
            </w:r>
          </w:p>
        </w:tc>
        <w:tc>
          <w:tcPr>
            <w:tcW w:w="31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Palm Coast Park Development Project</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Non-residential Square Footage Sold</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0"/>
              <w:spacing w:after="0"/>
              <w:rPr>
                <w:sz w:val="20"/>
                <w:szCs w:val="20"/>
                <w:color w:val="auto"/>
              </w:rPr>
            </w:pPr>
            <w:r>
              <w:rPr>
                <w:rFonts w:ascii="Arial" w:cs="Arial" w:eastAsia="Arial" w:hAnsi="Arial"/>
                <w:sz w:val="18"/>
                <w:szCs w:val="18"/>
                <w:color w:val="auto"/>
              </w:rPr>
              <w:t>Residential Units</w:t>
            </w:r>
          </w:p>
        </w:tc>
        <w:tc>
          <w:tcPr>
            <w:tcW w:w="31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Other Land</w:t>
            </w: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Acres Sold</w:t>
            </w:r>
          </w:p>
        </w:tc>
        <w:tc>
          <w:tcPr>
            <w:tcW w:w="3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T"/>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57"/>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lvl w:ilvl="1">
      <w:lvlJc w:val="left"/>
      <w:lvlText w:val="(%2)"/>
      <w:numFmt w:val="lowerLetter"/>
      <w:start w:val="1"/>
    </w:lvl>
  </w:abstractNum>
  <w:abstractNum w:abstractNumId="6">
    <w:nsid w:val="216231B"/>
    <w:multiLevelType w:val="hybridMultilevel"/>
    <w:lvl w:ilvl="0">
      <w:lvlJc w:val="left"/>
      <w:lvlText w:val="(%1)"/>
      <w:numFmt w:val="lowerLetter"/>
      <w:start w:val="2"/>
    </w:lvl>
    <w:lvl w:ilvl="1">
      <w:lvlJc w:val="left"/>
      <w:lvlText w:val="%2"/>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32"/>
    </w:lvl>
  </w:abstractNum>
  <w:abstractNum w:abstractNumId="10">
    <w:nsid w:val="140E0F76"/>
    <w:multiLevelType w:val="hybridMultilevel"/>
    <w:lvl w:ilvl="0">
      <w:lvlJc w:val="left"/>
      <w:lvlText w:val="%1"/>
      <w:numFmt w:val="decimal"/>
      <w:start w:val="99"/>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2019-12-10T00:45:36Z</dcterms:created>
  <dcterms:modified xsi:type="dcterms:W3CDTF">2019-12-10T00:45:36Z</dcterms:modified>
</cp:coreProperties>
</file>