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2014</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472"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72"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472"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472"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472"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42,357,546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March 31, 2014</w:t>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0" w:type="dxa"/>
            <w:vAlign w:val="bottom"/>
            <w:gridSpan w:val="3"/>
          </w:tcPr>
          <w:p>
            <w:pPr>
              <w:ind w:left="108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Definitions</w:t>
              </w:r>
            </w:hyperlink>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gridSpan w:val="2"/>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42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040" w:type="dxa"/>
            <w:vAlign w:val="bottom"/>
            <w:tcBorders>
              <w:top w:val="single" w:sz="8" w:color="0000EE"/>
            </w:tcBorders>
            <w:gridSpan w:val="2"/>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3520" w:type="dxa"/>
            <w:vAlign w:val="bottom"/>
            <w:gridSpan w:val="6"/>
            <w:shd w:val="clear" w:color="auto" w:fill="CCEEFF"/>
          </w:tcPr>
          <w:p>
            <w:pPr>
              <w:ind w:left="6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6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2"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Item 1.</w:t>
              </w:r>
            </w:hyperlink>
          </w:p>
        </w:tc>
        <w:tc>
          <w:tcPr>
            <w:tcW w:w="54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Financial Statements (Unaudited)</w:t>
              </w:r>
            </w:hyperlink>
          </w:p>
        </w:tc>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900" w:type="dxa"/>
            <w:vAlign w:val="bottom"/>
            <w:tcBorders>
              <w:top w:val="single" w:sz="8" w:color="0000EE"/>
            </w:tcBorders>
            <w:shd w:val="clear" w:color="auto" w:fill="CCEEFF"/>
          </w:tcPr>
          <w:p>
            <w:pPr>
              <w:spacing w:after="0"/>
              <w:rPr>
                <w:sz w:val="4"/>
                <w:szCs w:val="4"/>
                <w:color w:val="auto"/>
              </w:rPr>
            </w:pPr>
          </w:p>
        </w:tc>
        <w:tc>
          <w:tcPr>
            <w:tcW w:w="6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9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rPr>
                <w:sz w:val="20"/>
                <w:szCs w:val="20"/>
                <w:color w:val="auto"/>
              </w:rPr>
            </w:pPr>
            <w:r>
              <w:rPr>
                <w:rFonts w:ascii="Arial" w:cs="Arial" w:eastAsia="Arial" w:hAnsi="Arial"/>
                <w:sz w:val="18"/>
                <w:szCs w:val="18"/>
                <w:color w:val="auto"/>
              </w:rPr>
              <w:t>March 31, 2014 and December 31, 2013</w:t>
            </w:r>
          </w:p>
        </w:tc>
        <w:tc>
          <w:tcPr>
            <w:tcW w:w="200" w:type="dxa"/>
            <w:vAlign w:val="bottom"/>
            <w:gridSpan w:val="3"/>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For the Three Months Ended March 31, 2014 and 2013</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Comprehensive Income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line="202" w:lineRule="exact"/>
              <w:rPr>
                <w:sz w:val="20"/>
                <w:szCs w:val="20"/>
                <w:color w:val="auto"/>
              </w:rPr>
            </w:pPr>
            <w:r>
              <w:rPr>
                <w:rFonts w:ascii="Arial" w:cs="Arial" w:eastAsia="Arial" w:hAnsi="Arial"/>
                <w:sz w:val="18"/>
                <w:szCs w:val="18"/>
                <w:color w:val="auto"/>
              </w:rPr>
              <w:t>For the Three Months Ended March 31, 2014 and 2013</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For the Three Months Ended March 31, 2014 and 2013</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0000EE"/>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and Results of Operations</w:t>
              </w:r>
            </w:hyperlink>
          </w:p>
        </w:tc>
        <w:tc>
          <w:tcPr>
            <w:tcW w:w="46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15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Part II.</w:t>
              </w:r>
            </w:hyperlink>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15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5.</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6.</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Signatures</w:t>
              </w:r>
            </w:hyperlink>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49</w:t>
              </w:r>
            </w:hyperlink>
          </w:p>
        </w:tc>
      </w:tr>
      <w:tr>
        <w:trPr>
          <w:trHeight w:val="39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900" w:type="dxa"/>
            <w:vAlign w:val="bottom"/>
            <w:tcBorders>
              <w:top w:val="single" w:sz="8" w:color="CCEEFF"/>
            </w:tcBorders>
            <w:gridSpan w:val="5"/>
          </w:tcPr>
          <w:p>
            <w:pPr>
              <w:ind w:left="240"/>
              <w:spacing w:after="0"/>
              <w:rPr>
                <w:sz w:val="20"/>
                <w:szCs w:val="20"/>
                <w:color w:val="auto"/>
              </w:rPr>
            </w:pPr>
            <w:r>
              <w:rPr>
                <w:rFonts w:ascii="Arial" w:cs="Arial" w:eastAsia="Arial" w:hAnsi="Arial"/>
                <w:sz w:val="14"/>
                <w:szCs w:val="14"/>
                <w:color w:val="auto"/>
              </w:rPr>
              <w:t>ALLETE First Quarter 2014 Form 10-Q</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Alternating Current</w:t>
            </w:r>
          </w:p>
        </w:tc>
      </w:tr>
      <w:tr>
        <w:trPr>
          <w:trHeight w:val="229"/>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AFUDC</w:t>
            </w:r>
          </w:p>
        </w:tc>
        <w:tc>
          <w:tcPr>
            <w:tcW w:w="8760" w:type="dxa"/>
            <w:vAlign w:val="bottom"/>
            <w:gridSpan w:val="2"/>
          </w:tcPr>
          <w:p>
            <w:pPr>
              <w:spacing w:after="0"/>
              <w:rPr>
                <w:sz w:val="20"/>
                <w:szCs w:val="20"/>
                <w:color w:val="auto"/>
              </w:rPr>
            </w:pPr>
            <w:r>
              <w:rPr>
                <w:rFonts w:ascii="Arial" w:cs="Arial" w:eastAsia="Arial" w:hAnsi="Arial"/>
                <w:sz w:val="18"/>
                <w:szCs w:val="18"/>
                <w:color w:val="auto"/>
                <w:w w:val="95"/>
              </w:rPr>
              <w:t>Allowance for Funds Used During Construction – the cost of both debt and equity funds used to finance utility plant</w:t>
            </w:r>
          </w:p>
        </w:tc>
      </w:tr>
      <w:tr>
        <w:trPr>
          <w:trHeight w:val="230"/>
        </w:trPr>
        <w:tc>
          <w:tcPr>
            <w:tcW w:w="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additions during construction periods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 Clean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Clean Energy,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ATC</w:t>
            </w:r>
          </w:p>
        </w:tc>
        <w:tc>
          <w:tcPr>
            <w:tcW w:w="876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Bison Wind Energy Center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Bison 1, 2 &amp; 3 Wind Facilities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 4</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4 Wind Project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Coal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Coal, Ltd.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76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CAIR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Clean Air Interstate Rule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Carbon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CSAPR</w:t>
            </w:r>
          </w:p>
        </w:tc>
        <w:tc>
          <w:tcPr>
            <w:tcW w:w="8760" w:type="dxa"/>
            <w:vAlign w:val="bottom"/>
            <w:gridSpan w:val="2"/>
          </w:tcPr>
          <w:p>
            <w:pPr>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EPA</w:t>
            </w:r>
          </w:p>
        </w:tc>
        <w:tc>
          <w:tcPr>
            <w:tcW w:w="8760" w:type="dxa"/>
            <w:vAlign w:val="bottom"/>
            <w:gridSpan w:val="2"/>
          </w:tcPr>
          <w:p>
            <w:pPr>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FASB</w:t>
            </w:r>
          </w:p>
        </w:tc>
        <w:tc>
          <w:tcPr>
            <w:tcW w:w="8760" w:type="dxa"/>
            <w:vAlign w:val="bottom"/>
            <w:gridSpan w:val="2"/>
          </w:tcPr>
          <w:p>
            <w:pPr>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Form 10-K</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GAAP</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Greenhouse Gases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GNTL</w:t>
            </w:r>
          </w:p>
        </w:tc>
        <w:tc>
          <w:tcPr>
            <w:tcW w:w="8760" w:type="dxa"/>
            <w:vAlign w:val="bottom"/>
            <w:gridSpan w:val="2"/>
          </w:tcPr>
          <w:p>
            <w:pPr>
              <w:spacing w:after="0"/>
              <w:rPr>
                <w:sz w:val="20"/>
                <w:szCs w:val="20"/>
                <w:color w:val="auto"/>
              </w:rPr>
            </w:pPr>
            <w:r>
              <w:rPr>
                <w:rFonts w:ascii="Arial" w:cs="Arial" w:eastAsia="Arial" w:hAnsi="Arial"/>
                <w:sz w:val="18"/>
                <w:szCs w:val="18"/>
                <w:color w:val="auto"/>
              </w:rPr>
              <w:t>Great Northern Transmission Line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IBEW</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 Brotherhood of Electrical Workers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Invest Direct</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Item ___</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___ of this Form 10-Q</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kV</w:t>
            </w:r>
          </w:p>
        </w:tc>
        <w:tc>
          <w:tcPr>
            <w:tcW w:w="8760" w:type="dxa"/>
            <w:vAlign w:val="bottom"/>
            <w:gridSpan w:val="2"/>
          </w:tcPr>
          <w:p>
            <w:pPr>
              <w:spacing w:after="0"/>
              <w:rPr>
                <w:sz w:val="20"/>
                <w:szCs w:val="20"/>
                <w:color w:val="auto"/>
              </w:rPr>
            </w:pPr>
            <w:r>
              <w:rPr>
                <w:rFonts w:ascii="Arial" w:cs="Arial" w:eastAsia="Arial" w:hAnsi="Arial"/>
                <w:sz w:val="18"/>
                <w:szCs w:val="18"/>
                <w:color w:val="auto"/>
              </w:rPr>
              <w:t>Kilovolt(s)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43"/>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kWh</w:t>
            </w: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Kilowatt-hour</w:t>
            </w:r>
          </w:p>
        </w:tc>
      </w:tr>
      <w:tr>
        <w:trPr>
          <w:trHeight w:val="203"/>
        </w:trPr>
        <w:tc>
          <w:tcPr>
            <w:tcW w:w="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340" w:type="dxa"/>
            <w:vAlign w:val="bottom"/>
            <w:shd w:val="clear" w:color="auto" w:fill="CCEEFF"/>
          </w:tcPr>
          <w:p>
            <w:pPr>
              <w:spacing w:after="0"/>
              <w:rPr>
                <w:sz w:val="17"/>
                <w:szCs w:val="17"/>
                <w:color w:val="auto"/>
              </w:rPr>
            </w:pP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Laskin</w:t>
            </w:r>
          </w:p>
        </w:tc>
        <w:tc>
          <w:tcPr>
            <w:tcW w:w="8760" w:type="dxa"/>
            <w:vAlign w:val="bottom"/>
            <w:gridSpan w:val="2"/>
          </w:tcPr>
          <w:p>
            <w:pPr>
              <w:spacing w:after="0"/>
              <w:rPr>
                <w:sz w:val="20"/>
                <w:szCs w:val="20"/>
                <w:color w:val="auto"/>
              </w:rPr>
            </w:pPr>
            <w:r>
              <w:rPr>
                <w:rFonts w:ascii="Arial" w:cs="Arial" w:eastAsia="Arial" w:hAnsi="Arial"/>
                <w:sz w:val="18"/>
                <w:szCs w:val="18"/>
                <w:color w:val="auto"/>
              </w:rPr>
              <w:t>Laskin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MACT</w:t>
            </w:r>
          </w:p>
        </w:tc>
        <w:tc>
          <w:tcPr>
            <w:tcW w:w="8760" w:type="dxa"/>
            <w:vAlign w:val="bottom"/>
            <w:gridSpan w:val="2"/>
          </w:tcPr>
          <w:p>
            <w:pPr>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76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76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480"/>
              <w:spacing w:after="0"/>
              <w:rPr>
                <w:sz w:val="20"/>
                <w:szCs w:val="20"/>
                <w:color w:val="auto"/>
              </w:rPr>
            </w:pPr>
            <w:r>
              <w:rPr>
                <w:rFonts w:ascii="Arial" w:cs="Arial" w:eastAsia="Arial" w:hAnsi="Arial"/>
                <w:sz w:val="14"/>
                <w:szCs w:val="14"/>
                <w:color w:val="auto"/>
              </w:rPr>
              <w:t>ALLETE First Quarter 2014 Form 10-Q</w:t>
            </w: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NDPSC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NOL</w:t>
            </w:r>
          </w:p>
        </w:tc>
        <w:tc>
          <w:tcPr>
            <w:tcW w:w="8760" w:type="dxa"/>
            <w:vAlign w:val="bottom"/>
            <w:gridSpan w:val="2"/>
          </w:tcPr>
          <w:p>
            <w:pPr>
              <w:spacing w:after="0"/>
              <w:rPr>
                <w:sz w:val="20"/>
                <w:szCs w:val="20"/>
                <w:color w:val="auto"/>
              </w:rPr>
            </w:pPr>
            <w:r>
              <w:rPr>
                <w:rFonts w:ascii="Arial" w:cs="Arial" w:eastAsia="Arial" w:hAnsi="Arial"/>
                <w:sz w:val="18"/>
                <w:szCs w:val="18"/>
                <w:color w:val="auto"/>
              </w:rPr>
              <w:t>Net Operating Loss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76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Palm Coast Park</w:t>
            </w:r>
          </w:p>
        </w:tc>
        <w:tc>
          <w:tcPr>
            <w:tcW w:w="8760" w:type="dxa"/>
            <w:vAlign w:val="bottom"/>
            <w:gridSpan w:val="2"/>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PolyMet</w:t>
            </w:r>
          </w:p>
        </w:tc>
        <w:tc>
          <w:tcPr>
            <w:tcW w:w="8760" w:type="dxa"/>
            <w:vAlign w:val="bottom"/>
            <w:gridSpan w:val="2"/>
          </w:tcPr>
          <w:p>
            <w:pPr>
              <w:spacing w:after="0"/>
              <w:rPr>
                <w:sz w:val="20"/>
                <w:szCs w:val="20"/>
                <w:color w:val="auto"/>
              </w:rPr>
            </w:pPr>
            <w:r>
              <w:rPr>
                <w:rFonts w:ascii="Arial" w:cs="Arial" w:eastAsia="Arial" w:hAnsi="Arial"/>
                <w:sz w:val="18"/>
                <w:szCs w:val="18"/>
                <w:color w:val="auto"/>
              </w:rPr>
              <w:t>PolyMet Mining Corporation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Power Purchase Agreement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PPACA</w:t>
            </w:r>
          </w:p>
        </w:tc>
        <w:tc>
          <w:tcPr>
            <w:tcW w:w="876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PSCW</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Rainy River Energy</w:t>
            </w:r>
          </w:p>
        </w:tc>
        <w:tc>
          <w:tcPr>
            <w:tcW w:w="8760" w:type="dxa"/>
            <w:vAlign w:val="bottom"/>
            <w:gridSpan w:val="2"/>
          </w:tcPr>
          <w:p>
            <w:pPr>
              <w:spacing w:after="0"/>
              <w:rPr>
                <w:sz w:val="20"/>
                <w:szCs w:val="20"/>
                <w:color w:val="auto"/>
              </w:rPr>
            </w:pPr>
            <w:r>
              <w:rPr>
                <w:rFonts w:ascii="Arial" w:cs="Arial" w:eastAsia="Arial" w:hAnsi="Arial"/>
                <w:sz w:val="18"/>
                <w:szCs w:val="18"/>
                <w:color w:val="auto"/>
              </w:rPr>
              <w:t>Rainy River Energy Corporation -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SIP</w:t>
            </w:r>
          </w:p>
        </w:tc>
        <w:tc>
          <w:tcPr>
            <w:tcW w:w="8760" w:type="dxa"/>
            <w:vAlign w:val="bottom"/>
            <w:gridSpan w:val="2"/>
          </w:tcPr>
          <w:p>
            <w:pPr>
              <w:spacing w:after="0"/>
              <w:rPr>
                <w:sz w:val="20"/>
                <w:szCs w:val="20"/>
                <w:color w:val="auto"/>
              </w:rPr>
            </w:pPr>
            <w:r>
              <w:rPr>
                <w:rFonts w:ascii="Arial" w:cs="Arial" w:eastAsia="Arial" w:hAnsi="Arial"/>
                <w:sz w:val="18"/>
                <w:szCs w:val="18"/>
                <w:color w:val="auto"/>
              </w:rPr>
              <w:t>State Implementation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Sulfur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Square Butte</w:t>
            </w:r>
          </w:p>
        </w:tc>
        <w:tc>
          <w:tcPr>
            <w:tcW w:w="8760" w:type="dxa"/>
            <w:vAlign w:val="bottom"/>
            <w:gridSpan w:val="2"/>
          </w:tcPr>
          <w:p>
            <w:pPr>
              <w:spacing w:after="0"/>
              <w:rPr>
                <w:sz w:val="20"/>
                <w:szCs w:val="20"/>
                <w:color w:val="auto"/>
              </w:rPr>
            </w:pPr>
            <w:r>
              <w:rPr>
                <w:rFonts w:ascii="Arial" w:cs="Arial" w:eastAsia="Arial" w:hAnsi="Arial"/>
                <w:sz w:val="18"/>
                <w:szCs w:val="18"/>
                <w:color w:val="auto"/>
              </w:rPr>
              <w:t>Square Butte Electric Cooperative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SWL&amp;P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Superior Water, Light and Power Company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Taconite Harbor</w:t>
            </w:r>
          </w:p>
        </w:tc>
        <w:tc>
          <w:tcPr>
            <w:tcW w:w="8760" w:type="dxa"/>
            <w:vAlign w:val="bottom"/>
            <w:gridSpan w:val="2"/>
          </w:tcPr>
          <w:p>
            <w:pPr>
              <w:spacing w:after="0"/>
              <w:rPr>
                <w:sz w:val="20"/>
                <w:szCs w:val="20"/>
                <w:color w:val="auto"/>
              </w:rPr>
            </w:pPr>
            <w:r>
              <w:rPr>
                <w:rFonts w:ascii="Arial" w:cs="Arial" w:eastAsia="Arial" w:hAnsi="Arial"/>
                <w:sz w:val="18"/>
                <w:szCs w:val="18"/>
                <w:color w:val="auto"/>
              </w:rPr>
              <w:t>Taconite Harbor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76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USS Corporation</w:t>
            </w:r>
          </w:p>
        </w:tc>
        <w:tc>
          <w:tcPr>
            <w:tcW w:w="8760" w:type="dxa"/>
            <w:vAlign w:val="bottom"/>
            <w:gridSpan w:val="2"/>
          </w:tcPr>
          <w:p>
            <w:pPr>
              <w:spacing w:after="0"/>
              <w:rPr>
                <w:sz w:val="20"/>
                <w:szCs w:val="20"/>
                <w:color w:val="auto"/>
              </w:rPr>
            </w:pPr>
            <w:r>
              <w:rPr>
                <w:rFonts w:ascii="Arial" w:cs="Arial" w:eastAsia="Arial" w:hAnsi="Arial"/>
                <w:sz w:val="18"/>
                <w:szCs w:val="18"/>
                <w:color w:val="auto"/>
              </w:rPr>
              <w:t>United States Steel Corporation</w:t>
            </w:r>
          </w:p>
        </w:tc>
      </w:tr>
      <w:tr>
        <w:trPr>
          <w:trHeight w:val="85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480"/>
              <w:spacing w:after="0"/>
              <w:rPr>
                <w:sz w:val="20"/>
                <w:szCs w:val="20"/>
                <w:color w:val="auto"/>
              </w:rPr>
            </w:pPr>
            <w:r>
              <w:rPr>
                <w:rFonts w:ascii="Arial" w:cs="Arial" w:eastAsia="Arial" w:hAnsi="Arial"/>
                <w:sz w:val="14"/>
                <w:szCs w:val="14"/>
                <w:color w:val="auto"/>
              </w:rPr>
              <w:t>ALLETE First Quarter 2014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of climate change and future regulation to restrict the emissions of GHG;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recover these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Item 1A under the heading “Risk Factors” beginning on page 28 of our 2013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identify the risks and uncertainties that may affect our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8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$97.3</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$1.0 and $1.1)</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97.4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96.3</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68.9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33.4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35.1</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269.4</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307.0</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2,905.1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2,576.5</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267.0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263.8</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116.6</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116.4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146.3</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74.7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$3,749.2</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$3,476.8</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$78.1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$99.9</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15.2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15.7</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Other</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61.2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52.6</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208.5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1,202.5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1,083.0</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494.4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479.1</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89.9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81.0</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117.2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229.3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127.2</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2,341.8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2,133.9</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15)</w:t>
            </w:r>
          </w:p>
        </w:tc>
        <w:tc>
          <w:tcPr>
            <w:tcW w:w="15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ALLETE’s Equity</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42.4 and 41.4 Shares Outstanding</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930.4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885.2</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(12.5)</w:t>
            </w:r>
          </w:p>
        </w:tc>
        <w:tc>
          <w:tcPr>
            <w:tcW w:w="15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501.4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489.1</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1,402.5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1,342.9</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1,407.4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1,342.9</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$3,749.2</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$3,476.8</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tcPr>
          <w:p>
            <w:pPr>
              <w:ind w:left="338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26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60" w:type="dxa"/>
            <w:vAlign w:val="bottom"/>
          </w:tcPr>
          <w:p>
            <w:pPr>
              <w:spacing w:after="0"/>
              <w:rPr>
                <w:sz w:val="23"/>
                <w:szCs w:val="23"/>
                <w:color w:val="auto"/>
              </w:rPr>
            </w:pPr>
          </w:p>
        </w:tc>
        <w:tc>
          <w:tcPr>
            <w:tcW w:w="26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760" w:type="dxa"/>
            <w:vAlign w:val="bottom"/>
          </w:tcPr>
          <w:p>
            <w:pPr>
              <w:spacing w:after="0"/>
              <w:rPr>
                <w:sz w:val="23"/>
                <w:szCs w:val="23"/>
                <w:color w:val="auto"/>
              </w:rPr>
            </w:pP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$296.5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96.2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119.8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104.7</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37"/>
        </w:trPr>
        <w:tc>
          <w:tcPr>
            <w:tcW w:w="8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248.2</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219.4</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48.3</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7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Equity Earnings in ATC</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5.1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8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Other Expense</w:t>
            </w:r>
          </w:p>
        </w:tc>
        <w:tc>
          <w:tcPr>
            <w:tcW w:w="17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8.8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33.8</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37"/>
        </w:trPr>
        <w:tc>
          <w:tcPr>
            <w:tcW w:w="8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0.3</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17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41.4</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Diluted</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41.6</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$0.81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$0.80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$0.83</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$0.475</w:t>
            </w:r>
          </w:p>
        </w:tc>
      </w:tr>
      <w:tr>
        <w:trPr>
          <w:trHeight w:val="264"/>
        </w:trPr>
        <w:tc>
          <w:tcPr>
            <w:tcW w:w="876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7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p>
        </w:tc>
        <w:tc>
          <w:tcPr>
            <w:tcW w:w="26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920" w:type="dxa"/>
            <w:vAlign w:val="bottom"/>
          </w:tcPr>
          <w:p>
            <w:pPr>
              <w:jc w:val="right"/>
              <w:ind w:right="770"/>
              <w:spacing w:after="0"/>
              <w:rPr>
                <w:sz w:val="20"/>
                <w:szCs w:val="20"/>
                <w:color w:val="auto"/>
              </w:rPr>
            </w:pPr>
            <w:r>
              <w:rPr>
                <w:rFonts w:ascii="Arial" w:cs="Arial" w:eastAsia="Arial" w:hAnsi="Arial"/>
                <w:sz w:val="18"/>
                <w:szCs w:val="18"/>
                <w:b w:val="1"/>
                <w:bCs w:val="1"/>
                <w:color w:val="auto"/>
              </w:rPr>
              <w:t>2014</w:t>
            </w: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8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9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$33.8</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r>
      <w:tr>
        <w:trPr>
          <w:trHeight w:val="237"/>
        </w:trPr>
        <w:tc>
          <w:tcPr>
            <w:tcW w:w="8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9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1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380"/>
              <w:spacing w:after="0"/>
              <w:rPr>
                <w:sz w:val="20"/>
                <w:szCs w:val="20"/>
                <w:color w:val="auto"/>
              </w:rPr>
            </w:pPr>
            <w:r>
              <w:rPr>
                <w:rFonts w:ascii="Arial" w:cs="Arial" w:eastAsia="Arial" w:hAnsi="Arial"/>
                <w:sz w:val="18"/>
                <w:szCs w:val="18"/>
                <w:color w:val="auto"/>
              </w:rPr>
              <w:t>Net of Income Taxes of $0.1 and $–</w:t>
            </w:r>
          </w:p>
        </w:tc>
        <w:tc>
          <w:tcPr>
            <w:tcW w:w="19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440"/>
              <w:spacing w:after="0"/>
              <w:rPr>
                <w:sz w:val="20"/>
                <w:szCs w:val="20"/>
                <w:color w:val="auto"/>
              </w:rPr>
            </w:pPr>
            <w:r>
              <w:rPr>
                <w:rFonts w:ascii="Arial" w:cs="Arial" w:eastAsia="Arial" w:hAnsi="Arial"/>
                <w:sz w:val="18"/>
                <w:szCs w:val="18"/>
                <w:color w:val="auto"/>
              </w:rPr>
              <w:t>Net of Income Taxes of $0.2 and $0.2</w:t>
            </w:r>
          </w:p>
        </w:tc>
        <w:tc>
          <w:tcPr>
            <w:tcW w:w="1920" w:type="dxa"/>
            <w:vAlign w:val="bottom"/>
          </w:tcPr>
          <w:p>
            <w:pPr>
              <w:jc w:val="right"/>
              <w:ind w:right="490"/>
              <w:spacing w:after="0"/>
              <w:rPr>
                <w:sz w:val="20"/>
                <w:szCs w:val="20"/>
                <w:color w:val="auto"/>
              </w:rPr>
            </w:pPr>
            <w:r>
              <w:rPr>
                <w:rFonts w:ascii="Arial" w:cs="Arial" w:eastAsia="Arial" w:hAnsi="Arial"/>
                <w:sz w:val="18"/>
                <w:szCs w:val="18"/>
                <w:color w:val="auto"/>
              </w:rPr>
              <w:t>0.3</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8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w:t>
            </w:r>
          </w:p>
        </w:tc>
        <w:tc>
          <w:tcPr>
            <w:tcW w:w="19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0.3</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8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9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$34.1</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192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0.3</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Attributable to ALLETE</w:t>
            </w:r>
          </w:p>
        </w:tc>
        <w:tc>
          <w:tcPr>
            <w:tcW w:w="19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$33.8</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8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74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92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40" w:type="dxa"/>
            <w:vAlign w:val="bottom"/>
          </w:tcPr>
          <w:p>
            <w:pPr>
              <w:spacing w:after="0"/>
              <w:rPr>
                <w:sz w:val="19"/>
                <w:szCs w:val="19"/>
                <w:color w:val="auto"/>
              </w:rPr>
            </w:pPr>
          </w:p>
        </w:tc>
        <w:tc>
          <w:tcPr>
            <w:tcW w:w="2680" w:type="dxa"/>
            <w:vAlign w:val="bottom"/>
            <w:gridSpan w:val="2"/>
          </w:tcPr>
          <w:p>
            <w:pPr>
              <w:jc w:val="right"/>
              <w:ind w:right="315"/>
              <w:spacing w:after="0"/>
              <w:rPr>
                <w:sz w:val="20"/>
                <w:szCs w:val="20"/>
                <w:color w:val="auto"/>
              </w:rPr>
            </w:pPr>
            <w:r>
              <w:rPr>
                <w:rFonts w:ascii="Arial" w:cs="Arial" w:eastAsia="Arial" w:hAnsi="Arial"/>
                <w:sz w:val="17"/>
                <w:szCs w:val="17"/>
                <w:b w:val="1"/>
                <w:bCs w:val="1"/>
                <w:color w:val="auto"/>
              </w:rPr>
              <w:t>Three Months Ended</w:t>
            </w:r>
          </w:p>
        </w:tc>
      </w:tr>
      <w:tr>
        <w:trPr>
          <w:trHeight w:val="270"/>
        </w:trPr>
        <w:tc>
          <w:tcPr>
            <w:tcW w:w="87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760" w:type="dxa"/>
            <w:vAlign w:val="bottom"/>
          </w:tcPr>
          <w:p>
            <w:pPr>
              <w:spacing w:after="0"/>
              <w:rPr>
                <w:sz w:val="23"/>
                <w:szCs w:val="23"/>
                <w:color w:val="auto"/>
              </w:rPr>
            </w:pPr>
          </w:p>
        </w:tc>
      </w:tr>
      <w:tr>
        <w:trPr>
          <w:trHeight w:val="270"/>
        </w:trPr>
        <w:tc>
          <w:tcPr>
            <w:tcW w:w="8740" w:type="dxa"/>
            <w:vAlign w:val="bottom"/>
          </w:tcPr>
          <w:p>
            <w:pPr>
              <w:spacing w:after="0"/>
              <w:rPr>
                <w:sz w:val="23"/>
                <w:szCs w:val="23"/>
                <w:color w:val="auto"/>
              </w:rPr>
            </w:pPr>
          </w:p>
        </w:tc>
        <w:tc>
          <w:tcPr>
            <w:tcW w:w="1920" w:type="dxa"/>
            <w:vAlign w:val="bottom"/>
          </w:tcPr>
          <w:p>
            <w:pPr>
              <w:jc w:val="right"/>
              <w:ind w:right="795"/>
              <w:spacing w:after="0"/>
              <w:rPr>
                <w:sz w:val="20"/>
                <w:szCs w:val="20"/>
                <w:color w:val="auto"/>
              </w:rPr>
            </w:pPr>
            <w:r>
              <w:rPr>
                <w:rFonts w:ascii="Arial" w:cs="Arial" w:eastAsia="Arial" w:hAnsi="Arial"/>
                <w:sz w:val="17"/>
                <w:szCs w:val="17"/>
                <w:b w:val="1"/>
                <w:bCs w:val="1"/>
                <w:color w:val="auto"/>
              </w:rPr>
              <w:t>2014</w:t>
            </w:r>
          </w:p>
        </w:tc>
        <w:tc>
          <w:tcPr>
            <w:tcW w:w="760" w:type="dxa"/>
            <w:vAlign w:val="bottom"/>
          </w:tcPr>
          <w:p>
            <w:pPr>
              <w:jc w:val="right"/>
              <w:ind w:right="295"/>
              <w:spacing w:after="0"/>
              <w:rPr>
                <w:sz w:val="20"/>
                <w:szCs w:val="20"/>
                <w:color w:val="auto"/>
              </w:rPr>
            </w:pPr>
            <w:r>
              <w:rPr>
                <w:rFonts w:ascii="Arial" w:cs="Arial" w:eastAsia="Arial" w:hAnsi="Arial"/>
                <w:sz w:val="17"/>
                <w:szCs w:val="17"/>
                <w:b w:val="1"/>
                <w:bCs w:val="1"/>
                <w:color w:val="auto"/>
                <w:w w:val="95"/>
              </w:rPr>
              <w:t>2013</w:t>
            </w:r>
          </w:p>
        </w:tc>
      </w:tr>
      <w:tr>
        <w:trPr>
          <w:trHeight w:val="31"/>
        </w:trPr>
        <w:tc>
          <w:tcPr>
            <w:tcW w:w="8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7"/>
        </w:trPr>
        <w:tc>
          <w:tcPr>
            <w:tcW w:w="8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$33.8</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$32.5</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Allowance for Funds Used During Construction – Equity</w:t>
            </w:r>
          </w:p>
        </w:tc>
        <w:tc>
          <w:tcPr>
            <w:tcW w:w="19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(1.8)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Income from Equity Investments, Net of Dividends</w:t>
            </w:r>
          </w:p>
        </w:tc>
        <w:tc>
          <w:tcPr>
            <w:tcW w:w="1920" w:type="dxa"/>
            <w:vAlign w:val="bottom"/>
          </w:tcPr>
          <w:p>
            <w:pPr>
              <w:jc w:val="right"/>
              <w:ind w:right="455"/>
              <w:spacing w:after="0"/>
              <w:rPr>
                <w:sz w:val="20"/>
                <w:szCs w:val="20"/>
                <w:color w:val="auto"/>
              </w:rPr>
            </w:pPr>
            <w:r>
              <w:rPr>
                <w:rFonts w:ascii="Arial" w:cs="Arial" w:eastAsia="Arial" w:hAnsi="Arial"/>
                <w:sz w:val="17"/>
                <w:szCs w:val="17"/>
                <w:color w:val="auto"/>
              </w:rPr>
              <w:t>(0.8)</w:t>
            </w:r>
          </w:p>
        </w:tc>
        <w:tc>
          <w:tcPr>
            <w:tcW w:w="7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Gains on Sale of Assets / Investments</w:t>
            </w: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Depreciation Expense</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32.2</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28.2</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Issuance Costs</w:t>
            </w: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color w:val="auto"/>
              </w:rPr>
              <w:t>0.3</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0.3</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Deferred Income Tax Expense</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8.8</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7.3</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Compensation Expense</w:t>
            </w: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color w:val="auto"/>
              </w:rPr>
              <w:t>0.8</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0.6</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ESOP Compensation Expense</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2.2</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2.0</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color w:val="auto"/>
              </w:rPr>
              <w:t>3.2</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Bad Debt Expense</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0.2</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9"/>
        </w:trPr>
        <w:tc>
          <w:tcPr>
            <w:tcW w:w="874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2.9</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2.7</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Inventories</w:t>
            </w:r>
          </w:p>
        </w:tc>
        <w:tc>
          <w:tcPr>
            <w:tcW w:w="19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(6.5)</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w:t>
            </w:r>
          </w:p>
        </w:tc>
      </w:tr>
      <w:tr>
        <w:trPr>
          <w:trHeight w:val="239"/>
        </w:trPr>
        <w:tc>
          <w:tcPr>
            <w:tcW w:w="8740" w:type="dxa"/>
            <w:vAlign w:val="bottom"/>
          </w:tcPr>
          <w:p>
            <w:pPr>
              <w:ind w:left="500"/>
              <w:spacing w:after="0"/>
              <w:rPr>
                <w:sz w:val="20"/>
                <w:szCs w:val="20"/>
                <w:color w:val="auto"/>
              </w:rPr>
            </w:pPr>
            <w:r>
              <w:rPr>
                <w:rFonts w:ascii="Arial" w:cs="Arial" w:eastAsia="Arial" w:hAnsi="Arial"/>
                <w:sz w:val="17"/>
                <w:szCs w:val="17"/>
                <w:color w:val="auto"/>
              </w:rPr>
              <w:t>Prepayments and Other</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2.2</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5.5</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Payable</w:t>
            </w: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color w:val="auto"/>
              </w:rPr>
              <w:t>0.1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39"/>
        </w:trPr>
        <w:tc>
          <w:tcPr>
            <w:tcW w:w="8740" w:type="dxa"/>
            <w:vAlign w:val="bottom"/>
          </w:tcPr>
          <w:p>
            <w:pPr>
              <w:ind w:left="500"/>
              <w:spacing w:after="0"/>
              <w:rPr>
                <w:sz w:val="20"/>
                <w:szCs w:val="20"/>
                <w:color w:val="auto"/>
              </w:rPr>
            </w:pPr>
            <w:r>
              <w:rPr>
                <w:rFonts w:ascii="Arial" w:cs="Arial" w:eastAsia="Arial" w:hAnsi="Arial"/>
                <w:sz w:val="17"/>
                <w:szCs w:val="17"/>
                <w:color w:val="auto"/>
              </w:rPr>
              <w:t>Other Current Liabilities</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1.6</w:t>
            </w:r>
          </w:p>
        </w:tc>
        <w:tc>
          <w:tcPr>
            <w:tcW w:w="76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Cash Contributions to Defined Benefit Pension and Other Postretirement Benefit Plans</w:t>
            </w: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920" w:type="dxa"/>
            <w:vAlign w:val="bottom"/>
          </w:tcPr>
          <w:p>
            <w:pPr>
              <w:jc w:val="right"/>
              <w:ind w:right="455"/>
              <w:spacing w:after="0"/>
              <w:rPr>
                <w:sz w:val="20"/>
                <w:szCs w:val="20"/>
                <w:color w:val="auto"/>
              </w:rPr>
            </w:pPr>
            <w:r>
              <w:rPr>
                <w:rFonts w:ascii="Arial" w:cs="Arial" w:eastAsia="Arial" w:hAnsi="Arial"/>
                <w:sz w:val="17"/>
                <w:szCs w:val="17"/>
                <w:color w:val="auto"/>
              </w:rPr>
              <w:t>(4.0)</w:t>
            </w:r>
          </w:p>
        </w:tc>
        <w:tc>
          <w:tcPr>
            <w:tcW w:w="7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9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33"/>
        </w:trPr>
        <w:tc>
          <w:tcPr>
            <w:tcW w:w="874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Operating Activities</w:t>
            </w:r>
          </w:p>
        </w:tc>
        <w:tc>
          <w:tcPr>
            <w:tcW w:w="1920" w:type="dxa"/>
            <w:vAlign w:val="bottom"/>
            <w:tcBorders>
              <w:top w:val="single" w:sz="8" w:color="auto"/>
            </w:tcBorders>
          </w:tcPr>
          <w:p>
            <w:pPr>
              <w:jc w:val="right"/>
              <w:ind w:right="515"/>
              <w:spacing w:after="0"/>
              <w:rPr>
                <w:sz w:val="20"/>
                <w:szCs w:val="20"/>
                <w:color w:val="auto"/>
              </w:rPr>
            </w:pPr>
            <w:r>
              <w:rPr>
                <w:rFonts w:ascii="Arial" w:cs="Arial" w:eastAsia="Arial" w:hAnsi="Arial"/>
                <w:sz w:val="17"/>
                <w:szCs w:val="17"/>
                <w:color w:val="auto"/>
              </w:rPr>
              <w:t>74.9</w:t>
            </w: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58.2</w:t>
            </w:r>
          </w:p>
        </w:tc>
      </w:tr>
      <w:tr>
        <w:trPr>
          <w:trHeight w:val="31"/>
        </w:trPr>
        <w:tc>
          <w:tcPr>
            <w:tcW w:w="8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0.6</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7.9</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9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Investment in ATC</w:t>
            </w:r>
          </w:p>
        </w:tc>
        <w:tc>
          <w:tcPr>
            <w:tcW w:w="1920" w:type="dxa"/>
            <w:vAlign w:val="bottom"/>
          </w:tcPr>
          <w:p>
            <w:pPr>
              <w:jc w:val="right"/>
              <w:ind w:right="455"/>
              <w:spacing w:after="0"/>
              <w:rPr>
                <w:sz w:val="20"/>
                <w:szCs w:val="20"/>
                <w:color w:val="auto"/>
              </w:rPr>
            </w:pPr>
            <w:r>
              <w:rPr>
                <w:rFonts w:ascii="Arial" w:cs="Arial" w:eastAsia="Arial" w:hAnsi="Arial"/>
                <w:sz w:val="17"/>
                <w:szCs w:val="17"/>
                <w:color w:val="auto"/>
              </w:rPr>
              <w:t>(1.2)</w:t>
            </w:r>
          </w:p>
        </w:tc>
        <w:tc>
          <w:tcPr>
            <w:tcW w:w="76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to Other Investments</w:t>
            </w: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color w:val="auto"/>
              </w:rPr>
              <w:t>30.0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920" w:type="dxa"/>
            <w:vAlign w:val="bottom"/>
          </w:tcPr>
          <w:p>
            <w:pPr>
              <w:jc w:val="right"/>
              <w:ind w:right="455"/>
              <w:spacing w:after="0"/>
              <w:rPr>
                <w:sz w:val="20"/>
                <w:szCs w:val="20"/>
                <w:color w:val="auto"/>
              </w:rPr>
            </w:pPr>
            <w:r>
              <w:rPr>
                <w:rFonts w:ascii="Arial" w:cs="Arial" w:eastAsia="Arial" w:hAnsi="Arial"/>
                <w:sz w:val="17"/>
                <w:szCs w:val="17"/>
                <w:color w:val="auto"/>
              </w:rPr>
              <w:t>(216.2)</w:t>
            </w:r>
          </w:p>
        </w:tc>
        <w:tc>
          <w:tcPr>
            <w:tcW w:w="760" w:type="dxa"/>
            <w:vAlign w:val="bottom"/>
          </w:tcPr>
          <w:p>
            <w:pPr>
              <w:jc w:val="right"/>
              <w:spacing w:after="0"/>
              <w:rPr>
                <w:sz w:val="20"/>
                <w:szCs w:val="20"/>
                <w:color w:val="auto"/>
              </w:rPr>
            </w:pPr>
            <w:r>
              <w:rPr>
                <w:rFonts w:ascii="Arial" w:cs="Arial" w:eastAsia="Arial" w:hAnsi="Arial"/>
                <w:sz w:val="17"/>
                <w:szCs w:val="17"/>
                <w:color w:val="auto"/>
              </w:rPr>
              <w:t>(69.8)</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 – Net of Cash Acquired</w:t>
            </w:r>
          </w:p>
        </w:tc>
        <w:tc>
          <w:tcPr>
            <w:tcW w:w="19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(23.1)</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Changes in Restricted Cash</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6.0</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Assets</w:t>
            </w: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0.6</w:t>
            </w:r>
          </w:p>
        </w:tc>
      </w:tr>
      <w:tr>
        <w:trPr>
          <w:trHeight w:val="233"/>
        </w:trPr>
        <w:tc>
          <w:tcPr>
            <w:tcW w:w="874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for Investing Activities</w:t>
            </w:r>
          </w:p>
        </w:tc>
        <w:tc>
          <w:tcPr>
            <w:tcW w:w="192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color w:val="auto"/>
              </w:rPr>
              <w:t>(204.6)</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(63.9)</w:t>
            </w:r>
          </w:p>
        </w:tc>
      </w:tr>
      <w:tr>
        <w:trPr>
          <w:trHeight w:val="31"/>
        </w:trPr>
        <w:tc>
          <w:tcPr>
            <w:tcW w:w="8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24.8</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23.4</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color w:val="auto"/>
              </w:rPr>
              <w:t>100.0</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Reductions of Long-Term Debt</w:t>
            </w:r>
          </w:p>
        </w:tc>
        <w:tc>
          <w:tcPr>
            <w:tcW w:w="1920" w:type="dxa"/>
            <w:vAlign w:val="bottom"/>
          </w:tcPr>
          <w:p>
            <w:pPr>
              <w:jc w:val="right"/>
              <w:ind w:right="455"/>
              <w:spacing w:after="0"/>
              <w:rPr>
                <w:sz w:val="20"/>
                <w:szCs w:val="20"/>
                <w:color w:val="auto"/>
              </w:rPr>
            </w:pPr>
            <w:r>
              <w:rPr>
                <w:rFonts w:ascii="Arial" w:cs="Arial" w:eastAsia="Arial" w:hAnsi="Arial"/>
                <w:sz w:val="17"/>
                <w:szCs w:val="17"/>
                <w:color w:val="auto"/>
              </w:rPr>
              <w:t>(19.8)</w:t>
            </w:r>
          </w:p>
        </w:tc>
        <w:tc>
          <w:tcPr>
            <w:tcW w:w="7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19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(0.9)</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740" w:type="dxa"/>
            <w:vAlign w:val="bottom"/>
          </w:tcPr>
          <w:p>
            <w:pPr>
              <w:ind w:left="280"/>
              <w:spacing w:after="0"/>
              <w:rPr>
                <w:sz w:val="20"/>
                <w:szCs w:val="20"/>
                <w:color w:val="auto"/>
              </w:rPr>
            </w:pPr>
            <w:r>
              <w:rPr>
                <w:rFonts w:ascii="Arial" w:cs="Arial" w:eastAsia="Arial" w:hAnsi="Arial"/>
                <w:sz w:val="17"/>
                <w:szCs w:val="17"/>
                <w:color w:val="auto"/>
              </w:rPr>
              <w:t>Acquisition of Non-Controlling Interest</w:t>
            </w:r>
          </w:p>
        </w:tc>
        <w:tc>
          <w:tcPr>
            <w:tcW w:w="1920" w:type="dxa"/>
            <w:vAlign w:val="bottom"/>
          </w:tcPr>
          <w:p>
            <w:pPr>
              <w:jc w:val="right"/>
              <w:ind w:right="455"/>
              <w:spacing w:after="0"/>
              <w:rPr>
                <w:sz w:val="20"/>
                <w:szCs w:val="20"/>
                <w:color w:val="auto"/>
              </w:rPr>
            </w:pPr>
            <w:r>
              <w:rPr>
                <w:rFonts w:ascii="Arial" w:cs="Arial" w:eastAsia="Arial" w:hAnsi="Arial"/>
                <w:sz w:val="17"/>
                <w:szCs w:val="17"/>
                <w:color w:val="auto"/>
              </w:rPr>
              <w:t>(6.0)</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Dividends on Common Stock</w:t>
            </w:r>
          </w:p>
        </w:tc>
        <w:tc>
          <w:tcPr>
            <w:tcW w:w="19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(21.1)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33"/>
        </w:trPr>
        <w:tc>
          <w:tcPr>
            <w:tcW w:w="8740" w:type="dxa"/>
            <w:vAlign w:val="bottom"/>
            <w:tcBorders>
              <w:top w:val="single" w:sz="8" w:color="auto"/>
            </w:tcBorders>
          </w:tcPr>
          <w:p>
            <w:pPr>
              <w:ind w:left="500"/>
              <w:spacing w:after="0"/>
              <w:rPr>
                <w:sz w:val="20"/>
                <w:szCs w:val="20"/>
                <w:color w:val="auto"/>
              </w:rPr>
            </w:pPr>
            <w:r>
              <w:rPr>
                <w:rFonts w:ascii="Arial" w:cs="Arial" w:eastAsia="Arial" w:hAnsi="Arial"/>
                <w:sz w:val="17"/>
                <w:szCs w:val="17"/>
                <w:color w:val="auto"/>
              </w:rPr>
              <w:t>Cash from Financing Activities</w:t>
            </w:r>
          </w:p>
        </w:tc>
        <w:tc>
          <w:tcPr>
            <w:tcW w:w="1920" w:type="dxa"/>
            <w:vAlign w:val="bottom"/>
            <w:tcBorders>
              <w:top w:val="single" w:sz="8" w:color="auto"/>
            </w:tcBorders>
          </w:tcPr>
          <w:p>
            <w:pPr>
              <w:jc w:val="right"/>
              <w:ind w:right="515"/>
              <w:spacing w:after="0"/>
              <w:rPr>
                <w:sz w:val="20"/>
                <w:szCs w:val="20"/>
                <w:color w:val="auto"/>
              </w:rPr>
            </w:pPr>
            <w:r>
              <w:rPr>
                <w:rFonts w:ascii="Arial" w:cs="Arial" w:eastAsia="Arial" w:hAnsi="Arial"/>
                <w:sz w:val="17"/>
                <w:szCs w:val="17"/>
                <w:color w:val="auto"/>
              </w:rPr>
              <w:t>77.0</w:t>
            </w: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w:t>
            </w:r>
          </w:p>
        </w:tc>
      </w:tr>
      <w:tr>
        <w:trPr>
          <w:trHeight w:val="31"/>
        </w:trPr>
        <w:tc>
          <w:tcPr>
            <w:tcW w:w="8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92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7"/>
                <w:szCs w:val="17"/>
                <w:color w:val="auto"/>
              </w:rPr>
              <w:t>(52.7)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39"/>
        </w:trPr>
        <w:tc>
          <w:tcPr>
            <w:tcW w:w="874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920" w:type="dxa"/>
            <w:vAlign w:val="bottom"/>
          </w:tcPr>
          <w:p>
            <w:pPr>
              <w:jc w:val="right"/>
              <w:ind w:right="515"/>
              <w:spacing w:after="0"/>
              <w:rPr>
                <w:sz w:val="20"/>
                <w:szCs w:val="20"/>
                <w:color w:val="auto"/>
              </w:rPr>
            </w:pPr>
            <w:r>
              <w:rPr>
                <w:rFonts w:ascii="Arial" w:cs="Arial" w:eastAsia="Arial" w:hAnsi="Arial"/>
                <w:sz w:val="17"/>
                <w:szCs w:val="17"/>
                <w:color w:val="auto"/>
              </w:rPr>
              <w:t>97.3</w:t>
            </w: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80.8</w:t>
            </w:r>
          </w:p>
        </w:tc>
      </w:tr>
      <w:tr>
        <w:trPr>
          <w:trHeight w:val="31"/>
        </w:trPr>
        <w:tc>
          <w:tcPr>
            <w:tcW w:w="8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92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7"/>
                <w:szCs w:val="17"/>
                <w:color w:val="auto"/>
              </w:rPr>
              <w:t>$44.6</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$77.3</w:t>
            </w:r>
          </w:p>
        </w:tc>
      </w:tr>
      <w:tr>
        <w:trPr>
          <w:trHeight w:val="224"/>
        </w:trPr>
        <w:tc>
          <w:tcPr>
            <w:tcW w:w="874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9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36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2013, Consolidated Balance Sheet was derived from audited financial statements but does not include all disclosures required by GAAP. All adjustments are of a normal, recurring nature, except as otherwise disclosed. Operating results for the period ended March 31, 2014, are not necessarily indicative of results that may be expected for any other interim period or for the year ending December 31, 2014. For further information, refer to the consolidated financial statements and notes included in our 2013 Form 10-K.</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w:t>
            </w:r>
          </w:p>
        </w:tc>
        <w:tc>
          <w:tcPr>
            <w:tcW w:w="2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10100" w:type="dxa"/>
            <w:vAlign w:val="bottom"/>
            <w:gridSpan w:val="2"/>
          </w:tcPr>
          <w:p>
            <w:pPr>
              <w:spacing w:after="0"/>
              <w:rPr>
                <w:sz w:val="20"/>
                <w:szCs w:val="20"/>
                <w:color w:val="auto"/>
              </w:rPr>
            </w:pPr>
            <w:r>
              <w:rPr>
                <w:rFonts w:ascii="Arial" w:cs="Arial" w:eastAsia="Arial" w:hAnsi="Arial"/>
                <w:sz w:val="18"/>
                <w:szCs w:val="18"/>
                <w:b w:val="1"/>
                <w:bCs w:val="1"/>
                <w:color w:val="auto"/>
                <w:w w:val="90"/>
              </w:rPr>
              <w:t xml:space="preserve">Inventories. </w:t>
            </w:r>
            <w:r>
              <w:rPr>
                <w:rFonts w:ascii="Arial" w:cs="Arial" w:eastAsia="Arial" w:hAnsi="Arial"/>
                <w:sz w:val="18"/>
                <w:szCs w:val="18"/>
                <w:color w:val="auto"/>
                <w:w w:val="90"/>
              </w:rPr>
              <w:t>Inventories are stated at the lower of cost or market. Amounts removed from inventory are recorded on an average cost basis.</w:t>
            </w:r>
          </w:p>
        </w:tc>
        <w:tc>
          <w:tcPr>
            <w:tcW w:w="1320" w:type="dxa"/>
            <w:vAlign w:val="bottom"/>
          </w:tcPr>
          <w:p>
            <w:pPr>
              <w:spacing w:after="0"/>
              <w:rPr>
                <w:sz w:val="24"/>
                <w:szCs w:val="24"/>
                <w:color w:val="auto"/>
              </w:rPr>
            </w:pPr>
          </w:p>
        </w:tc>
      </w:tr>
      <w:tr>
        <w:trPr>
          <w:trHeight w:val="360"/>
        </w:trPr>
        <w:tc>
          <w:tcPr>
            <w:tcW w:w="7360" w:type="dxa"/>
            <w:vAlign w:val="bottom"/>
          </w:tcPr>
          <w:p>
            <w:pPr>
              <w:spacing w:after="0"/>
              <w:rPr>
                <w:sz w:val="24"/>
                <w:szCs w:val="24"/>
                <w:color w:val="auto"/>
              </w:rPr>
            </w:pPr>
          </w:p>
        </w:tc>
        <w:tc>
          <w:tcPr>
            <w:tcW w:w="27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7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7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2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$16.3</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Materials and Supplies</w:t>
            </w: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52.6</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7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$68.9</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r>
      <w:tr>
        <w:trPr>
          <w:trHeight w:val="569"/>
        </w:trPr>
        <w:tc>
          <w:tcPr>
            <w:tcW w:w="7360" w:type="dxa"/>
            <w:vAlign w:val="bottom"/>
            <w:tcBorders>
              <w:top w:val="single" w:sz="8" w:color="auto"/>
            </w:tcBorders>
          </w:tcPr>
          <w:p>
            <w:pPr>
              <w:spacing w:after="0"/>
              <w:rPr>
                <w:sz w:val="24"/>
                <w:szCs w:val="24"/>
                <w:color w:val="auto"/>
              </w:rPr>
            </w:pPr>
          </w:p>
        </w:tc>
        <w:tc>
          <w:tcPr>
            <w:tcW w:w="27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March 31,</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27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7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7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2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$22.1</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11.3</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7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27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$33.4</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r>
      <w:tr>
        <w:trPr>
          <w:trHeight w:val="20"/>
        </w:trPr>
        <w:tc>
          <w:tcPr>
            <w:tcW w:w="736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Other Non-Current Assets. </w:t>
      </w:r>
      <w:r>
        <w:rPr>
          <w:rFonts w:ascii="Arial" w:cs="Arial" w:eastAsia="Arial" w:hAnsi="Arial"/>
          <w:sz w:val="18"/>
          <w:szCs w:val="18"/>
          <w:color w:val="auto"/>
        </w:rPr>
        <w:t>As of March 31, 2014, included in Other Non-Current Assets on the Consolidated Balance Sheet was restricted cash of $5.3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related to ALLETE Clean Energy’s wind energy facilities acquisition, which was completed on January 30, 2014 (see Note 4. Acquisitions). As of December 31, 2013, restricted cash of $5.4 million related to cash held in escrow pending the closing of the acquisition.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434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3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6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4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$24.1</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434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4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$61.2</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7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Power Purchase Agreements were acquired in conjunction with the ALLETE Clean Energy wind energy facilities acquisition on January 30, 2014 (see Note 4. Acquisitions).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5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576"/>
        </w:trPr>
        <w:tc>
          <w:tcPr>
            <w:tcW w:w="7860" w:type="dxa"/>
            <w:vAlign w:val="bottom"/>
          </w:tcPr>
          <w:p>
            <w:pPr>
              <w:spacing w:after="0"/>
              <w:rPr>
                <w:sz w:val="24"/>
                <w:szCs w:val="24"/>
                <w:color w:val="auto"/>
              </w:rPr>
            </w:pPr>
          </w:p>
        </w:tc>
        <w:tc>
          <w:tcPr>
            <w:tcW w:w="210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1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78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2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$89.2</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2100" w:type="dxa"/>
            <w:vAlign w:val="bottom"/>
          </w:tcPr>
          <w:p>
            <w:pPr>
              <w:jc w:val="right"/>
              <w:ind w:right="150"/>
              <w:spacing w:after="0"/>
              <w:rPr>
                <w:sz w:val="20"/>
                <w:szCs w:val="20"/>
                <w:color w:val="auto"/>
              </w:rPr>
            </w:pPr>
            <w:r>
              <w:rPr>
                <w:rFonts w:ascii="Arial" w:cs="Arial" w:eastAsia="Arial" w:hAnsi="Arial"/>
                <w:sz w:val="18"/>
                <w:szCs w:val="18"/>
                <w:color w:val="auto"/>
              </w:rPr>
              <w:t>96.4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43.7</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37"/>
        </w:trPr>
        <w:tc>
          <w:tcPr>
            <w:tcW w:w="7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Non-Current Liabilities</w:t>
            </w:r>
          </w:p>
        </w:tc>
        <w:tc>
          <w:tcPr>
            <w:tcW w:w="21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$229.3</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7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Power Purchase Agreements were acquired in conjunction with the ALLETE Clean Energy wind energy facilities acquisition on January 30, 2014 (see Note 4. Acquisitions).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$12.4</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$0.2</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$(22.6)</w:t>
            </w: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$0.6</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 – Equity</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$19.5</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06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Presentation of an Unrecognized Tax Benefit When a Net Operating Loss Carryforward, a Similar Tax Loss, or a Tax Credit Carryforward Exists. </w:t>
      </w:r>
      <w:r>
        <w:rPr>
          <w:rFonts w:ascii="Arial" w:cs="Arial" w:eastAsia="Arial" w:hAnsi="Arial"/>
          <w:sz w:val="18"/>
          <w:szCs w:val="18"/>
          <w:color w:val="auto"/>
        </w:rPr>
        <w:t>In July</w:t>
      </w:r>
      <w:r>
        <w:rPr>
          <w:rFonts w:ascii="Arial" w:cs="Arial" w:eastAsia="Arial" w:hAnsi="Arial"/>
          <w:sz w:val="18"/>
          <w:szCs w:val="18"/>
          <w:i w:val="1"/>
          <w:iCs w:val="1"/>
          <w:color w:val="auto"/>
        </w:rPr>
        <w:t xml:space="preserve"> </w:t>
      </w:r>
      <w:r>
        <w:rPr>
          <w:rFonts w:ascii="Arial" w:cs="Arial" w:eastAsia="Arial" w:hAnsi="Arial"/>
          <w:sz w:val="18"/>
          <w:szCs w:val="18"/>
          <w:color w:val="auto"/>
        </w:rPr>
        <w:t>2013, the FASB issued an accounting standard update on the financial statement presentation of unrecognized tax benefits when an NOL carryforward, a similar tax loss, or a tax credit carryforward exists. An unrecognized tax benefit, or a portion of an unrecognized tax benefit, should be presented in the financial statements as a reduction to a deferred tax asset for an NOL carryforward, a similar tax loss, or a tax credit carryforward. To the extent an NOL carryforward, a similar tax loss, or a tax credit carryforward is not available at the reporting date to settle any additional income taxes that would result from the disallowance of a tax position or the tax law does not require the entity to use, and the entity does not intend to use, the deferred tax asset for such purpose, the unrecognized tax benefit should be presented in the financial statements as a liability and should not be combined with deferred tax assets. This guidance was adopted beginning with the quarter ending March 31, 2014, and did not have a material impact on our consolidated financial position, results of operations, or cash flows.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Reporting Discontinued Operations and Disclosures of Disposals of Components of an Entity</w:t>
      </w:r>
      <w:r>
        <w:rPr>
          <w:rFonts w:ascii="Arial" w:cs="Arial" w:eastAsia="Arial" w:hAnsi="Arial"/>
          <w:sz w:val="18"/>
          <w:szCs w:val="18"/>
          <w:color w:val="auto"/>
        </w:rPr>
        <w:t>. In April 2014, the FASB issued an accounting standard update</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the criteria for determining which disposals should be presented as discontinued operations and modifying the related disclosure requirements. Additionally, the new guidance requires that a business which qualifies as held for sale upon acquisition should be reported as discontinued operations. The new guidance will be effective beginning with the quarter ending March 31, 2015, and applies prospectively to new disposals and new classifications of disposal groups as held for sale after the effective date. This guidance is not expected to have a material impact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our business which acquired three wind energy facilities in January 2014, and is aimed at developing or acquiring capital projects that create energy solutions via wind, solar, biomass, midstream gas and oil infrastructure, among other energy-related projects. This segment also includes other business development and corporate expenditures, unallocated interest expense, a small amount of non-rate base generation, approximately 5,000 acres of land in Minnesota, and earnings on cash and investments.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Investments and</w:t>
            </w:r>
          </w:p>
        </w:tc>
      </w:tr>
      <w:tr>
        <w:trPr>
          <w:trHeight w:val="234"/>
        </w:trPr>
        <w:tc>
          <w:tcPr>
            <w:tcW w:w="6000" w:type="dxa"/>
            <w:vAlign w:val="bottom"/>
          </w:tcPr>
          <w:p>
            <w:pPr>
              <w:spacing w:after="0"/>
              <w:rPr>
                <w:sz w:val="20"/>
                <w:szCs w:val="20"/>
                <w:color w:val="auto"/>
              </w:rPr>
            </w:pPr>
          </w:p>
        </w:tc>
        <w:tc>
          <w:tcPr>
            <w:tcW w:w="240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 2014</w:t>
            </w:r>
          </w:p>
        </w:tc>
        <w:tc>
          <w:tcPr>
            <w:tcW w:w="2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
        </w:trPr>
        <w:tc>
          <w:tcPr>
            <w:tcW w:w="6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$296.5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$264.2</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96.2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96.2</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119.8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90.2</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32.2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28.8</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48.3</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42.6</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8.8</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1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0.3</w:t>
            </w: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534"/>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March 31, 2014</w:t>
            </w:r>
          </w:p>
        </w:tc>
        <w:tc>
          <w:tcPr>
            <w:tcW w:w="24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
        </w:trPr>
        <w:tc>
          <w:tcPr>
            <w:tcW w:w="6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$3,749.2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$3,335.5</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$413.7</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$2,905.1</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$2,671.3</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$233.8</w:t>
            </w:r>
          </w:p>
        </w:tc>
      </w:tr>
      <w:tr>
        <w:trPr>
          <w:trHeight w:val="27"/>
        </w:trPr>
        <w:tc>
          <w:tcPr>
            <w:tcW w:w="6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$1,266.7</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$1,202.9</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$195.2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$193.5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36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76"/>
        </w:trPr>
        <w:tc>
          <w:tcPr>
            <w:tcW w:w="60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Regulated</w:t>
            </w:r>
          </w:p>
        </w:tc>
        <w:tc>
          <w:tcPr>
            <w:tcW w:w="15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Investments and</w:t>
            </w:r>
          </w:p>
        </w:tc>
      </w:tr>
      <w:tr>
        <w:trPr>
          <w:trHeight w:val="234"/>
        </w:trPr>
        <w:tc>
          <w:tcPr>
            <w:tcW w:w="6000" w:type="dxa"/>
            <w:vAlign w:val="bottom"/>
          </w:tcPr>
          <w:p>
            <w:pPr>
              <w:spacing w:after="0"/>
              <w:rPr>
                <w:sz w:val="20"/>
                <w:szCs w:val="20"/>
                <w:color w:val="auto"/>
              </w:rPr>
            </w:pPr>
          </w:p>
        </w:tc>
        <w:tc>
          <w:tcPr>
            <w:tcW w:w="2400" w:type="dxa"/>
            <w:vAlign w:val="bottom"/>
          </w:tcPr>
          <w:p>
            <w:pPr>
              <w:jc w:val="right"/>
              <w:ind w:right="350"/>
              <w:spacing w:after="0"/>
              <w:rPr>
                <w:sz w:val="20"/>
                <w:szCs w:val="20"/>
                <w:color w:val="auto"/>
              </w:rPr>
            </w:pPr>
            <w:r>
              <w:rPr>
                <w:rFonts w:ascii="Arial" w:cs="Arial" w:eastAsia="Arial" w:hAnsi="Arial"/>
                <w:sz w:val="18"/>
                <w:szCs w:val="18"/>
                <w:b w:val="1"/>
                <w:bCs w:val="1"/>
                <w:color w:val="auto"/>
              </w:rPr>
              <w:t>Consolidated</w:t>
            </w: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Operations</w:t>
            </w:r>
          </w:p>
        </w:tc>
        <w:tc>
          <w:tcPr>
            <w:tcW w:w="152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 2013</w:t>
            </w:r>
          </w:p>
        </w:tc>
        <w:tc>
          <w:tcPr>
            <w:tcW w:w="2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
        </w:trPr>
        <w:tc>
          <w:tcPr>
            <w:tcW w:w="6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$263.8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$241.4</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86.5</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86.5</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104.7</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82.2</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28.2</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26.8</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44.4</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45.9</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0" w:type="dxa"/>
            <w:vAlign w:val="bottom"/>
          </w:tcPr>
          <w:p>
            <w:pPr>
              <w:jc w:val="right"/>
              <w:ind w:right="110"/>
              <w:spacing w:after="0"/>
              <w:rPr>
                <w:sz w:val="20"/>
                <w:szCs w:val="20"/>
                <w:color w:val="auto"/>
              </w:rPr>
            </w:pPr>
            <w:r>
              <w:rPr>
                <w:rFonts w:ascii="Arial" w:cs="Arial" w:eastAsia="Arial" w:hAnsi="Arial"/>
                <w:sz w:val="18"/>
                <w:szCs w:val="18"/>
                <w:color w:val="auto"/>
              </w:rPr>
              <w:t>(12.3)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40.0</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7.5</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1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32.1</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ALLETE</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$32.5</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$32.1</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534"/>
        </w:trPr>
        <w:tc>
          <w:tcPr>
            <w:tcW w:w="6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March 31, 2013</w:t>
            </w:r>
          </w:p>
        </w:tc>
        <w:tc>
          <w:tcPr>
            <w:tcW w:w="24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7"/>
        </w:trPr>
        <w:tc>
          <w:tcPr>
            <w:tcW w:w="6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$3,251.3</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$2,967.9</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$283.4</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$2,366.7</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$2,300.8</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$65.9</w:t>
            </w:r>
          </w:p>
        </w:tc>
      </w:tr>
      <w:tr>
        <w:trPr>
          <w:trHeight w:val="27"/>
        </w:trPr>
        <w:tc>
          <w:tcPr>
            <w:tcW w:w="60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$1,179.8</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$1,121.8</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00" w:type="dxa"/>
            <w:vAlign w:val="bottom"/>
          </w:tcPr>
          <w:p>
            <w:pPr>
              <w:jc w:val="right"/>
              <w:ind w:right="170"/>
              <w:spacing w:after="0"/>
              <w:rPr>
                <w:sz w:val="20"/>
                <w:szCs w:val="20"/>
                <w:color w:val="auto"/>
              </w:rPr>
            </w:pPr>
            <w:r>
              <w:rPr>
                <w:rFonts w:ascii="Arial" w:cs="Arial" w:eastAsia="Arial" w:hAnsi="Arial"/>
                <w:sz w:val="18"/>
                <w:szCs w:val="18"/>
                <w:color w:val="auto"/>
              </w:rPr>
              <w:t>$43.1</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$42.6</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0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March 31, 2014, our long-term investment portfolio included the real estate assets of ALLETE Properties, debt and equity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primarily of securities held in other postretirement plans to fund employee benefits, the cash equivalents within these plans, and other assets consisting primarily of land in Minnesota.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43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3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$90.1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8"/>
                <w:szCs w:val="18"/>
                <w:i w:val="1"/>
                <w:iCs w:val="1"/>
                <w:color w:val="auto"/>
              </w:rPr>
              <w:t>(a)</w:t>
            </w:r>
          </w:p>
        </w:tc>
        <w:tc>
          <w:tcPr>
            <w:tcW w:w="4360" w:type="dxa"/>
            <w:vAlign w:val="bottom"/>
          </w:tcPr>
          <w:p>
            <w:pPr>
              <w:jc w:val="right"/>
              <w:ind w:right="210"/>
              <w:spacing w:after="0"/>
              <w:rPr>
                <w:sz w:val="20"/>
                <w:szCs w:val="20"/>
                <w:color w:val="auto"/>
              </w:rPr>
            </w:pPr>
            <w:r>
              <w:rPr>
                <w:rFonts w:ascii="Arial" w:cs="Arial" w:eastAsia="Arial" w:hAnsi="Arial"/>
                <w:sz w:val="18"/>
                <w:szCs w:val="18"/>
                <w:color w:val="auto"/>
              </w:rPr>
              <w:t>19.8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5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(b)</w:t>
            </w:r>
          </w:p>
        </w:tc>
        <w:tc>
          <w:tcPr>
            <w:tcW w:w="4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Other</w:t>
            </w:r>
          </w:p>
        </w:tc>
        <w:tc>
          <w:tcPr>
            <w:tcW w:w="436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$116.4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r>
      <w:tr>
        <w:trPr>
          <w:trHeight w:val="20"/>
        </w:trPr>
        <w:tc>
          <w:tcPr>
            <w:tcW w:w="5560" w:type="dxa"/>
            <w:vAlign w:val="bottom"/>
            <w:shd w:val="clear" w:color="auto" w:fill="000000"/>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As of March 31, 2014, the aggregate amount of available-for-sale corporate debt securities maturing in one year or less was $0.4 million, in one year to less than three years was $4.0 million, in three years to less than five years was $1.3 million, and in five or more years was $4.3 million.</w:t>
      </w: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During the quarter ended March 31, 2014, cash included in Other Investments was transferred to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NOTE 3. INVESTMENTS (Continued)</w:t>
            </w:r>
          </w:p>
        </w:tc>
        <w:tc>
          <w:tcPr>
            <w:tcW w:w="30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76"/>
        </w:trPr>
        <w:tc>
          <w:tcPr>
            <w:tcW w:w="6900" w:type="dxa"/>
            <w:vAlign w:val="bottom"/>
          </w:tcPr>
          <w:p>
            <w:pPr>
              <w:spacing w:after="0"/>
              <w:rPr>
                <w:sz w:val="24"/>
                <w:szCs w:val="24"/>
                <w:color w:val="auto"/>
              </w:rPr>
            </w:pPr>
          </w:p>
        </w:tc>
        <w:tc>
          <w:tcPr>
            <w:tcW w:w="30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3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$85.4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3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3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85.6</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6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302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6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$90.1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0"/>
        </w:trPr>
        <w:tc>
          <w:tcPr>
            <w:tcW w:w="690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impairment on a quarterly basis and no impairments were recorded for the quarter ended March 31, 2014 (none for the year ended December 31, 2013).</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Long-Term Finance Receivables. </w:t>
      </w:r>
      <w:r>
        <w:rPr>
          <w:rFonts w:ascii="Arial" w:cs="Arial" w:eastAsia="Arial" w:hAnsi="Arial"/>
          <w:sz w:val="16"/>
          <w:szCs w:val="16"/>
          <w:color w:val="auto"/>
        </w:rPr>
        <w:t>As of March 31, 2014, long-term finance receivables were $1.4 million net of allowance ($1.4 million net of allowance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Long-term finance receivables are collateralized by property sold, accrue interest at market-based rates and are net of an allowance for doubtful accounts. As of March 31, 2014, we had an allowance for doubtful accounts of $0.6 million ($0.6 million as of December 31, 2013).</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30, 2014, ALLETE Clean Energy acquired wind energy facilities located in Lake Benton, Minnesota (Lake Benton), Storm Lake, Iowa (Storm Lake) and Condon, Oregon (Condon) from The AES Corporation (AES) for $26.9 million, subject to a working capital adjustment. ALLETE Clean Energy also has an option to acquire a fourth wind energy facility from AES in Armenia Mountain, Pennsylvania (Armenia Mountain), in June 2015. The acquisition supports ALLETE’s strategy to pursue energy-centric initiatives through ALLETE Clean Energy that include less carbon intensive and more sustainable energy sources.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Lake Benton, Storm Lake and Condon have 104 MW, 77 MW and 50 MW of generating capability, respectively. Lake Benton and Storm Lake began commercial operations in 1998, while Condon began operations in 2002. All three wind energy facilities have PPAs in place for their entire output, which expire in various years between 2019 and 2032 (see Note 15. Commitments, Guarantees and Contingencies). Pursuant to the acquisition agreement, ALLETE Clean Energy has an option to acquire the 101 MW Armenia Mountain wind energy facility in June 2015. Armenia Mountain began operations in 2009.</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ALLETE Clean Energy acquired a controlling interest in the limited liability company (LLC) which owns Lake Benton and Storm Lake, and a controlling interest in the LLC that owns Condon. The acquisition was accounted for as a business combination and the purchase price was allocated based on the preliminary estimated fair values of the assets acquired and the liabilities assumed at the date of acquisition, as shown in the table below. The allocation of the purchase price is subject to judgment and the preliminary estimated fair value of the assets acquired and the liabilities assumed may be adjusted when the valuation analysis is completed in subsequent periods. Preliminary estimates subject to adjustment in subsequent periods relate primarily to property, plant and equipment, PPAs and non-controlling interest; subsequent adjustments could impact the amount of goodwill recorded or result in a bargain purchase. Fair value measurements were valued primarily using the discounted cash flow method.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161.2</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$185.5</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(b)</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Due Within One Year</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10.1</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18"/>
                <w:szCs w:val="18"/>
                <w:i w:val="1"/>
                <w:iCs w:val="1"/>
                <w:color w:val="auto"/>
              </w:rPr>
              <w:t>(c)</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and Non-Controlling Interest Assumed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158.6</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
        </w:trPr>
        <w:tc>
          <w:tcPr>
            <w:tcW w:w="766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the fair value estimate of $0.3 million for the option to purchase Armenia Mountain in 2015, and preliminary goodwill of $1.9 million; for tax purposes, the purchase price allocation resulted in no allocation to goodwill.</w:t>
      </w:r>
    </w:p>
    <w:p>
      <w:pPr>
        <w:ind w:left="340" w:hanging="332"/>
        <w:spacing w:after="0"/>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Other Current Liabilities included $12.4 million related to the current liabilities portion of the Power Purchase Agreements.</w:t>
      </w:r>
    </w:p>
    <w:p>
      <w:pPr>
        <w:spacing w:after="0" w:line="5"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The preliminary purchase price accounting valued the non-controlling interest of Lake Benton, Storm Lake and Condon at fair value primarily on the discounted cash flow method. The non-controlling interest related to Lake Benton and Storm lake was subsequently purchased by ALLETE Clean Energy.</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incurred $1.4 million after-tax of acquisition-related costs during the quarter ended March 31, 2014, which were expensed when incurred and were recorded in Other Expenses on the Consolidated Statement of Income. The results of operations of this business from its acquisition date are included in the Investments and Other segment. The pro forma impact of this acquisition was not significant to the results of the Company for the three months ended March 31, 2014 or March 31, 2013.</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11, 2014, ALLETE Clean Energy purchased the non-controlling interest related to Lake Benton and Storm Lake for $6.0 million. This was accounted for as an equity transaction, and no gain or loss was recognized in net income or other comprehensive income.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two variable-to-fixed interest rate swaps (Swaps), designated as cash flow hedges, in order to manage the interest rate risk associated with a $75.0 million Term Loan which represents approximately 6 percent of the Company’s outstanding long-term debt as of March 31, 2014. (See Note 9. Short-Term and Long-Term Debt.) The Swaps have effective dates of August 25, 2011, and August 26, 2014, and mature on August 25, 2014 and 2015, respectively. The Swaps involve the receipt of the one-month LIBOR in exchange for fixed interest payments over the life of the agreements at 0.825 percent and 0.75 percent without an exchange of the underlying notional amount. Cash flows from the Swaps are expected to be highly effective. If it is determined the Swaps cease to be effective, we will prospectively discontinue hedge accounting. When applicable, we use the shortcut method to assess hedge effectiveness. If the shortcut method is not applicable, we assess effectiveness using the “change-in-variable-cash-flows” method. Our assessments of hedge effectiveness resulted in no ineffectiveness recorded for the quarter ended March 31, 2014. As of March 31, 2014, the fair value of the Swaps was a $0.5 million liability ($0.6 million liability as of December 31, 2013) of which $0.3 million ($0.3 million as of December 31, 2013) was included in Other Non-Current Liabilities and $0.2 million ($0.3 million as of December 31, 2013) was included in Other Current Liabilities on the Consolidated Balance Sheet. Changes in the fair value of the Swaps were recorded in accumulated other comprehensive income on the Consolidated Balance Sheet. Cash flows from the Swaps are presented in the same category as the hedged item on the Consolidated Statement of Cash Flows. Amounts recorded in Other Comprehensive Income (Loss) related to the Swaps will be recorded in earnings when the hedged transactions occur or when it is probable they will not occur. Gains or losses on the interest rate hedging transactions are reflected as a component of interest expense on the Consolidated Statement of Income.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10. Fair Value to the consolidated financial statements in our 2013 Form 10-K.</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tables set forth by level within the fair value hierarchy our assets and liabilities that were accounted for at fair value on a recurring basis as of March 31, 2014, and December 31, 2013. Each asset and liability is classified based on the lowest level of input that is significant to the fair value measurement. Our assessment of the significance of a particular input to the fair value measurement requires judgment and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tables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Fair Value as of March 31, 2014</w:t>
            </w:r>
          </w:p>
        </w:tc>
        <w:tc>
          <w:tcPr>
            <w:tcW w:w="840" w:type="dxa"/>
            <w:vAlign w:val="bottom"/>
          </w:tcPr>
          <w:p>
            <w:pPr>
              <w:spacing w:after="0"/>
              <w:rPr>
                <w:sz w:val="20"/>
                <w:szCs w:val="20"/>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52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1</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26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5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$10.0</w:t>
            </w:r>
          </w:p>
        </w:tc>
        <w:tc>
          <w:tcPr>
            <w:tcW w:w="12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10.0</w:t>
            </w:r>
          </w:p>
        </w:tc>
      </w:tr>
      <w:tr>
        <w:trPr>
          <w:trHeight w:val="27"/>
        </w:trPr>
        <w:tc>
          <w:tcPr>
            <w:tcW w:w="5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37"/>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2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w:t>
            </w:r>
          </w:p>
        </w:tc>
      </w:tr>
      <w:tr>
        <w:trPr>
          <w:trHeight w:val="27"/>
        </w:trPr>
        <w:tc>
          <w:tcPr>
            <w:tcW w:w="54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7"/>
        </w:trPr>
        <w:tc>
          <w:tcPr>
            <w:tcW w:w="542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5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$18.7</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12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54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$19.2</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r>
      <w:tr>
        <w:trPr>
          <w:trHeight w:val="237"/>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$(9.2)</w:t>
            </w:r>
          </w:p>
        </w:tc>
        <w:tc>
          <w:tcPr>
            <w:tcW w:w="12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and Other Non-Current Liabilities on the Consolidated Balance Sheet.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36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Arial" w:cs="Arial" w:eastAsia="Arial" w:hAnsi="Arial"/>
                <w:sz w:val="18"/>
                <w:szCs w:val="18"/>
                <w:b w:val="1"/>
                <w:bCs w:val="1"/>
                <w:color w:val="auto"/>
              </w:rPr>
              <w:t>NOTE 6. FAIR VALUE (Continued)</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94"/>
        </w:trPr>
        <w:tc>
          <w:tcPr>
            <w:tcW w:w="5420" w:type="dxa"/>
            <w:vAlign w:val="bottom"/>
          </w:tcPr>
          <w:p>
            <w:pPr>
              <w:spacing w:after="0"/>
              <w:rPr>
                <w:sz w:val="24"/>
                <w:szCs w:val="24"/>
                <w:color w:val="auto"/>
              </w:rPr>
            </w:pPr>
          </w:p>
        </w:tc>
        <w:tc>
          <w:tcPr>
            <w:tcW w:w="5200" w:type="dxa"/>
            <w:vAlign w:val="bottom"/>
            <w:gridSpan w:val="3"/>
          </w:tcPr>
          <w:p>
            <w:pPr>
              <w:ind w:left="2420"/>
              <w:spacing w:after="0"/>
              <w:rPr>
                <w:sz w:val="20"/>
                <w:szCs w:val="20"/>
                <w:color w:val="auto"/>
              </w:rPr>
            </w:pPr>
            <w:r>
              <w:rPr>
                <w:rFonts w:ascii="Arial" w:cs="Arial" w:eastAsia="Arial" w:hAnsi="Arial"/>
                <w:sz w:val="18"/>
                <w:szCs w:val="18"/>
                <w:b w:val="1"/>
                <w:bCs w:val="1"/>
                <w:color w:val="auto"/>
                <w:w w:val="91"/>
              </w:rPr>
              <w:t>Fair Value as of December 31, 2013</w:t>
            </w:r>
          </w:p>
        </w:tc>
        <w:tc>
          <w:tcPr>
            <w:tcW w:w="780" w:type="dxa"/>
            <w:vAlign w:val="bottom"/>
          </w:tcPr>
          <w:p>
            <w:pPr>
              <w:spacing w:after="0"/>
              <w:rPr>
                <w:sz w:val="24"/>
                <w:szCs w:val="24"/>
                <w:color w:val="auto"/>
              </w:rPr>
            </w:pPr>
          </w:p>
        </w:tc>
      </w:tr>
      <w:tr>
        <w:trPr>
          <w:trHeight w:val="270"/>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r>
        <w:trPr>
          <w:trHeight w:val="243"/>
        </w:trPr>
        <w:tc>
          <w:tcPr>
            <w:tcW w:w="542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$9.8</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9.8</w:t>
            </w: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34.2</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r>
      <w:tr>
        <w:trPr>
          <w:trHeight w:val="237"/>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$42.1</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$9.8</w:t>
            </w:r>
          </w:p>
        </w:tc>
        <w:tc>
          <w:tcPr>
            <w:tcW w:w="13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r>
      <w:tr>
        <w:trPr>
          <w:trHeight w:val="27"/>
        </w:trPr>
        <w:tc>
          <w:tcPr>
            <w:tcW w:w="54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42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$16.8</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7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0.6</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54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$17.4</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r>
      <w:tr>
        <w:trPr>
          <w:trHeight w:val="237"/>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$42.1</w:t>
            </w: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$(7.6)</w:t>
            </w:r>
          </w:p>
        </w:tc>
        <w:tc>
          <w:tcPr>
            <w:tcW w:w="13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and Other Non-Current Liabilities on the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in Level 3 during the quarters ended March 31, 2014 and 2013.</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policy is to recognize transfers in and transfers out of a given level as of the actual date of the event or of the change in circumstances that caused the transfer. For the quarters ended March 31, 2014 and 2013, there were no transfers in or out of Levels 1, 2 or 3.</w:t>
      </w:r>
    </w:p>
    <w:p>
      <w:pPr>
        <w:spacing w:after="0" w:line="166"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March 31, 2014</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$1,213.6</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$1,282.9</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2013</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$1,110.2</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$1,131.7</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REGULATORY MATTERS (Continued)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FERC-Approved Wholesale Rates. </w:t>
      </w:r>
      <w:r>
        <w:rPr>
          <w:rFonts w:ascii="Arial" w:cs="Arial" w:eastAsia="Arial" w:hAnsi="Arial"/>
          <w:sz w:val="17"/>
          <w:szCs w:val="17"/>
          <w:color w:val="auto"/>
        </w:rPr>
        <w:t>Minnesota Power’s non-affiliated municipal customers consist of 16 municipalities in Minnesota. SWL&amp;P, a wholly-owned subsidiary of ALLETE, is a private utility in Wisconsin and also a customer of Minnesota Power. In April 2014, Minnesota Power amended its formula-based wholesale electric sales contract with the Nashwauk Public Utilities Commission, extending the term through June 30, 2026. The electric service agreements with the remaining 15 Minnesota municipal customers and SWL&amp;P are effective through June 30, 2019. The rates included in these agreements are set each July 1 based on a cost-based formula methodology,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Nashwauk Public Utilities Commission agreement, no termination notice may be given prior to July 1, 2023. Under the agreements with the remaining 15 municipal customer and SWL&amp;P, no termination notices may be given prior to June 30, 2016.</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Cost Recovery Rider. </w:t>
      </w:r>
      <w:r>
        <w:rPr>
          <w:rFonts w:ascii="Arial" w:cs="Arial" w:eastAsia="Arial" w:hAnsi="Arial"/>
          <w:sz w:val="18"/>
          <w:szCs w:val="18"/>
          <w:color w:val="auto"/>
        </w:rPr>
        <w:t>Minnesota Power has an approved cost recovery rider in place for certain transmission investments and expenditures.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12, 2013, the MPUC approved Minnesota Power’s updated billing factor which allows Minnesota Power to charge retail customers on a current basis for the costs of constructing certain transmission facilities plus a return on the capital invested. We filed a petition on April 24, 2014, to include additional transmission investments and expenditures in customer billing rates.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Renewable Cost Recovery Rider. </w:t>
      </w:r>
      <w:r>
        <w:rPr>
          <w:rFonts w:ascii="Arial" w:cs="Arial" w:eastAsia="Arial" w:hAnsi="Arial"/>
          <w:sz w:val="17"/>
          <w:szCs w:val="17"/>
          <w:color w:val="auto"/>
        </w:rPr>
        <w:t>The Bison Wind Energy Center in North Dakota currently consists of 292 MW of nameplate capacity and was completed in</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phases through 2012. Customer billing rates for our Bison Wind Energy Center were approved by the MPUC in an order dated December 3, 2013. On September 25, 2013, the NDPSC approved the site permit for construction of Bison 4, a 205 MW wind project in North Dakota, which is an addition to our Bison Wind Energy Center. As a result, construction has commenced and is expected to be completed by the end of 2014. The total project investment for Bison 4 is estimated to be approximately $345 million, of which $187.1 million was spent through March 31, 2014. On January 17, 2014, the MPUC approved Minnesota Power’s petition seeking cost recovery for investments and expenditures related to Bison 4. We included Bison 4 as part of our renewable resources rider factor filing along with the Company’s other renewable projects in a filing on April 29, 2014, which, upon approval, will authorize updated rates to be included on customer bills.</w:t>
      </w:r>
    </w:p>
    <w:p>
      <w:pPr>
        <w:spacing w:after="0" w:line="17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In August 2011, the Company filed with the MPUC for approval of certain affiliated interest agreements between ALLETE and</w:t>
      </w:r>
      <w:r>
        <w:rPr>
          <w:rFonts w:ascii="Arial" w:cs="Arial" w:eastAsia="Arial" w:hAnsi="Arial"/>
          <w:sz w:val="16"/>
          <w:szCs w:val="16"/>
          <w:b w:val="1"/>
          <w:bCs w:val="1"/>
          <w:color w:val="auto"/>
        </w:rPr>
        <w:t xml:space="preserve"> </w:t>
      </w:r>
      <w:r>
        <w:rPr>
          <w:rFonts w:ascii="Arial" w:cs="Arial" w:eastAsia="Arial" w:hAnsi="Arial"/>
          <w:sz w:val="16"/>
          <w:szCs w:val="16"/>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 In July 2012, the MPUC issued an order approving certain administrative items related to accounting for shared services and the transfer of meteorological towers, while deferring decisions related to transmission and wind development rights pending the MPUC’s further review of Minnesota Power’s future retail electric service needs.</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Integrated Resource Plan</w:t>
      </w:r>
      <w:r>
        <w:rPr>
          <w:rFonts w:ascii="Arial" w:cs="Arial" w:eastAsia="Arial" w:hAnsi="Arial"/>
          <w:sz w:val="18"/>
          <w:szCs w:val="18"/>
          <w:color w:val="auto"/>
        </w:rPr>
        <w:t>. In an order dated November 12, 2013, the MPUC approved Minnesota Power’s 2013 Integrated Resource Plan which details our</w:t>
      </w:r>
      <w:r>
        <w:rPr>
          <w:rFonts w:ascii="Arial" w:cs="Arial" w:eastAsia="Arial" w:hAnsi="Arial"/>
          <w:sz w:val="18"/>
          <w:szCs w:val="18"/>
          <w:b w:val="1"/>
          <w:bCs w:val="1"/>
          <w:color w:val="auto"/>
        </w:rPr>
        <w:t xml:space="preserve"> </w:t>
      </w:r>
      <w:r>
        <w:rPr>
          <w:rFonts w:ascii="Arial" w:cs="Arial" w:eastAsia="Arial" w:hAnsi="Arial"/>
          <w:sz w:val="18"/>
          <w:szCs w:val="18"/>
          <w:color w:val="auto"/>
        </w:rPr>
        <w:t>“EnergyForward” strategic plan and includes an analysis of a variety of existing and future energy resource alternatives and a projection of customer cost impact by class. Significant elements of the “EnergyForward” plan include major wind investments in North Dakota, installation of emissions control technology at Boswell Unit 4, planning for the proposed GNTL, conversion of Laskin from coal to cleaner-burning natural gas in 2015 and retiring Taconite Harbor Unit 3 in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7. REGULATORY MATTERS (Continued)</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Boswell Mercury Emissions Reduction Plan. </w:t>
      </w:r>
      <w:r>
        <w:rPr>
          <w:rFonts w:ascii="Arial" w:cs="Arial" w:eastAsia="Arial" w:hAnsi="Arial"/>
          <w:sz w:val="18"/>
          <w:szCs w:val="18"/>
          <w:color w:val="auto"/>
        </w:rPr>
        <w:t>Minnesota Power is implementing a mercury emissions reduction project for Boswell Unit 4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approximately $310 million. On November 5, 2013, the MPUC issued an order approving the Boswell Unit 4 mercury emissions reduction plan and cost recovery, establishing an environmental improvement rider. On November 25, 2013, environmental intervenors filed a petition for reconsideration with the MPUC which was subsequently denied in an order dated January 17, 2014. On December 20, 2013, Minnesota Power filed a petition with the MPUC to establish customer billing rates for the approved environmental improvement rider based on actual and estimated investments and expenditures, which is expected to be approved in mid-2014.</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Great Northern Transmission Line (GNTL)</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Minnesota Power and Manitoba Hydro have proposed construction of the GNTL, an approximately 220-mile</w:t>
      </w:r>
      <w:r>
        <w:rPr>
          <w:rFonts w:ascii="Arial" w:cs="Arial" w:eastAsia="Arial" w:hAnsi="Arial"/>
          <w:sz w:val="17"/>
          <w:szCs w:val="17"/>
          <w:b w:val="1"/>
          <w:bCs w:val="1"/>
          <w:color w:val="auto"/>
        </w:rPr>
        <w:t xml:space="preserve"> </w:t>
      </w:r>
      <w:r>
        <w:rPr>
          <w:rFonts w:ascii="Arial" w:cs="Arial" w:eastAsia="Arial" w:hAnsi="Arial"/>
          <w:sz w:val="17"/>
          <w:szCs w:val="17"/>
          <w:color w:val="auto"/>
        </w:rPr>
        <w:t>500 kV transmission line between Manitoba and Minnesota’s Iron Range. The GNTL is subject to various federal and state regulatory approvals. On October 21, 2013, a Certificate of Need application was filed with the MPUC with respect to the GNTL. In an order dated January 8, 2014, the MPUC determined that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 (See Note 15. Commitments, Guarantees and Contingencies.)</w:t>
      </w:r>
    </w:p>
    <w:p>
      <w:pPr>
        <w:spacing w:after="0" w:line="17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Regulatory Assets and Liabilities. </w:t>
      </w:r>
      <w:r>
        <w:rPr>
          <w:rFonts w:ascii="Arial" w:cs="Arial" w:eastAsia="Arial" w:hAnsi="Arial"/>
          <w:sz w:val="16"/>
          <w:szCs w:val="16"/>
          <w:color w:val="auto"/>
        </w:rPr>
        <w:t>Our regulated utility operations are subject to the accounting guidance for Regulated Operations. We capitalize incurred</w:t>
      </w:r>
      <w:r>
        <w:rPr>
          <w:rFonts w:ascii="Arial" w:cs="Arial" w:eastAsia="Arial" w:hAnsi="Arial"/>
          <w:sz w:val="16"/>
          <w:szCs w:val="16"/>
          <w:b w:val="1"/>
          <w:bCs w:val="1"/>
          <w:color w:val="auto"/>
        </w:rPr>
        <w:t xml:space="preserve"> </w:t>
      </w:r>
      <w:r>
        <w:rPr>
          <w:rFonts w:ascii="Arial" w:cs="Arial" w:eastAsia="Arial" w:hAnsi="Arial"/>
          <w:sz w:val="16"/>
          <w:szCs w:val="16"/>
          <w:color w:val="auto"/>
        </w:rPr>
        <w:t>costs which are probable of recovery in future utility rates as regulatory assets. Regulatory liabilities represent amounts expected to be refunded or credited to customers in rates. No regulatory assets or liabilities are currently earning a return. The recovery, refund or credit to rates for these regulatory assets and liabilities will occur over the periods either specified by the applicable commission or over the corresponding period related to the asset or liability.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36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NOTE 7. REGULATORY MATTERS (Continued)</w:t>
            </w:r>
          </w:p>
        </w:tc>
        <w:tc>
          <w:tcPr>
            <w:tcW w:w="29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6"/>
        </w:trPr>
        <w:tc>
          <w:tcPr>
            <w:tcW w:w="6920" w:type="dxa"/>
            <w:vAlign w:val="bottom"/>
          </w:tcPr>
          <w:p>
            <w:pPr>
              <w:spacing w:after="0"/>
              <w:rPr>
                <w:sz w:val="24"/>
                <w:szCs w:val="24"/>
                <w:color w:val="auto"/>
              </w:rPr>
            </w:pPr>
          </w:p>
        </w:tc>
        <w:tc>
          <w:tcPr>
            <w:tcW w:w="29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6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2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29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37"/>
        </w:trPr>
        <w:tc>
          <w:tcPr>
            <w:tcW w:w="69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Assets</w:t>
            </w:r>
          </w:p>
        </w:tc>
        <w:tc>
          <w:tcPr>
            <w:tcW w:w="29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22.1</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w:t>
            </w:r>
          </w:p>
        </w:tc>
      </w:tr>
      <w:tr>
        <w:trPr>
          <w:trHeight w:val="27"/>
        </w:trPr>
        <w:tc>
          <w:tcPr>
            <w:tcW w:w="6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164.7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164.1</w:t>
            </w: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36.2</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16.7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(c)</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40.3</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37"/>
        </w:trPr>
        <w:tc>
          <w:tcPr>
            <w:tcW w:w="69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Assets</w:t>
            </w:r>
          </w:p>
        </w:tc>
        <w:tc>
          <w:tcPr>
            <w:tcW w:w="29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267.0</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263.8</w:t>
            </w:r>
          </w:p>
        </w:tc>
      </w:tr>
      <w:tr>
        <w:trPr>
          <w:trHeight w:val="27"/>
        </w:trPr>
        <w:tc>
          <w:tcPr>
            <w:tcW w:w="6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$289.1</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$286.8</w:t>
            </w:r>
          </w:p>
        </w:tc>
      </w:tr>
      <w:tr>
        <w:trPr>
          <w:trHeight w:val="264"/>
        </w:trPr>
        <w:tc>
          <w:tcPr>
            <w:tcW w:w="6920" w:type="dxa"/>
            <w:vAlign w:val="bottom"/>
            <w:tcBorders>
              <w:top w:val="single" w:sz="8" w:color="auto"/>
            </w:tcBorders>
          </w:tcPr>
          <w:p>
            <w:pPr>
              <w:spacing w:after="0"/>
              <w:rPr>
                <w:sz w:val="22"/>
                <w:szCs w:val="22"/>
                <w:color w:val="auto"/>
              </w:rPr>
            </w:pPr>
          </w:p>
        </w:tc>
        <w:tc>
          <w:tcPr>
            <w:tcW w:w="294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$17.1</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20.4</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Wholesale and Retail Contra AFUDC</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23.7</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Other</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12.8</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6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$89.9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0"/>
        </w:trPr>
        <w:tc>
          <w:tcPr>
            <w:tcW w:w="692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are recognized as regulatory assets or regulatory liabilities on the Consolidated Balance Sheet (See Note 14. Pension and Other Postretirement Benefit Plans).</w:t>
      </w:r>
    </w:p>
    <w:p>
      <w:pPr>
        <w:spacing w:after="0" w:line="1"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 is primarily due to capital expenditures related to our Bison Wind Energy Center and is recognized in accordance with the accounting standards for alternative revenue programs.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ATC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March 31, 2014, our equity investment in ATC was $116.6 million ($114.6 million at December 31, 2013). In the first three months of 2014, we invested $1.2 million in ATC, and on April 29, 2014, we invested an additional $1.2 million. We expect to make additional investments of approximately $3.4 million in 2014.</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2013</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March 31, 2014</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36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r>
              <w:rPr>
                <w:rFonts w:ascii="Arial" w:cs="Arial" w:eastAsia="Arial" w:hAnsi="Arial"/>
                <w:sz w:val="18"/>
                <w:szCs w:val="18"/>
                <w:b w:val="1"/>
                <w:bCs w:val="1"/>
                <w:color w:val="auto"/>
              </w:rPr>
              <w:t>NOTE 8. INVESTMENT IN ATC (Continued)</w:t>
            </w:r>
          </w:p>
        </w:tc>
        <w:tc>
          <w:tcPr>
            <w:tcW w:w="2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ATC’s summarized financial data for the quarters ended March 31, 2014 and 2013, is as follows:</w:t>
            </w:r>
          </w:p>
        </w:tc>
        <w:tc>
          <w:tcPr>
            <w:tcW w:w="2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8200" w:type="dxa"/>
            <w:vAlign w:val="bottom"/>
          </w:tcPr>
          <w:p>
            <w:pPr>
              <w:spacing w:after="0"/>
              <w:rPr>
                <w:sz w:val="24"/>
                <w:szCs w:val="24"/>
                <w:color w:val="auto"/>
              </w:rPr>
            </w:pPr>
          </w:p>
        </w:tc>
        <w:tc>
          <w:tcPr>
            <w:tcW w:w="32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4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2014</w:t>
            </w: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8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8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$163.3</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460" w:type="dxa"/>
            <w:vAlign w:val="bottom"/>
          </w:tcPr>
          <w:p>
            <w:pPr>
              <w:jc w:val="right"/>
              <w:ind w:right="510"/>
              <w:spacing w:after="0"/>
              <w:rPr>
                <w:sz w:val="20"/>
                <w:szCs w:val="20"/>
                <w:color w:val="auto"/>
              </w:rPr>
            </w:pPr>
            <w:r>
              <w:rPr>
                <w:rFonts w:ascii="Arial" w:cs="Arial" w:eastAsia="Arial" w:hAnsi="Arial"/>
                <w:sz w:val="18"/>
                <w:szCs w:val="18"/>
                <w:color w:val="auto"/>
              </w:rPr>
              <w:t>78.6</w:t>
            </w:r>
          </w:p>
        </w:tc>
        <w:tc>
          <w:tcPr>
            <w:tcW w:w="76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8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4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21.6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7"/>
        </w:trPr>
        <w:tc>
          <w:tcPr>
            <w:tcW w:w="8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4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$63.1</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w:t>
            </w:r>
          </w:p>
        </w:tc>
      </w:tr>
      <w:tr>
        <w:trPr>
          <w:trHeight w:val="27"/>
        </w:trPr>
        <w:tc>
          <w:tcPr>
            <w:tcW w:w="8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246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820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SHORT-TERM AND LONG-TERM DEBT</w:t>
      </w:r>
    </w:p>
    <w:p>
      <w:pPr>
        <w:spacing w:after="0" w:line="225"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Short-Term Debt. </w:t>
      </w:r>
      <w:r>
        <w:rPr>
          <w:rFonts w:ascii="Arial" w:cs="Arial" w:eastAsia="Arial" w:hAnsi="Arial"/>
          <w:sz w:val="17"/>
          <w:szCs w:val="17"/>
          <w:color w:val="auto"/>
        </w:rPr>
        <w:t>As of March 31, 2014, total short-term debt outstanding was $11.1 million ($27.2 million as of December 31, 2013) and consisted of long-term debt due within one year. Short-term debt as of December 31, 2013, included $18.0 million of long-term debt that matured in January 2014.</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As of March 31, 2014, total long-term debt outstanding was $1,202.5 million ($1,083.0 million as of December 31, 2013). In conjunction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ALLETE Clean Energy’s January 30, 2014 wind energy facilities acquisition, ALLETE Clean Energy assumed $23.3 million of long-term debt, including $2.2 million due within one year (see Note 4. Acquisitions).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2013, we agreed to sell $215.0 million in 2014 of ALLETE first mortgage bonds (Bonds) in the private placement market in four series as described in the following table. On March 4, 2014, we issued $100.0 million of the Bonds. We expect to issue the remaining two series on, or about, June 26, 2014,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210185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Issue Date (on or about)</w:t>
            </w:r>
          </w:p>
        </w:tc>
        <w:tc>
          <w:tcPr>
            <w:tcW w:w="27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Maturity Date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Amount</w:t>
            </w:r>
          </w:p>
        </w:tc>
        <w:tc>
          <w:tcPr>
            <w:tcW w:w="260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30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March 4, 2014</w:t>
            </w:r>
          </w:p>
        </w:tc>
        <w:tc>
          <w:tcPr>
            <w:tcW w:w="27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March 15, 2024</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$60 Million</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3.69%</w:t>
            </w:r>
          </w:p>
        </w:tc>
      </w:tr>
      <w:tr>
        <w:trPr>
          <w:trHeight w:val="243"/>
        </w:trPr>
        <w:tc>
          <w:tcPr>
            <w:tcW w:w="3060" w:type="dxa"/>
            <w:vAlign w:val="bottom"/>
          </w:tcPr>
          <w:p>
            <w:pPr>
              <w:jc w:val="center"/>
              <w:ind w:right="110"/>
              <w:spacing w:after="0"/>
              <w:rPr>
                <w:sz w:val="20"/>
                <w:szCs w:val="20"/>
                <w:color w:val="auto"/>
              </w:rPr>
            </w:pPr>
            <w:r>
              <w:rPr>
                <w:rFonts w:ascii="Arial" w:cs="Arial" w:eastAsia="Arial" w:hAnsi="Arial"/>
                <w:sz w:val="18"/>
                <w:szCs w:val="18"/>
                <w:color w:val="auto"/>
                <w:w w:val="92"/>
              </w:rPr>
              <w:t>March 4, 2014</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1"/>
              </w:rPr>
              <w:t>March 15, 2044</w:t>
            </w:r>
          </w:p>
        </w:tc>
        <w:tc>
          <w:tcPr>
            <w:tcW w:w="3020" w:type="dxa"/>
            <w:vAlign w:val="bottom"/>
          </w:tcPr>
          <w:p>
            <w:pPr>
              <w:jc w:val="center"/>
              <w:spacing w:after="0"/>
              <w:rPr>
                <w:sz w:val="20"/>
                <w:szCs w:val="20"/>
                <w:color w:val="auto"/>
              </w:rPr>
            </w:pPr>
            <w:r>
              <w:rPr>
                <w:rFonts w:ascii="Arial" w:cs="Arial" w:eastAsia="Arial" w:hAnsi="Arial"/>
                <w:sz w:val="18"/>
                <w:szCs w:val="18"/>
                <w:color w:val="auto"/>
                <w:w w:val="97"/>
              </w:rPr>
              <w:t>$40 Million</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4.95%</w:t>
            </w:r>
          </w:p>
        </w:tc>
      </w:tr>
      <w:tr>
        <w:trPr>
          <w:trHeight w:val="27"/>
        </w:trPr>
        <w:tc>
          <w:tcPr>
            <w:tcW w:w="30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87"/>
              </w:rPr>
              <w:t>June 26, 2014</w:t>
            </w:r>
          </w:p>
        </w:tc>
        <w:tc>
          <w:tcPr>
            <w:tcW w:w="27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July 15, 2022</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$75 Million</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3.40%</w:t>
            </w:r>
          </w:p>
        </w:tc>
      </w:tr>
      <w:tr>
        <w:trPr>
          <w:trHeight w:val="243"/>
        </w:trPr>
        <w:tc>
          <w:tcPr>
            <w:tcW w:w="3060" w:type="dxa"/>
            <w:vAlign w:val="bottom"/>
          </w:tcPr>
          <w:p>
            <w:pPr>
              <w:jc w:val="center"/>
              <w:ind w:right="130"/>
              <w:spacing w:after="0"/>
              <w:rPr>
                <w:sz w:val="20"/>
                <w:szCs w:val="20"/>
                <w:color w:val="auto"/>
              </w:rPr>
            </w:pPr>
            <w:r>
              <w:rPr>
                <w:rFonts w:ascii="Arial" w:cs="Arial" w:eastAsia="Arial" w:hAnsi="Arial"/>
                <w:sz w:val="18"/>
                <w:szCs w:val="18"/>
                <w:color w:val="auto"/>
                <w:w w:val="87"/>
              </w:rPr>
              <w:t>June 26, 2014</w:t>
            </w:r>
          </w:p>
        </w:tc>
        <w:tc>
          <w:tcPr>
            <w:tcW w:w="2700" w:type="dxa"/>
            <w:vAlign w:val="bottom"/>
          </w:tcPr>
          <w:p>
            <w:pPr>
              <w:jc w:val="center"/>
              <w:ind w:right="70"/>
              <w:spacing w:after="0"/>
              <w:rPr>
                <w:sz w:val="20"/>
                <w:szCs w:val="20"/>
                <w:color w:val="auto"/>
              </w:rPr>
            </w:pPr>
            <w:r>
              <w:rPr>
                <w:rFonts w:ascii="Arial" w:cs="Arial" w:eastAsia="Arial" w:hAnsi="Arial"/>
                <w:sz w:val="18"/>
                <w:szCs w:val="18"/>
                <w:color w:val="auto"/>
                <w:w w:val="91"/>
              </w:rPr>
              <w:t>July 15, 2044</w:t>
            </w:r>
          </w:p>
        </w:tc>
        <w:tc>
          <w:tcPr>
            <w:tcW w:w="3020" w:type="dxa"/>
            <w:vAlign w:val="bottom"/>
          </w:tcPr>
          <w:p>
            <w:pPr>
              <w:jc w:val="center"/>
              <w:spacing w:after="0"/>
              <w:rPr>
                <w:sz w:val="20"/>
                <w:szCs w:val="20"/>
                <w:color w:val="auto"/>
              </w:rPr>
            </w:pPr>
            <w:r>
              <w:rPr>
                <w:rFonts w:ascii="Arial" w:cs="Arial" w:eastAsia="Arial" w:hAnsi="Arial"/>
                <w:sz w:val="18"/>
                <w:szCs w:val="18"/>
                <w:color w:val="auto"/>
                <w:w w:val="97"/>
              </w:rPr>
              <w:t>$40 Million</w:t>
            </w:r>
          </w:p>
        </w:tc>
        <w:tc>
          <w:tcPr>
            <w:tcW w:w="2600" w:type="dxa"/>
            <w:vAlign w:val="bottom"/>
          </w:tcPr>
          <w:p>
            <w:pPr>
              <w:jc w:val="center"/>
              <w:spacing w:after="0"/>
              <w:rPr>
                <w:sz w:val="20"/>
                <w:szCs w:val="20"/>
                <w:color w:val="auto"/>
              </w:rPr>
            </w:pPr>
            <w:r>
              <w:rPr>
                <w:rFonts w:ascii="Arial" w:cs="Arial" w:eastAsia="Arial" w:hAnsi="Arial"/>
                <w:sz w:val="18"/>
                <w:szCs w:val="18"/>
                <w:color w:val="auto"/>
                <w:w w:val="90"/>
              </w:rPr>
              <w:t>5.05%</w:t>
            </w:r>
          </w:p>
        </w:tc>
      </w:tr>
      <w:tr>
        <w:trPr>
          <w:trHeight w:val="27"/>
        </w:trPr>
        <w:tc>
          <w:tcPr>
            <w:tcW w:w="30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the option to prepay all or a portion of the Bonds at its discretion, subject to a make-whole provision. The Bonds are subject to additional terms and conditions which are customary for these types of transactions. The Company intends to use the proceeds from the sale of the Bonds to refinance debt, fund utility capital expenditures or for general corporate purposes. The Bonds were and will be sold in reliance on an exemption from registration under Section 4(a)(2) of the Securities Act of 1933, as amended, to institutional accredited investors.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2014, our ratio was approximately 0.46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March 31, 2014, ALLETE was in compliance with its financial covenants.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20"/>
          </w:cols>
          <w:pgMar w:left="240" w:top="36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NOTE 10. OTHER INCOME (EXPENSE)</w:t>
            </w:r>
          </w:p>
        </w:tc>
        <w:tc>
          <w:tcPr>
            <w:tcW w:w="4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94"/>
        </w:trPr>
        <w:tc>
          <w:tcPr>
            <w:tcW w:w="6460" w:type="dxa"/>
            <w:vAlign w:val="bottom"/>
          </w:tcPr>
          <w:p>
            <w:pPr>
              <w:spacing w:after="0"/>
              <w:rPr>
                <w:sz w:val="24"/>
                <w:szCs w:val="24"/>
                <w:color w:val="auto"/>
              </w:rPr>
            </w:pPr>
          </w:p>
        </w:tc>
        <w:tc>
          <w:tcPr>
            <w:tcW w:w="4960" w:type="dxa"/>
            <w:vAlign w:val="bottom"/>
            <w:gridSpan w:val="2"/>
          </w:tcPr>
          <w:p>
            <w:pPr>
              <w:jc w:val="center"/>
              <w:ind w:left="2750"/>
              <w:spacing w:after="0"/>
              <w:rPr>
                <w:sz w:val="20"/>
                <w:szCs w:val="20"/>
                <w:color w:val="auto"/>
              </w:rPr>
            </w:pPr>
            <w:r>
              <w:rPr>
                <w:rFonts w:ascii="Arial" w:cs="Arial" w:eastAsia="Arial" w:hAnsi="Arial"/>
                <w:sz w:val="18"/>
                <w:szCs w:val="18"/>
                <w:b w:val="1"/>
                <w:bCs w:val="1"/>
                <w:color w:val="auto"/>
                <w:w w:val="92"/>
              </w:rPr>
              <w:t>Quarter Ended</w:t>
            </w:r>
          </w:p>
        </w:tc>
      </w:tr>
      <w:tr>
        <w:trPr>
          <w:trHeight w:val="270"/>
        </w:trPr>
        <w:tc>
          <w:tcPr>
            <w:tcW w:w="6460" w:type="dxa"/>
            <w:vAlign w:val="bottom"/>
          </w:tcPr>
          <w:p>
            <w:pPr>
              <w:spacing w:after="0"/>
              <w:rPr>
                <w:sz w:val="23"/>
                <w:szCs w:val="23"/>
                <w:color w:val="auto"/>
              </w:rPr>
            </w:pPr>
          </w:p>
        </w:tc>
        <w:tc>
          <w:tcPr>
            <w:tcW w:w="4960" w:type="dxa"/>
            <w:vAlign w:val="bottom"/>
            <w:gridSpan w:val="2"/>
          </w:tcPr>
          <w:p>
            <w:pPr>
              <w:jc w:val="center"/>
              <w:ind w:left="2750"/>
              <w:spacing w:after="0"/>
              <w:rPr>
                <w:sz w:val="20"/>
                <w:szCs w:val="20"/>
                <w:color w:val="auto"/>
              </w:rPr>
            </w:pPr>
            <w:r>
              <w:rPr>
                <w:rFonts w:ascii="Arial" w:cs="Arial" w:eastAsia="Arial" w:hAnsi="Arial"/>
                <w:sz w:val="18"/>
                <w:szCs w:val="18"/>
                <w:b w:val="1"/>
                <w:bCs w:val="1"/>
                <w:color w:val="auto"/>
                <w:w w:val="96"/>
              </w:rPr>
              <w:t>March 31,</w:t>
            </w:r>
          </w:p>
        </w:tc>
      </w:tr>
      <w:tr>
        <w:trPr>
          <w:trHeight w:val="270"/>
        </w:trPr>
        <w:tc>
          <w:tcPr>
            <w:tcW w:w="6460" w:type="dxa"/>
            <w:vAlign w:val="bottom"/>
          </w:tcPr>
          <w:p>
            <w:pPr>
              <w:spacing w:after="0"/>
              <w:rPr>
                <w:sz w:val="23"/>
                <w:szCs w:val="23"/>
                <w:color w:val="auto"/>
              </w:rPr>
            </w:pPr>
          </w:p>
        </w:tc>
        <w:tc>
          <w:tcPr>
            <w:tcW w:w="4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64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AFUDC – Equity</w:t>
            </w:r>
          </w:p>
        </w:tc>
        <w:tc>
          <w:tcPr>
            <w:tcW w:w="4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Gain on Sale of Available-for-sale Securities</w:t>
            </w:r>
          </w:p>
        </w:tc>
        <w:tc>
          <w:tcPr>
            <w:tcW w:w="4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and Other Income</w:t>
            </w:r>
          </w:p>
        </w:tc>
        <w:tc>
          <w:tcPr>
            <w:tcW w:w="4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37"/>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Income</w:t>
            </w:r>
          </w:p>
        </w:tc>
        <w:tc>
          <w:tcPr>
            <w:tcW w:w="4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$2.0</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64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642"/>
        </w:trPr>
        <w:tc>
          <w:tcPr>
            <w:tcW w:w="6460" w:type="dxa"/>
            <w:vAlign w:val="bottom"/>
          </w:tcPr>
          <w:p>
            <w:pPr>
              <w:spacing w:after="0"/>
              <w:rPr>
                <w:sz w:val="20"/>
                <w:szCs w:val="20"/>
                <w:color w:val="auto"/>
              </w:rPr>
            </w:pPr>
            <w:r>
              <w:rPr>
                <w:rFonts w:ascii="Arial" w:cs="Arial" w:eastAsia="Arial" w:hAnsi="Arial"/>
                <w:sz w:val="18"/>
                <w:szCs w:val="18"/>
                <w:b w:val="1"/>
                <w:bCs w:val="1"/>
                <w:color w:val="auto"/>
              </w:rPr>
              <w:t>NOTE 11. INCOME TAX EXPENSE</w:t>
            </w:r>
          </w:p>
        </w:tc>
        <w:tc>
          <w:tcPr>
            <w:tcW w:w="4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6460" w:type="dxa"/>
            <w:vAlign w:val="bottom"/>
          </w:tcPr>
          <w:p>
            <w:pPr>
              <w:spacing w:after="0"/>
              <w:rPr>
                <w:sz w:val="24"/>
                <w:szCs w:val="24"/>
                <w:color w:val="auto"/>
              </w:rPr>
            </w:pPr>
          </w:p>
        </w:tc>
        <w:tc>
          <w:tcPr>
            <w:tcW w:w="4960" w:type="dxa"/>
            <w:vAlign w:val="bottom"/>
            <w:gridSpan w:val="2"/>
          </w:tcPr>
          <w:p>
            <w:pPr>
              <w:jc w:val="center"/>
              <w:ind w:left="2750"/>
              <w:spacing w:after="0"/>
              <w:rPr>
                <w:sz w:val="20"/>
                <w:szCs w:val="20"/>
                <w:color w:val="auto"/>
              </w:rPr>
            </w:pPr>
            <w:r>
              <w:rPr>
                <w:rFonts w:ascii="Arial" w:cs="Arial" w:eastAsia="Arial" w:hAnsi="Arial"/>
                <w:sz w:val="18"/>
                <w:szCs w:val="18"/>
                <w:b w:val="1"/>
                <w:bCs w:val="1"/>
                <w:color w:val="auto"/>
                <w:w w:val="92"/>
              </w:rPr>
              <w:t>Quarter Ended</w:t>
            </w:r>
          </w:p>
        </w:tc>
      </w:tr>
      <w:tr>
        <w:trPr>
          <w:trHeight w:val="270"/>
        </w:trPr>
        <w:tc>
          <w:tcPr>
            <w:tcW w:w="6460" w:type="dxa"/>
            <w:vAlign w:val="bottom"/>
          </w:tcPr>
          <w:p>
            <w:pPr>
              <w:spacing w:after="0"/>
              <w:rPr>
                <w:sz w:val="23"/>
                <w:szCs w:val="23"/>
                <w:color w:val="auto"/>
              </w:rPr>
            </w:pPr>
          </w:p>
        </w:tc>
        <w:tc>
          <w:tcPr>
            <w:tcW w:w="4960" w:type="dxa"/>
            <w:vAlign w:val="bottom"/>
            <w:gridSpan w:val="2"/>
          </w:tcPr>
          <w:p>
            <w:pPr>
              <w:jc w:val="center"/>
              <w:ind w:left="2750"/>
              <w:spacing w:after="0"/>
              <w:rPr>
                <w:sz w:val="20"/>
                <w:szCs w:val="20"/>
                <w:color w:val="auto"/>
              </w:rPr>
            </w:pPr>
            <w:r>
              <w:rPr>
                <w:rFonts w:ascii="Arial" w:cs="Arial" w:eastAsia="Arial" w:hAnsi="Arial"/>
                <w:sz w:val="18"/>
                <w:szCs w:val="18"/>
                <w:b w:val="1"/>
                <w:bCs w:val="1"/>
                <w:color w:val="auto"/>
                <w:w w:val="96"/>
              </w:rPr>
              <w:t>March 31,</w:t>
            </w:r>
          </w:p>
        </w:tc>
      </w:tr>
      <w:tr>
        <w:trPr>
          <w:trHeight w:val="270"/>
        </w:trPr>
        <w:tc>
          <w:tcPr>
            <w:tcW w:w="6460" w:type="dxa"/>
            <w:vAlign w:val="bottom"/>
          </w:tcPr>
          <w:p>
            <w:pPr>
              <w:spacing w:after="0"/>
              <w:rPr>
                <w:sz w:val="23"/>
                <w:szCs w:val="23"/>
                <w:color w:val="auto"/>
              </w:rPr>
            </w:pPr>
          </w:p>
        </w:tc>
        <w:tc>
          <w:tcPr>
            <w:tcW w:w="4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64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 (Benefit)</w:t>
            </w:r>
          </w:p>
        </w:tc>
        <w:tc>
          <w:tcPr>
            <w:tcW w:w="4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40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4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 (Benefit)</w:t>
            </w:r>
          </w:p>
        </w:tc>
        <w:tc>
          <w:tcPr>
            <w:tcW w:w="4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4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40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tcPr>
          <w:p>
            <w:pPr>
              <w:ind w:left="280"/>
              <w:spacing w:after="0"/>
              <w:rPr>
                <w:sz w:val="20"/>
                <w:szCs w:val="20"/>
                <w:color w:val="auto"/>
              </w:rPr>
            </w:pPr>
            <w:r>
              <w:rPr>
                <w:rFonts w:ascii="Arial" w:cs="Arial" w:eastAsia="Arial" w:hAnsi="Arial"/>
                <w:sz w:val="18"/>
                <w:szCs w:val="18"/>
                <w:color w:val="auto"/>
              </w:rPr>
              <w:t>Federal</w:t>
            </w:r>
          </w:p>
        </w:tc>
        <w:tc>
          <w:tcPr>
            <w:tcW w:w="4040" w:type="dxa"/>
            <w:vAlign w:val="bottom"/>
          </w:tcPr>
          <w:p>
            <w:pPr>
              <w:jc w:val="right"/>
              <w:ind w:right="210"/>
              <w:spacing w:after="0"/>
              <w:rPr>
                <w:sz w:val="20"/>
                <w:szCs w:val="20"/>
                <w:color w:val="auto"/>
              </w:rPr>
            </w:pPr>
            <w:r>
              <w:rPr>
                <w:rFonts w:ascii="Arial" w:cs="Arial" w:eastAsia="Arial" w:hAnsi="Arial"/>
                <w:sz w:val="18"/>
                <w:szCs w:val="18"/>
                <w:color w:val="auto"/>
              </w:rPr>
              <w:t>$6.3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64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4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646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404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4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40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37"/>
        </w:trPr>
        <w:tc>
          <w:tcPr>
            <w:tcW w:w="6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40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$8.8</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56"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For the quarter ended March 31, 2014, the federal and state current tax expense of zero was due to the utilization of NOL carryforwards from prior periods. For the quarter ended March 31, 2013, the federal and state current tax expense of $0.2 million and zero, respectively, was due to federal and state NOLs which resulted from the bonus depreciation provision of the American Taxpayer Relief Act of 2012. The federal and state NOLs remaining after utilization in 2014 will be carried forward to offset future taxable income.</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quarter ended March 31, 2014, the effective tax rate was 20.7 percent (18.8 percent for the quarter ended March 31, 2013). The increase from the effective tax rate for the quarter ended March 31, 2013, was primarily due to higher pretax income. The effective tax rate deviated from the statutory rate of approximately 41 percent primarily due to deductions for AFUDC–Equity, investment tax credits, renewable tax credits and depletion.</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Uncertain Tax Positions. </w:t>
      </w:r>
      <w:r>
        <w:rPr>
          <w:rFonts w:ascii="Arial" w:cs="Arial" w:eastAsia="Arial" w:hAnsi="Arial"/>
          <w:sz w:val="16"/>
          <w:szCs w:val="16"/>
          <w:color w:val="auto"/>
        </w:rPr>
        <w:t>As of March 31, 2014, we had gross unrecognized tax benefits of $1.2 million ($1.2 million as of December 31, 2013). Of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gross unrecognized tax benefits, $0.2 million represents the amount of unrecognized tax benefits included in the Consolidated Balance Sheet that, if recognized, would favorably impact the effective income tax rate. The unrecognized tax benefit amounts have been presented as reductions to the tax benefits associated with NOL and tax credit carryforwards on the Consolidated Balance Sheet (see Note 1. Operations and Significant Accounting Policies).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ALLETE is no longer subject to federal examination for years before 2009, or state examination for years before 2005.</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2013, the U.S. Treasury issued final regulations addressing the tax consequences associated with the acquisition, production and improvement of tangible property. The regulations are generally effective for tax years beginning January 1, 2014. As ALLETE is adopting certain utility-specific guidance for deductible repairs previously issued by the IRS, the final regulation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12. RECLASSIFICATIONS OUT OF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net of tax, for the quarters ended March 31, 2014 and 2013,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14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Unrealized Gains and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Defined Benefit</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Gains and Losses</w:t>
            </w:r>
          </w:p>
        </w:tc>
        <w:tc>
          <w:tcPr>
            <w:tcW w:w="98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14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Losses on Available-for-</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Pension, Other</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on Cash Flow</w:t>
            </w:r>
          </w:p>
        </w:tc>
        <w:tc>
          <w:tcPr>
            <w:tcW w:w="980" w:type="dxa"/>
            <w:vAlign w:val="bottom"/>
          </w:tcPr>
          <w:p>
            <w:pPr>
              <w:spacing w:after="0"/>
              <w:rPr>
                <w:sz w:val="18"/>
                <w:szCs w:val="18"/>
                <w:color w:val="auto"/>
              </w:rPr>
            </w:pPr>
          </w:p>
        </w:tc>
      </w:tr>
      <w:tr>
        <w:trPr>
          <w:trHeight w:val="234"/>
        </w:trPr>
        <w:tc>
          <w:tcPr>
            <w:tcW w:w="4960" w:type="dxa"/>
            <w:vAlign w:val="bottom"/>
          </w:tcPr>
          <w:p>
            <w:pPr>
              <w:spacing w:after="0"/>
              <w:rPr>
                <w:sz w:val="20"/>
                <w:szCs w:val="20"/>
                <w:color w:val="auto"/>
              </w:rPr>
            </w:pPr>
          </w:p>
        </w:tc>
        <w:tc>
          <w:tcPr>
            <w:tcW w:w="2140" w:type="dxa"/>
            <w:vAlign w:val="bottom"/>
          </w:tcPr>
          <w:p>
            <w:pPr>
              <w:jc w:val="center"/>
              <w:ind w:left="130"/>
              <w:spacing w:after="0"/>
              <w:rPr>
                <w:sz w:val="20"/>
                <w:szCs w:val="20"/>
                <w:color w:val="auto"/>
              </w:rPr>
            </w:pPr>
            <w:r>
              <w:rPr>
                <w:rFonts w:ascii="Arial" w:cs="Arial" w:eastAsia="Arial" w:hAnsi="Arial"/>
                <w:sz w:val="18"/>
                <w:szCs w:val="18"/>
                <w:b w:val="1"/>
                <w:bCs w:val="1"/>
                <w:color w:val="auto"/>
                <w:w w:val="85"/>
              </w:rPr>
              <w:t>sale Securities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Hedge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 March 31, 2014</w:t>
            </w:r>
          </w:p>
        </w:tc>
        <w:tc>
          <w:tcPr>
            <w:tcW w:w="2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Beginning Accumulated Other Comprehensive Loss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$(0.1)</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$(16.7)</w:t>
            </w: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$(0.3)</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$(17.1)</w:t>
            </w:r>
          </w:p>
        </w:tc>
      </w:tr>
      <w:tr>
        <w:trPr>
          <w:trHeight w:val="27"/>
        </w:trPr>
        <w:tc>
          <w:tcPr>
            <w:tcW w:w="4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tcPr>
          <w:p>
            <w:pPr>
              <w:ind w:left="40"/>
              <w:spacing w:after="0"/>
              <w:rPr>
                <w:sz w:val="20"/>
                <w:szCs w:val="20"/>
                <w:color w:val="auto"/>
              </w:rPr>
            </w:pPr>
            <w:r>
              <w:rPr>
                <w:rFonts w:ascii="Arial" w:cs="Arial" w:eastAsia="Arial" w:hAnsi="Arial"/>
                <w:sz w:val="18"/>
                <w:szCs w:val="18"/>
                <w:color w:val="auto"/>
                <w:w w:val="96"/>
              </w:rPr>
              <w:t>Amounts Reclassified From Accumulated Other Comprehensive</w:t>
            </w:r>
          </w:p>
        </w:tc>
        <w:tc>
          <w:tcPr>
            <w:tcW w:w="2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960" w:type="dxa"/>
            <w:vAlign w:val="bottom"/>
          </w:tcPr>
          <w:p>
            <w:pPr>
              <w:ind w:left="200"/>
              <w:spacing w:after="0"/>
              <w:rPr>
                <w:sz w:val="20"/>
                <w:szCs w:val="20"/>
                <w:color w:val="auto"/>
              </w:rPr>
            </w:pPr>
            <w:r>
              <w:rPr>
                <w:rFonts w:ascii="Arial" w:cs="Arial" w:eastAsia="Arial" w:hAnsi="Arial"/>
                <w:sz w:val="18"/>
                <w:szCs w:val="18"/>
                <w:color w:val="auto"/>
              </w:rPr>
              <w:t>Income</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0.3</w:t>
            </w:r>
          </w:p>
        </w:tc>
      </w:tr>
      <w:tr>
        <w:trPr>
          <w:trHeight w:val="27"/>
        </w:trPr>
        <w:tc>
          <w:tcPr>
            <w:tcW w:w="49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Other Comprehensive Income</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37"/>
        </w:trPr>
        <w:tc>
          <w:tcPr>
            <w:tcW w:w="4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Ending Accumulated Other Comprehensive Loss</w:t>
            </w:r>
          </w:p>
        </w:tc>
        <w:tc>
          <w:tcPr>
            <w:tcW w:w="21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$(0.1)</w:t>
            </w:r>
          </w:p>
        </w:tc>
        <w:tc>
          <w:tcPr>
            <w:tcW w:w="1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$(16.4)</w:t>
            </w:r>
          </w:p>
        </w:tc>
        <w:tc>
          <w:tcPr>
            <w:tcW w:w="16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$(0.3)</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$(16.8)</w:t>
            </w:r>
          </w:p>
        </w:tc>
      </w:tr>
      <w:tr>
        <w:trPr>
          <w:trHeight w:val="27"/>
        </w:trPr>
        <w:tc>
          <w:tcPr>
            <w:tcW w:w="49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49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 2013</w:t>
            </w:r>
          </w:p>
        </w:tc>
        <w:tc>
          <w:tcPr>
            <w:tcW w:w="2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Accumulated Other Comprehensive Loss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$(21.5)</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$(0.4)</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 Before Reclassifications</w:t>
            </w:r>
          </w:p>
        </w:tc>
        <w:tc>
          <w:tcPr>
            <w:tcW w:w="2140" w:type="dxa"/>
            <w:vAlign w:val="bottom"/>
          </w:tcPr>
          <w:p>
            <w:pPr>
              <w:jc w:val="right"/>
              <w:ind w:right="270"/>
              <w:spacing w:after="0"/>
              <w:rPr>
                <w:sz w:val="20"/>
                <w:szCs w:val="20"/>
                <w:color w:val="auto"/>
              </w:rPr>
            </w:pPr>
            <w:r>
              <w:rPr>
                <w:rFonts w:ascii="Arial" w:cs="Arial" w:eastAsia="Arial" w:hAnsi="Arial"/>
                <w:sz w:val="18"/>
                <w:szCs w:val="18"/>
                <w:color w:val="auto"/>
              </w:rPr>
              <w:t>0.5</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7"/>
        </w:trPr>
        <w:tc>
          <w:tcPr>
            <w:tcW w:w="4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Amounts Reclassified From Accumulated Other Comprehensive</w:t>
            </w:r>
          </w:p>
        </w:tc>
        <w:tc>
          <w:tcPr>
            <w:tcW w:w="21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2"/>
        </w:trPr>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(Loss)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(0.5)</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r>
      <w:tr>
        <w:trPr>
          <w:trHeight w:val="237"/>
        </w:trPr>
        <w:tc>
          <w:tcPr>
            <w:tcW w:w="49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w:t>
            </w:r>
          </w:p>
        </w:tc>
        <w:tc>
          <w:tcPr>
            <w:tcW w:w="2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0.3</w:t>
            </w:r>
          </w:p>
        </w:tc>
        <w:tc>
          <w:tcPr>
            <w:tcW w:w="16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0.1</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49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Accumulated Other Comprehensive Loss</w:t>
            </w:r>
          </w:p>
        </w:tc>
        <w:tc>
          <w:tcPr>
            <w:tcW w:w="21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$(21.2)</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w:t>
            </w:r>
          </w:p>
        </w:tc>
      </w:tr>
      <w:tr>
        <w:trPr>
          <w:trHeight w:val="20"/>
        </w:trPr>
        <w:tc>
          <w:tcPr>
            <w:tcW w:w="49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loss for the quarters ended March 31, 2014 and 2013,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5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Quarter Ended</w:t>
            </w:r>
          </w:p>
        </w:tc>
        <w:tc>
          <w:tcPr>
            <w:tcW w:w="400" w:type="dxa"/>
            <w:vAlign w:val="bottom"/>
          </w:tcPr>
          <w:p>
            <w:pPr>
              <w:spacing w:after="0"/>
              <w:rPr>
                <w:sz w:val="20"/>
                <w:szCs w:val="20"/>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Quarter Ended</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15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March 31,</w:t>
            </w:r>
          </w:p>
        </w:tc>
        <w:tc>
          <w:tcPr>
            <w:tcW w:w="400" w:type="dxa"/>
            <w:vAlign w:val="bottom"/>
          </w:tcPr>
          <w:p>
            <w:pPr>
              <w:spacing w:after="0"/>
              <w:rPr>
                <w:sz w:val="23"/>
                <w:szCs w:val="23"/>
                <w:color w:val="auto"/>
              </w:rPr>
            </w:pPr>
          </w:p>
        </w:tc>
        <w:tc>
          <w:tcPr>
            <w:tcW w:w="17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March 31,</w:t>
            </w:r>
          </w:p>
        </w:tc>
      </w:tr>
      <w:tr>
        <w:trPr>
          <w:trHeight w:val="270"/>
        </w:trPr>
        <w:tc>
          <w:tcPr>
            <w:tcW w:w="7780" w:type="dxa"/>
            <w:vAlign w:val="bottom"/>
          </w:tcPr>
          <w:p>
            <w:pPr>
              <w:spacing w:after="0"/>
              <w:rPr>
                <w:sz w:val="23"/>
                <w:szCs w:val="23"/>
                <w:color w:val="auto"/>
              </w:rPr>
            </w:pPr>
          </w:p>
        </w:tc>
        <w:tc>
          <w:tcPr>
            <w:tcW w:w="152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2014</w:t>
            </w:r>
          </w:p>
        </w:tc>
        <w:tc>
          <w:tcPr>
            <w:tcW w:w="400" w:type="dxa"/>
            <w:vAlign w:val="bottom"/>
          </w:tcPr>
          <w:p>
            <w:pPr>
              <w:spacing w:after="0"/>
              <w:rPr>
                <w:sz w:val="23"/>
                <w:szCs w:val="23"/>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7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Unrealized Gains on Available-for-sale Securities </w:t>
            </w:r>
            <w:r>
              <w:rPr>
                <w:rFonts w:ascii="Arial" w:cs="Arial" w:eastAsia="Arial" w:hAnsi="Arial"/>
                <w:sz w:val="18"/>
                <w:szCs w:val="18"/>
                <w:i w:val="1"/>
                <w:iCs w:val="1"/>
                <w:color w:val="auto"/>
              </w:rPr>
              <w:t>(a)</w:t>
            </w:r>
          </w:p>
        </w:tc>
        <w:tc>
          <w:tcPr>
            <w:tcW w:w="1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1520" w:type="dxa"/>
            <w:vAlign w:val="bottom"/>
          </w:tcPr>
          <w:p>
            <w:pPr>
              <w:spacing w:after="0"/>
              <w:rPr>
                <w:sz w:val="21"/>
                <w:szCs w:val="21"/>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(0.3)</w:t>
            </w:r>
          </w:p>
        </w:tc>
      </w:tr>
      <w:tr>
        <w:trPr>
          <w:trHeight w:val="27"/>
        </w:trPr>
        <w:tc>
          <w:tcPr>
            <w:tcW w:w="77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1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w:t>
            </w:r>
          </w:p>
        </w:tc>
      </w:tr>
      <w:tr>
        <w:trPr>
          <w:trHeight w:val="291"/>
        </w:trPr>
        <w:tc>
          <w:tcPr>
            <w:tcW w:w="778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1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(c)</w:t>
            </w: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21"/>
                <w:szCs w:val="21"/>
                <w:color w:val="auto"/>
              </w:rPr>
            </w:pP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$0.5</w:t>
            </w:r>
          </w:p>
        </w:tc>
      </w:tr>
      <w:tr>
        <w:trPr>
          <w:trHeight w:val="27"/>
        </w:trPr>
        <w:tc>
          <w:tcPr>
            <w:tcW w:w="7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(c)</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(5.7)</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4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(5.2)</w:t>
            </w:r>
          </w:p>
        </w:tc>
      </w:tr>
      <w:tr>
        <w:trPr>
          <w:trHeight w:val="27"/>
        </w:trPr>
        <w:tc>
          <w:tcPr>
            <w:tcW w:w="7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(b)</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$(3.2)</w:t>
            </w:r>
          </w:p>
        </w:tc>
      </w:tr>
      <w:tr>
        <w:trPr>
          <w:trHeight w:val="27"/>
        </w:trPr>
        <w:tc>
          <w:tcPr>
            <w:tcW w:w="77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w:t>
            </w:r>
          </w:p>
        </w:tc>
      </w:tr>
      <w:tr>
        <w:trPr>
          <w:trHeight w:val="20"/>
        </w:trPr>
        <w:tc>
          <w:tcPr>
            <w:tcW w:w="77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Income (Expense) – Other on the Consolidated Statement of Income.</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the Consolidated Statement of Income.</w:t>
      </w:r>
    </w:p>
    <w:p>
      <w:pPr>
        <w:spacing w:after="0" w:line="5"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benefit items excluded from our Regulated Operations are recognized in accumulated other comprehensive loss and are subsequently reclassified out of accumulated other comprehensive loss as components of net periodic pension and other postretirement benefit expense (see Note 14. Pension and Other Postretirement Benefit Plans).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EARNINGS PER SHARE AND COMMON STOCK</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performance share awards granted under our Executive Long-Term Incentive Compensation Plan and common shares under the forward sale agreement (described below). For the quarters ended March 31, 2014 and 2013, zero and 0.1 million options to purchase shares of common stock, respectively, were excluded from the computation of diluted earnings per share because the option exercise prices were greater than the average market prices; therefore, their effect would have been anti-dilutive.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w:t>
            </w: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$33.5</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$32.5</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41.4</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38.9</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$0.81</w:t>
            </w: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$0.83</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4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Forward Sale Agreement and Issuance of Common Stock. </w:t>
      </w:r>
      <w:r>
        <w:rPr>
          <w:rFonts w:ascii="Arial" w:cs="Arial" w:eastAsia="Arial" w:hAnsi="Arial"/>
          <w:sz w:val="18"/>
          <w:szCs w:val="18"/>
          <w:color w:val="auto"/>
        </w:rPr>
        <w:t>On February 26, 2014, ALLETE entered into a confirmation of forward sale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a forward counterparty in connection with a public offering of 2.8 million shares of ALLETE common stock. The use of an equity forward transaction substantially eliminates future equity market price risk by fixing a common equity offering sales price under the then existing market conditions, while mitigating immediate share dilution resulting from the offering by postponing the actual issuance of common stock until funds are needed in accordance with our capital investment strategy.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Agreement, the forward counterparty (or its affiliate) borrowed 2.8 million shares of ALLETE common stock (borrowed shares) from third parties and sold them to the underwriters. ALLETE has right to elect physical, cash or net share settlement under the forward sales agreement, for all or a portion of its obligations under the Agreement. In the event that ALLETE elects physical settlement of the Agreement, it will deliver shares of its common stock in exchange for cash proceeds at the then-applicable forward sale price. The forward sale price is initially $48.01 per share, subject to adjustment as provided in the Agreement. The Agreement provides for settlement at any time on or prior to March 1, 2015. ALLETE expect to physically settle the Agreement in its entirety by delivering 2.8 million shares of its common stock.</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on March 4, 2014, the Company issued and sold the option shares to the underwriters at a price to ALLETE equal to the initial forward sale price for proceeds of $20.2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equity forward transaction was reflected in ALLETE’s diluted earnings per share using the treasury stock method, which resulted in no material dilutive impact to ALLETE’s diluted earnings per share for the quarter ended March 31, 2014. Prior to a settlement date, any dilutive effect of the Agreement on our earnings per share would only occur during periods when the average market price per share of our common stock is above the per share adjusted forward sales price described above.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equity forward transaction has no initial fair value since it was entered into at the then market price of the common stock. ALLETE will not receive any proceeds with respect to the borrowed shares until the equity forward transaction is settled, and at that time the proceeds, if any, will be recorded in equity. The equity forward transaction is accounted for as an equity instrument in accordance with the accounting guidance for distinguishing liabilities from equity and the guidance for derivatives. Under the accounting guidance, the transaction qualifies for an exception from derivative accounting because the forward sale transaction is indexed to ALLETE’s stock.</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Contributions to Pension. </w:t>
      </w:r>
      <w:r>
        <w:rPr>
          <w:rFonts w:ascii="Arial" w:cs="Arial" w:eastAsia="Arial" w:hAnsi="Arial"/>
          <w:sz w:val="18"/>
          <w:szCs w:val="18"/>
          <w:color w:val="auto"/>
        </w:rPr>
        <w:t>On January 10, 2014, ALLETE contributed 0.4 million shares of ALLETE common stock to its pension plan. These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ALLETE common stock were contributed in reliance upon an exemption available pursuant to Section 4(a)(2) of the Securities Act of 1933 and had an aggregate value of $19.5 million when contributed.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36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14.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2013</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$2.1</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$2.5</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7.4</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6.5</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(9.6)</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(0.6)</w:t>
            </w: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3.6</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5.3</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6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$3.6</w:t>
            </w: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$5.6</w:t>
            </w:r>
          </w:p>
        </w:tc>
        <w:tc>
          <w:tcPr>
            <w:tcW w:w="12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$(0.4)</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Employer Contributions. </w:t>
      </w:r>
      <w:r>
        <w:rPr>
          <w:rFonts w:ascii="Arial" w:cs="Arial" w:eastAsia="Arial" w:hAnsi="Arial"/>
          <w:sz w:val="17"/>
          <w:szCs w:val="17"/>
          <w:color w:val="auto"/>
        </w:rPr>
        <w:t>For the quarter ended March 31, 2014, $19.5 million of ALLETE common stock was contributed to our defined benefit pension</w:t>
      </w:r>
      <w:r>
        <w:rPr>
          <w:rFonts w:ascii="Arial" w:cs="Arial" w:eastAsia="Arial" w:hAnsi="Arial"/>
          <w:sz w:val="17"/>
          <w:szCs w:val="17"/>
          <w:b w:val="1"/>
          <w:bCs w:val="1"/>
          <w:color w:val="auto"/>
        </w:rPr>
        <w:t xml:space="preserve"> </w:t>
      </w:r>
      <w:r>
        <w:rPr>
          <w:rFonts w:ascii="Arial" w:cs="Arial" w:eastAsia="Arial" w:hAnsi="Arial"/>
          <w:sz w:val="17"/>
          <w:szCs w:val="17"/>
          <w:color w:val="auto"/>
        </w:rPr>
        <w:t>plan (no contributions for the quarter ended March 31, 2013). For the quarter ended March 31, 2014, we made no contributions to our other postretirement benefit plan ($10.8 million for the quarter ended March 31, 2013). We do not expect to make any additional contributions to our defined benefit pension plan in 2014, and we do not expect to make any contributions to our other postretirement benefit plan in 2014.</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GUARANTEES AND CONTINGENCIES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Agreements. </w:t>
      </w:r>
      <w:r>
        <w:rPr>
          <w:rFonts w:ascii="Arial" w:cs="Arial" w:eastAsia="Arial" w:hAnsi="Arial"/>
          <w:sz w:val="18"/>
          <w:szCs w:val="18"/>
          <w:color w:val="auto"/>
        </w:rPr>
        <w:t>Our long-term PPAs have been evaluated under the accounting guidance for variable interest entities. At Minnesota Power,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March 31, 2014, Square Butte had total debt outstanding of $423.4 million. Annual debt service for Square Butte is expected to be approximately $44 million in each of the years 2014 through 2018,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three months ended March 31, 2014, was $16.8 million ($16.3 million for the three months ended March 31, 2013). This reflects Minnesota Power’s pro rata share of total Square Butte costs based on the 50 percent output entitlement. Included in this amount was Minnesota Power’s pro rata share of interest expense of $2.5 million during the three months ended March 31, 2014 ($2.6 million for the three months ended March 31, 2013).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Under the power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power will be sold under the 2009 agreement until Minnkota Power has placed in service a new AC transmission line, which is expected to occur in mid-2014. This new AC transmission line will allow Minnkota Power to transmit its entitlement from Square Butte directly to its customers, which in turn will enable Minnesota Power to transmit additional wind generation on the existing DC transmission line.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over the term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In 2006 and 2007, Minnesota Power entered into two long-term wind PPAs with an affiliate of NextEra Energy, Inc.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 output from Oliver Wind I (50 MW) and Oliver Wind II (48 MW)—wind facilities located near Center, North Dakota. Each agreement is for 25 years and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May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Minnesota Power and Manitoba Hydro signed an additional long-term PPA. The PPA provides for Manitoba Hydro to sell 250 MW of capacity and energy to Minnesota Power for 15 years beginning in 2020. The agreement is subject to construction of additional transmission capacity between Manitoba and the U.S., along with construction of new hydroelectric generating capacity in Manitoba.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292 MW Bison Wind Energy Center, located in North Dakota, was completed in various phases through 2012. Customer billing rates for our Bison Wind Energy Center were approved by the MPUC in an order dated December 3, 2013.</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25, 2013, the NDPSC approved the site permit for Bison 4, a 205 MW wind project in North Dakota, which is an addition to our Bison Wind Energy Center. As a result, construction has commenced and is expected to be completed by the end of 2014. The total project investment for Bison 4 is estimated to be approximately $345 million, of which $187.1 million was spent through March 31, 2014. On January 17, 2014, the MPUC approved Minnesota Power’s petition seeking cost recovery for investments and expenditures related to Bison 4. We included Bison 4 as part of our renewable resources rider factor filing along with the Company’s other renewable projects in a filing on April 29, 2014, which, upon approval, will authorize updated rates to be included on customer bills.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Hydro Operations. </w:t>
      </w:r>
      <w:r>
        <w:rPr>
          <w:rFonts w:ascii="Arial" w:cs="Arial" w:eastAsia="Arial" w:hAnsi="Arial"/>
          <w:sz w:val="16"/>
          <w:szCs w:val="16"/>
          <w:color w:val="auto"/>
        </w:rPr>
        <w:t>In June 2012, record rainfall and flooding occurred near Duluth, Minnesota and surrounding areas. The flooding impacted Minnesota</w:t>
      </w:r>
      <w:r>
        <w:rPr>
          <w:rFonts w:ascii="Arial" w:cs="Arial" w:eastAsia="Arial" w:hAnsi="Arial"/>
          <w:sz w:val="16"/>
          <w:szCs w:val="16"/>
          <w:b w:val="1"/>
          <w:bCs w:val="1"/>
          <w:color w:val="auto"/>
        </w:rPr>
        <w:t xml:space="preserve"> </w:t>
      </w:r>
      <w:r>
        <w:rPr>
          <w:rFonts w:ascii="Arial" w:cs="Arial" w:eastAsia="Arial" w:hAnsi="Arial"/>
          <w:sz w:val="16"/>
          <w:szCs w:val="16"/>
          <w:color w:val="auto"/>
        </w:rPr>
        <w:t>Power’s St. Louis River hydro system, particularly the Thomson Energy Center (Thomson), which had damage to the forebay canal and flooding at the facility. Minnesota Power worked closely with the appropriate regulatory bodies which oversee the hydro system operations, including dams and reservoirs, to restore the Thomson facility and to rebuild the forebay embankment. Minnesota Power continues restoration and upgrade work at the Thomson facility and completed rebuilding the forebay embankment. Minnesota Power anticipates partial generation at the Thomson Energy Center in the second quarter of 2014. Work is ongoing toward returning to full generation late in 2014 and improving the spillway capacity at the Thomson dam in 2015. Total project costs are estimated to be approximately $90 million, of which $66.4 million was spent through March 31, 2014. A request seeking cost recovery of capital expenditures related to the restoration and repair of the Thomson facility through a renewable resources rider is expected to be filed with the MPUC in 2014.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36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We have coal supply agreements providing for the purchase of a significant portion of our coal requirements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dates through 2015. We also have coal transportation agreements in place for the delivery of a significant portion of our coal requirements with expiration dates through 2015. Currently, Minnesota Power is in discussions regarding the extension of our coal supply and transportation contracts beyond 2015. Our minimum annual payment obligation under these supply and transportation agreements is $26.0 million for the remainder of 2014 and $4.0 million for 2015. Our minimum annual payment obligation will increase when annual nominations are made for coal deliveries in future years. The delivered costs of fuel for Minnesota Power’s generation are recoverable from Minnesota Power’s utility customers through the fuel adjustment clause.</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2021. The aggregate amount of minimum lease payments for all operating leases is $12.1 million in 2014, $11.5 million in 2015, $9.5 million in 2016, $8.7 million in 2017, $7.4 million in 2018 and $29.2 million thereafter.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continue to make investments in Upper Midwest transmission opportunities that strengthen or enhance the regional transmission grid.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(individually or in combination with others), and our investment in ATC.</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Minnesota Power has an approved cost recovery rider in place for certain transmission investments and expenditures.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2013, the MPUC approved Minnesota Power’s updated billing factor which allows Minnesota Power to charge retail customers on a current basis for the costs of constructing certain transmission facilities plus a return on the capital invested. We filed a petition on April 24, 2014, to include additional transmission investments and expenditures in customer billing rates.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is currently participating in the construction of one CapX2020 transmission line project. Minnesota Power also participated in two CapX2020 projects which were previously completed and placed into service in 2011 and 2012. In June 2011, the MPUC approved the route permit for the Minnesota portion of the Fargo to St. Cloud project, which is currently under construction and expected to be in service by 2015. The North Dakota permitting process was completed in August 2012.</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projected costs of the three transmission line projects and the allocation agreements among participating utilities, in total Minnesota Power plans to invest between $100 million and $110 million in the CapX2020 initiative through 2015, of which $85.7 million was spent through March 31, 2014. As future CapX2020 projects are identified, Minnesota Power may elect to participate on a project-by-project basis.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GNTL is subject to various federal and state regulatory approvals. Before a large energy facility can be sited or constructed in Minnesota, the MPUC requires a Certificate of Need, which was filed in October 2013. In an order dated January 8, 2014, the MPUC determined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 Total project cost in the U.S., including substation work, is estimated to be between $500 million and $650 million, depending on the final route of the line. Minnesota Power will have majority ownership of the transmission line.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Units 1, 2, 3 and 4 and Laskin Unit 2. The NOV asserts that seven projects undertaken at these coal-fired plants between the years 1981 and 2000 should have been reviewed under the NSR requirements and that Boswell Unit 4’s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Resolution of the NOVs could result in civil penalties, which we do not believe will be material to our results of operations, retirements or refueling of generating units, and the installation of additional pollution control equipment, some of which is already planned or which has been completed to comply with other regulatory requirements. We are engaged in discussions with the EPA regarding resolution of these matters, but we are unable to estimate the expenditures, or range of expenditures, that may be required upon resolution. Any costs of retirements, refueling, or installing additional pollution control equipment would likely be eligible for recovery in rates over time subject to regulatory approval in a rate proceeding.</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Cross-State Air Pollution Rule (CSAPR). </w:t>
      </w:r>
      <w:r>
        <w:rPr>
          <w:rFonts w:ascii="Arial" w:cs="Arial" w:eastAsia="Arial" w:hAnsi="Arial"/>
          <w:sz w:val="18"/>
          <w:szCs w:val="18"/>
          <w:color w:val="auto"/>
        </w:rPr>
        <w:t>In July 2011, the EPA issued the CSAPR, which replaced the EPA’s 2005 CAIR. However, in August 2012, a three-judge panel of the U.S. Court of Appeals for the District of Columbia Circuit (Circuit Court of Appeals) vacated the CSAPR, ordering that the CAIR remain in effect while a CSAPR replacement rule is promulgated. In March 2013, the EPA petitioned the Supreme Court to review the Circuit Court of Appeals ruling. In April 2014, the Supreme Court issued a decision reversing the Circuit Court of Appeals and upholding the CSAPR. The Supreme Court remanded the case to the Circuit Court of Appeals for further proceedings. We are reviewing the Supreme Court’s decision. The CSAPR would require states in the CSAPR region, including Minnesota, to significantly improve air quality by reducing power plant emissions that contribute to ozone and/or fine particle pollution in other states. The CSAPR would not directly require the installation of controls. Instead, the rule would require facilities to have sufficient emission allowances to cover their emissions on an annual basis. These allowances would be allocated to facilities from each state’s annual budget and could be bought and sold.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CAIR regulations similarly require certain states to improve air quality by reducing power plant emissions that contribute to ozone and/or fine particle pollution in other states. The CAIR also created an allowance allocation and trading program rather than specifying pollution controls. Minnesota participation in the CAIR was stayed by EPA administrative action while the EPA completed a review of air quality modeling issues in conjunction with the development of a final replacement rule. While the CAIR remains in effect, Minnesota participation in the CAIR will continue to be stayed.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2006, we have significantly reduced emissions at our Laskin, Taconite Harbor and Boswell generating units. Based on our expected generation, these emission reductions would have satisfied Minnesota Power’s SO</w:t>
      </w:r>
      <w:r>
        <w:rPr>
          <w:rFonts w:ascii="Arial" w:cs="Arial" w:eastAsia="Arial" w:hAnsi="Arial"/>
          <w:sz w:val="11"/>
          <w:szCs w:val="11"/>
          <w:color w:val="auto"/>
        </w:rPr>
        <w:t>2</w:t>
      </w:r>
      <w:r>
        <w:rPr>
          <w:rFonts w:ascii="Arial" w:cs="Arial" w:eastAsia="Arial" w:hAnsi="Arial"/>
          <w:sz w:val="17"/>
          <w:szCs w:val="17"/>
          <w:color w:val="auto"/>
        </w:rPr>
        <w:t xml:space="preserve"> and NO</w:t>
      </w:r>
      <w:r>
        <w:rPr>
          <w:rFonts w:ascii="Arial" w:cs="Arial" w:eastAsia="Arial" w:hAnsi="Arial"/>
          <w:sz w:val="11"/>
          <w:szCs w:val="11"/>
          <w:color w:val="auto"/>
        </w:rPr>
        <w:t>X</w:t>
      </w:r>
      <w:r>
        <w:rPr>
          <w:rFonts w:ascii="Arial" w:cs="Arial" w:eastAsia="Arial" w:hAnsi="Arial"/>
          <w:sz w:val="17"/>
          <w:szCs w:val="17"/>
          <w:color w:val="auto"/>
        </w:rPr>
        <w:t xml:space="preserve"> emission compliance obligations with respect to the EPA-allocated CSAPR allowances for 2013. We are unable to predict any additional compliance costs we might incur as a result of the CSAPR.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Regional Haze. </w:t>
      </w:r>
      <w:r>
        <w:rPr>
          <w:rFonts w:ascii="Arial" w:cs="Arial" w:eastAsia="Arial" w:hAnsi="Arial"/>
          <w:sz w:val="18"/>
          <w:szCs w:val="18"/>
          <w:color w:val="auto"/>
        </w:rPr>
        <w:t>The federal Regional Haze Rule requires states to submit SIPs to the EPA to address regional haze visibility impairment in 156 federally-protected parks and wilderness areas. Under the first phase of the Regional Haze Rule, certain large stationary sources, built between 1962 and 1977, with emissions contributing to visibility impairment, are required to install emission controls, known as Best Available Retrofit Technology (BART). We have two steam units, Boswell Unit 3 and Taconite Harbor Unit 3, subject to BART requirements.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Due to legal challenges at both the state and federal levels, there is currently no applicable compliance deadline for the Regional Haze Rule. If additional regional haze related controls are ultimately required, Minnesota Power will have up to five years from the final rule promulgation date to bring Taconite Harbor Unit 3 into compliance. As part of our 2013 Integrated Resource Plan, which was approved by the MPUC in November 2013, we plan to retire Taconite Harbor Unit 3 in 2015. We believe that the Taconite Harbor Unit 3 retirement will be accomplished before any compliance deadline takes effect.</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it has approved Minnesota Power’s request for an additional year extending the date of compliance for the Boswell Unit 4 environmental upgrade to April 1, 2016. Compliance at Boswell Unit 4 to address the final MATS rule is expected to result in capital expenditures of approximately $310 million through 2016, of which $77.0 million was spent through March 31, 2014. Our minimum payment obligation for the environmental upgrade is $101.0 million for 2014 and $58.2 million for 2015. Our “EnergyForward” plan, which was approved as part of our 2013 Integrated Resource Plan by the MPUC in an order dated November 12, 2013, also includes the conversion of Laskin Units 1 and 2 to natural gas in 2015, to position the Company for MATS compliance. On January 9, 2014, the MPCA approved Minnesota Power’s application to extend the deadline for Taconite Harbor Unit 3 to comply with MATS to June 1, 2015, in order to align the Unit 3 retirement with MISO’s resource planning year.</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7"/>
          <w:szCs w:val="17"/>
          <w:color w:val="auto"/>
        </w:rPr>
        <w:t>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In January 2012, the United States District Court for the District of Columbia ruled that the EPA stay of the Industrial Boiler MACT was unlawful, effectively reinstating the March 2011 rule and associated compliance deadlines. A final rule based on the December 2011 proposal, which supersedes the March 2011 rule, became effective in December 2012. Major existing sources have until January 31, 2016, to achieve compliance with the final rule. Minnesota Power’s Hibbard Renewable Energy Center and Rapids Energy Center are subject to this rule. We expect compliance to consist largely of adjustments to our operating practices; therefore costs for complying with the final rule are not expected to be material at this time.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Minnesota Mercury Emissions Reduction Act. </w:t>
      </w:r>
      <w:r>
        <w:rPr>
          <w:rFonts w:ascii="Arial" w:cs="Arial" w:eastAsia="Arial" w:hAnsi="Arial"/>
          <w:sz w:val="17"/>
          <w:szCs w:val="17"/>
          <w:color w:val="auto"/>
        </w:rPr>
        <w:t>In order to comply with the 2006 Minnesota Mercury Emissions Reduction Act, Minnesota Power must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implement a mercury emissions reduction project for Boswell Unit 4 by December 31, 2018. The Boswell Unit 4 environmental upgrade discussed above, which is required to be completed by April 1, 2016 (see </w:t>
      </w:r>
      <w:r>
        <w:rPr>
          <w:rFonts w:ascii="Arial" w:cs="Arial" w:eastAsia="Arial" w:hAnsi="Arial"/>
          <w:sz w:val="17"/>
          <w:szCs w:val="17"/>
          <w:i w:val="1"/>
          <w:iCs w:val="1"/>
          <w:color w:val="auto"/>
        </w:rPr>
        <w:t>Mercury and Air Toxics Standards (MATS) Rule</w:t>
      </w:r>
      <w:r>
        <w:rPr>
          <w:rFonts w:ascii="Arial" w:cs="Arial" w:eastAsia="Arial" w:hAnsi="Arial"/>
          <w:sz w:val="17"/>
          <w:szCs w:val="17"/>
          <w:color w:val="auto"/>
        </w:rPr>
        <w:t>), will fulfill the requirements of the Minnesota Mercury Emissions Reduction Act. Costs to implement the Boswell Unit 4 mercury emissions reduction plan are included in the estimated capital expenditures required for compliance with the MATS rule discussed above (see Mercury and Air Toxics Standards (MATS) Rule).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Ozone NAAQS. </w:t>
      </w:r>
      <w:r>
        <w:rPr>
          <w:rFonts w:ascii="Arial" w:cs="Arial" w:eastAsia="Arial" w:hAnsi="Arial"/>
          <w:sz w:val="17"/>
          <w:szCs w:val="17"/>
          <w:color w:val="auto"/>
        </w:rPr>
        <w:t>The EPA has proposed to more stringently control emissions that result in ground level ozone. In January 2010, the EPA proposed to revise</w:t>
      </w:r>
      <w:r>
        <w:rPr>
          <w:rFonts w:ascii="Arial" w:cs="Arial" w:eastAsia="Arial" w:hAnsi="Arial"/>
          <w:sz w:val="17"/>
          <w:szCs w:val="17"/>
          <w:i w:val="1"/>
          <w:iCs w:val="1"/>
          <w:color w:val="auto"/>
        </w:rPr>
        <w:t xml:space="preserve"> </w:t>
      </w:r>
      <w:r>
        <w:rPr>
          <w:rFonts w:ascii="Arial" w:cs="Arial" w:eastAsia="Arial" w:hAnsi="Arial"/>
          <w:sz w:val="17"/>
          <w:szCs w:val="17"/>
          <w:color w:val="auto"/>
        </w:rPr>
        <w:t>the 2008 eight-hour ozone standard and to adopt a secondary standard for the protection of sensitive vegetation from ozone-related damage. The EPA was scheduled to decide upon the 2008 eight-hour ozone standard in July 2011, but has since announced that it is deferring revision of this standard until 2014 or later. Consequently, the costs for complying with the final ozone NAAQS cannot be estimated at this time.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Particulate Matter NAAQS. </w:t>
      </w:r>
      <w:r>
        <w:rPr>
          <w:rFonts w:ascii="Arial" w:cs="Arial" w:eastAsia="Arial" w:hAnsi="Arial"/>
          <w:sz w:val="18"/>
          <w:szCs w:val="18"/>
          <w:color w:val="auto"/>
        </w:rPr>
        <w:t>The EPA finalized the Particulate Matter NAAQS in September 2006. Since then, the EPA has established more stringent 24-hour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fine particulate matter (PM</w:t>
      </w:r>
      <w:r>
        <w:rPr>
          <w:rFonts w:ascii="Arial" w:cs="Arial" w:eastAsia="Arial" w:hAnsi="Arial"/>
          <w:sz w:val="12"/>
          <w:szCs w:val="12"/>
          <w:color w:val="auto"/>
        </w:rPr>
        <w:t>2.5</w:t>
      </w:r>
      <w:r>
        <w:rPr>
          <w:rFonts w:ascii="Arial" w:cs="Arial" w:eastAsia="Arial" w:hAnsi="Arial"/>
          <w:sz w:val="18"/>
          <w:szCs w:val="18"/>
          <w:color w:val="auto"/>
        </w:rPr>
        <w:t>) and annual PM</w:t>
      </w:r>
      <w:r>
        <w:rPr>
          <w:rFonts w:ascii="Arial" w:cs="Arial" w:eastAsia="Arial" w:hAnsi="Arial"/>
          <w:sz w:val="12"/>
          <w:szCs w:val="12"/>
          <w:color w:val="auto"/>
        </w:rPr>
        <w:t>2.5</w:t>
      </w:r>
      <w:r>
        <w:rPr>
          <w:rFonts w:ascii="Arial" w:cs="Arial" w:eastAsia="Arial" w:hAnsi="Arial"/>
          <w:sz w:val="18"/>
          <w:szCs w:val="18"/>
          <w:color w:val="auto"/>
        </w:rPr>
        <w:t xml:space="preserve"> standards; the 24-hour coarse particulate matter standard has remained unchanged. The District of Columbia Circuit Court of Appeals remanded the annual PM</w:t>
      </w:r>
      <w:r>
        <w:rPr>
          <w:rFonts w:ascii="Arial" w:cs="Arial" w:eastAsia="Arial" w:hAnsi="Arial"/>
          <w:sz w:val="12"/>
          <w:szCs w:val="12"/>
          <w:color w:val="auto"/>
        </w:rPr>
        <w:t>2.5</w:t>
      </w:r>
      <w:r>
        <w:rPr>
          <w:rFonts w:ascii="Arial" w:cs="Arial" w:eastAsia="Arial" w:hAnsi="Arial"/>
          <w:sz w:val="18"/>
          <w:szCs w:val="18"/>
          <w:color w:val="auto"/>
        </w:rPr>
        <w:t xml:space="preserve"> standard to the EPA, requiring consideration of lower annual standard values. The EPA proposed new PM</w:t>
      </w:r>
      <w:r>
        <w:rPr>
          <w:rFonts w:ascii="Arial" w:cs="Arial" w:eastAsia="Arial" w:hAnsi="Arial"/>
          <w:sz w:val="12"/>
          <w:szCs w:val="12"/>
          <w:color w:val="auto"/>
        </w:rPr>
        <w:t>2.5</w:t>
      </w:r>
      <w:r>
        <w:rPr>
          <w:rFonts w:ascii="Arial" w:cs="Arial" w:eastAsia="Arial" w:hAnsi="Arial"/>
          <w:sz w:val="18"/>
          <w:szCs w:val="18"/>
          <w:color w:val="auto"/>
        </w:rPr>
        <w:t xml:space="preserve"> standards in June 2012.</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2012, the EPA issued a final rule implementing a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while retaining the current 24-hour PM</w:t>
      </w:r>
      <w:r>
        <w:rPr>
          <w:rFonts w:ascii="Arial" w:cs="Arial" w:eastAsia="Arial" w:hAnsi="Arial"/>
          <w:sz w:val="12"/>
          <w:szCs w:val="12"/>
          <w:color w:val="auto"/>
        </w:rPr>
        <w:t>2.5</w:t>
      </w:r>
      <w:r>
        <w:rPr>
          <w:rFonts w:ascii="Arial" w:cs="Arial" w:eastAsia="Arial" w:hAnsi="Arial"/>
          <w:sz w:val="18"/>
          <w:szCs w:val="18"/>
          <w:color w:val="auto"/>
        </w:rPr>
        <w:t xml:space="preserve"> standard. To implement the new more stringent annual PM</w:t>
      </w:r>
      <w:r>
        <w:rPr>
          <w:rFonts w:ascii="Arial" w:cs="Arial" w:eastAsia="Arial" w:hAnsi="Arial"/>
          <w:sz w:val="12"/>
          <w:szCs w:val="12"/>
          <w:color w:val="auto"/>
        </w:rPr>
        <w:t>2.5</w:t>
      </w:r>
      <w:r>
        <w:rPr>
          <w:rFonts w:ascii="Arial" w:cs="Arial" w:eastAsia="Arial" w:hAnsi="Arial"/>
          <w:sz w:val="18"/>
          <w:szCs w:val="18"/>
          <w:color w:val="auto"/>
        </w:rPr>
        <w:t xml:space="preserve"> standard, the EPA is also revising aspects of relevant monitoring, designation and permitting requirements. New projects and permits must comply with the new more stringent standard, and compliance with the NAAQS at the facility level is generally demonstrated by modeling.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The EPA asked states to submit attainment designations by December 2013, based on already available monitoring data. The EPA believes that most U.S. counties already meet the new standard and plans to finalize designations of attainment by December 2014. For those counties that the EPA does not designate as having already met the requirements of the new standard, specific dates for required attainment will depend on technology availability, state permitting goals, potential legal challenges and other factors. Minnesota is anticipating that it will retain attainment status; however, Minnesota sources may ultimately be required to reduce their emissions to assist with attainment in neighboring states. Accordingly, the costs for complying with the final Particulate Matter NAAQS cannot be estimated at this time.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 be</w:t>
      </w:r>
      <w:r>
        <w:rPr>
          <w:rFonts w:ascii="Arial" w:cs="Arial" w:eastAsia="Arial" w:hAnsi="Arial"/>
          <w:sz w:val="18"/>
          <w:szCs w:val="18"/>
          <w:i w:val="1"/>
          <w:iCs w:val="1"/>
          <w:color w:val="auto"/>
        </w:rPr>
        <w:t xml:space="preserve"> </w:t>
      </w:r>
      <w:r>
        <w:rPr>
          <w:rFonts w:ascii="Arial" w:cs="Arial" w:eastAsia="Arial" w:hAnsi="Arial"/>
          <w:sz w:val="18"/>
          <w:szCs w:val="18"/>
          <w:color w:val="auto"/>
        </w:rPr>
        <w:t>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may require the EPA to evaluate modeling data to determine attainment. The EPA notified states that their infrastructure SIPs for maintaining attainment of the standard were required to be submitted to the EPA for approval by June 2013. However, the State of Minnesota has delayed completing the documents pending receipt of EPA guidance to states for preparing the SIP submittal. Guidance was expected in 2013 and has been delayed.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late 2011, the MPCA initiated modeling activities that included approximately 65 sources within Minnesota that emit greater than 100 tons of SO</w:t>
      </w:r>
      <w:r>
        <w:rPr>
          <w:rFonts w:ascii="Arial" w:cs="Arial" w:eastAsia="Arial" w:hAnsi="Arial"/>
          <w:sz w:val="12"/>
          <w:szCs w:val="12"/>
          <w:color w:val="auto"/>
        </w:rPr>
        <w:t>2</w:t>
      </w:r>
      <w:r>
        <w:rPr>
          <w:rFonts w:ascii="Arial" w:cs="Arial" w:eastAsia="Arial" w:hAnsi="Arial"/>
          <w:sz w:val="18"/>
          <w:szCs w:val="18"/>
          <w:color w:val="auto"/>
        </w:rPr>
        <w:t xml:space="preserve"> per year. However, in April 2012, the MPCA notified Minnesota Power that such modeling had been suspended as a result of the EPA’s announcement that the June 2013 SIP submittals would no longer require modeling demonstrations for states, such as Minnesota, where ambient monitors indicate compliance with the new standard. The MPCA is awaiting updated EPA guidance and will communicate with affected sources once the MPCA has more information on how the state will meet the EPA’s SIP requirements. Currently, compliance with these new NAAQS is expected to be required as early as 2017. The costs for complying with the final standards cannot be estimated at this time.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President Obama’s Climate Action Plan. I</w:t>
      </w:r>
      <w:r>
        <w:rPr>
          <w:rFonts w:ascii="Arial" w:cs="Arial" w:eastAsia="Arial" w:hAnsi="Arial"/>
          <w:sz w:val="18"/>
          <w:szCs w:val="18"/>
          <w:color w:val="auto"/>
        </w:rPr>
        <w:t>n June 2013, President Obama announced a Climate Action Plan (CAP) that calls for implementation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 as further described below.</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proposed NSPS would have applied only to new or re-powered units. Based on the volume of comments received, the EPA announced its intent to re-propose the rule.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2013, the EPA retracted its March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 The EPA also reaffirmed its plans to propose NSPS or regulatory guidelines for existing fossil fuel-fired electric generating units by June 1, 2014, and to finalize such rules by June 1, 2015. The EPA is soliciting feedback as to the approaches the EPA should consider for regulation of CO</w:t>
      </w:r>
      <w:r>
        <w:rPr>
          <w:rFonts w:ascii="Arial" w:cs="Arial" w:eastAsia="Arial" w:hAnsi="Arial"/>
          <w:sz w:val="12"/>
          <w:szCs w:val="12"/>
          <w:color w:val="auto"/>
        </w:rPr>
        <w:t>2</w:t>
      </w:r>
      <w:r>
        <w:rPr>
          <w:rFonts w:ascii="Arial" w:cs="Arial" w:eastAsia="Arial" w:hAnsi="Arial"/>
          <w:sz w:val="18"/>
          <w:szCs w:val="18"/>
          <w:color w:val="auto"/>
        </w:rPr>
        <w:t xml:space="preserve"> under the NSPS provisions of the Clean Air Act. Under the CAP, an approach was described where the EPA will issue regulatory guidelines and objectives to the states, which in turn will submit SIPs for EPA approval that demonstrate how the state will meet or surpass achievement of the EPA targeted objectives. The CAP directs the EPA to require states to submit such SIPs by June 30, 2016.</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has already initiated several measures consistent with those called for under the CAP. Minnesota Power has also announced its “EnergyForward” strategic plan that provides for significant emission reductions and diversifying its electricity generation mix to include more renewable and natural gas energy.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Legal challenges have been filed with respect to the EPA’s regulation of GHG emissions, including the Tailoring Rule. In June 2012, the United States Court of Appeals for the District of Columbia Circuit upheld most of the EPA’s proposed regulations, including the Tailoring Rule criteria, finding that the Clean Air Act compels the EPA to regulate in the manner the EPA proposed. In October 2013, the Supreme Court granted review of the Circuit Court’s decision, with such review limited to the question of whether EPA’s regulation of GHGs under the PSD provisions of the Clean Air Act and the Tailoring Rule was permissible. The Supreme Court’s decision, which is expected in the second quarter of 2014, is not expected to affect EPA’s authority to regulate CO</w:t>
      </w:r>
      <w:r>
        <w:rPr>
          <w:rFonts w:ascii="Arial" w:cs="Arial" w:eastAsia="Arial" w:hAnsi="Arial"/>
          <w:sz w:val="11"/>
          <w:szCs w:val="11"/>
          <w:color w:val="auto"/>
        </w:rPr>
        <w:t>2</w:t>
      </w:r>
      <w:r>
        <w:rPr>
          <w:rFonts w:ascii="Arial" w:cs="Arial" w:eastAsia="Arial" w:hAnsi="Arial"/>
          <w:sz w:val="17"/>
          <w:szCs w:val="17"/>
          <w:color w:val="auto"/>
        </w:rPr>
        <w:t xml:space="preserve"> from fossil fuel-fired electric generating units under the NSPS provisions of the Clean Air Act, but may affect the timing of such regulations.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Minnesota’s Next Generation Energy Act of 2007. </w:t>
      </w:r>
      <w:r>
        <w:rPr>
          <w:rFonts w:ascii="Arial" w:cs="Arial" w:eastAsia="Arial" w:hAnsi="Arial"/>
          <w:sz w:val="17"/>
          <w:szCs w:val="17"/>
          <w:color w:val="auto"/>
        </w:rPr>
        <w:t>On April 14, 2014, a U.S. District Court for the District of Minnesota ruled that part of Minnesota’s Next</w:t>
      </w:r>
      <w:r>
        <w:rPr>
          <w:rFonts w:ascii="Arial" w:cs="Arial" w:eastAsia="Arial" w:hAnsi="Arial"/>
          <w:sz w:val="17"/>
          <w:szCs w:val="17"/>
          <w:i w:val="1"/>
          <w:iCs w:val="1"/>
          <w:color w:val="auto"/>
        </w:rPr>
        <w:t xml:space="preserve"> </w:t>
      </w:r>
      <w:r>
        <w:rPr>
          <w:rFonts w:ascii="Arial" w:cs="Arial" w:eastAsia="Arial" w:hAnsi="Arial"/>
          <w:sz w:val="17"/>
          <w:szCs w:val="17"/>
          <w:color w:val="auto"/>
        </w:rPr>
        <w:t>Generation Act of 2007 violated the Commerce Clause of the U.S. Constitution. The portions of the law which were ruled unconstitutional prohibited the importation of power from a new CO</w:t>
      </w:r>
      <w:r>
        <w:rPr>
          <w:rFonts w:ascii="Arial" w:cs="Arial" w:eastAsia="Arial" w:hAnsi="Arial"/>
          <w:sz w:val="11"/>
          <w:szCs w:val="11"/>
          <w:color w:val="auto"/>
        </w:rPr>
        <w:t>2</w:t>
      </w:r>
      <w:r>
        <w:rPr>
          <w:rFonts w:ascii="Arial" w:cs="Arial" w:eastAsia="Arial" w:hAnsi="Arial"/>
          <w:sz w:val="17"/>
          <w:szCs w:val="17"/>
          <w:color w:val="auto"/>
        </w:rPr>
        <w:t>-producing facility outside of Minnesota and prohibited the entry into new long-term power purchase agreements that would increase CO</w:t>
      </w:r>
      <w:r>
        <w:rPr>
          <w:rFonts w:ascii="Arial" w:cs="Arial" w:eastAsia="Arial" w:hAnsi="Arial"/>
          <w:sz w:val="11"/>
          <w:szCs w:val="11"/>
          <w:color w:val="auto"/>
        </w:rPr>
        <w:t>2</w:t>
      </w:r>
      <w:r>
        <w:rPr>
          <w:rFonts w:ascii="Arial" w:cs="Arial" w:eastAsia="Arial" w:hAnsi="Arial"/>
          <w:sz w:val="17"/>
          <w:szCs w:val="17"/>
          <w:color w:val="auto"/>
        </w:rPr>
        <w:t xml:space="preserve"> emissions in Minnesota. State officials have indicated that they will appeal the decision.</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and the EPA has announced its intention to issue the final rule by May 16, 2014. We are unable to predict the compliance costs we might incur under the final rule; however, the costs could be material. We would seek recovery of any additional costs through cost recovery riders or in a general rate case.</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Steam Electric Power Generating Effluent Guidelines. </w:t>
      </w:r>
      <w:r>
        <w:rPr>
          <w:rFonts w:ascii="Arial" w:cs="Arial" w:eastAsia="Arial" w:hAnsi="Arial"/>
          <w:sz w:val="17"/>
          <w:szCs w:val="17"/>
          <w:color w:val="auto"/>
        </w:rPr>
        <w:t>In April 2013, the EPA announced proposed revisions to the federal effluent guidelines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Instead of proposing a single rule, the EPA proposed eight “options,” of which four are “preferred”.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in June 2013, with public comments due in September 2013. The EPA has agreed to issue the final rule by September 30, 2015. Compliance with the final rule, as proposed,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generates coal ash at all five of its coal-fired electric generating facilities. Two facilities store ash in</w:t>
      </w:r>
      <w:r>
        <w:rPr>
          <w:rFonts w:ascii="Arial" w:cs="Arial" w:eastAsia="Arial" w:hAnsi="Arial"/>
          <w:sz w:val="17"/>
          <w:szCs w:val="17"/>
          <w:i w:val="1"/>
          <w:iCs w:val="1"/>
          <w:color w:val="auto"/>
        </w:rPr>
        <w:t xml:space="preserve"> </w:t>
      </w:r>
      <w:r>
        <w:rPr>
          <w:rFonts w:ascii="Arial" w:cs="Arial" w:eastAsia="Arial" w:hAnsi="Arial"/>
          <w:sz w:val="17"/>
          <w:szCs w:val="17"/>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The EPA has committed to determine whether or not a final rule will be issued under Subtitle D of Resource Conservation and Recovery Act (RCRA) (non-hazardous) or Subtitle C of RCRA (hazardous) by December 19, 2014, and may publish the final rule at that time, or announce its schedule for such publication. We are unable to predict the compliance costs we might incur; however, the costs could be material. We would seek recovery of any additional costs through cost recovery riders or in a general rate case.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March 31, 2014, BNI Coal had surety bonds outstanding of $29.9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$2.6 million to provide for BNI Coal’s total reclamation liability, which is currently estimated at $32.5 million. BNI Coal does not believe it is likely that any of these outstanding surety bonds or the letter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March 31, 2014,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$10.2 million primarily related to development and maintenance obligations for various projects. The estimated cost of the remaining development work is approximately $7.4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March 31, 2014, we owned 73 percent of the assessable land in the Town Center District (73 percent at December 31, 2013) and 93 percent of the assessable land in the Palm Coast Park District (93 percent at December 31, 2013). At these ownership levels, our annual assessments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In January 2014, ALLETE Clean Energy acquired three wind energy facilities–Lake Benton, Storm Lake and Condon–from AES.</w:t>
      </w:r>
      <w:r>
        <w:rPr>
          <w:rFonts w:ascii="Arial" w:cs="Arial" w:eastAsia="Arial" w:hAnsi="Arial"/>
          <w:sz w:val="16"/>
          <w:szCs w:val="16"/>
          <w:b w:val="1"/>
          <w:bCs w:val="1"/>
          <w:color w:val="auto"/>
        </w:rPr>
        <w:t xml:space="preserve"> </w:t>
      </w:r>
      <w:r>
        <w:rPr>
          <w:rFonts w:ascii="Arial" w:cs="Arial" w:eastAsia="Arial" w:hAnsi="Arial"/>
          <w:sz w:val="16"/>
          <w:szCs w:val="16"/>
          <w:color w:val="auto"/>
        </w:rPr>
        <w:t>All three wind energy facilities have PPAs in place for their entire output, which expire in various years between 2019 and 2032. (See Note 4. Acquisition.)</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Bonneville Power Administration (Bonneville). </w:t>
      </w:r>
      <w:r>
        <w:rPr>
          <w:rFonts w:ascii="Arial" w:cs="Arial" w:eastAsia="Arial" w:hAnsi="Arial"/>
          <w:sz w:val="18"/>
          <w:szCs w:val="18"/>
          <w:color w:val="auto"/>
        </w:rPr>
        <w:t>Condon has entered into a long-term PPA with Bonneville. Under this agreement, Bonneville has the right and</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to purchase the output of the facility through September 2022. The agreement contains a fixed price per MWh which is adjusted annually for inflation.</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Northern States Power Company (NSP). </w:t>
      </w:r>
      <w:r>
        <w:rPr>
          <w:rFonts w:ascii="Arial" w:cs="Arial" w:eastAsia="Arial" w:hAnsi="Arial"/>
          <w:sz w:val="17"/>
          <w:szCs w:val="17"/>
          <w:color w:val="auto"/>
        </w:rPr>
        <w:t>Lake Benton has entered into a long-term PPA with NSP where NSP purchases the output and capacity of the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June 2028. The agreement includes a fixed price per MWh, subject to a curtailment provision and scheduled price changes.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Interstate Power and Light Company (IPL). </w:t>
      </w:r>
      <w:r>
        <w:rPr>
          <w:rFonts w:ascii="Arial" w:cs="Arial" w:eastAsia="Arial" w:hAnsi="Arial"/>
          <w:sz w:val="17"/>
          <w:szCs w:val="17"/>
          <w:color w:val="auto"/>
        </w:rPr>
        <w:t>Storm Lake has entered into two long-term PPAs with IPL through April 2019 and June 2032,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these agreements, IPL purchases approximately 219,000 and 26,000 MWh of energy, respectively, which in the aggregate is the expected annual output of the facility. Both PPAs have fixed prices per MWh throughout the contract terms, subject to scheduled price changes.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15. COMMITMENTS, GUARANTEES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United Taconite Lawsuit. </w:t>
      </w:r>
      <w:r>
        <w:rPr>
          <w:rFonts w:ascii="Arial" w:cs="Arial" w:eastAsia="Arial" w:hAnsi="Arial"/>
          <w:sz w:val="18"/>
          <w:szCs w:val="18"/>
          <w:color w:val="auto"/>
        </w:rPr>
        <w:t>In January 2011, the Company was named as a defendant in a lawsuit in the Sixth Judicial District for the State of Minnesota by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 million in damages related to the fire. In response to a Motion for Summary Judgment by Minnesota Power, the Sixth Judicial District for the State of Minnesota dismissed all of plaintiffs’ claims in an August 2013 order. In October 2013, the plaintiffs’ appealed the decision to the Minnesota Court of Appeals. The Company has filed a response to the appeal and the appeal will be heard by the Minnesota Court of Appeals on May 21, 2014. As of March 31, 2014, a potential loss is not currently probable or reasonably estimable.</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Notice of Potential Clean Air Act Citizen Lawsuit. </w:t>
      </w:r>
      <w:r>
        <w:rPr>
          <w:rFonts w:ascii="Arial" w:cs="Arial" w:eastAsia="Arial" w:hAnsi="Arial"/>
          <w:sz w:val="17"/>
          <w:szCs w:val="17"/>
          <w:color w:val="auto"/>
        </w:rPr>
        <w:t>In July 2013, the Sierra Club submitted to Minnesota Power a notice of intent to file a citizen suit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Clean Air Act, which it supplemented in March 2014.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March 31, 2014, because a potential loss is not currently probable or reasonably estimable.</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We are involved in litigation arising in the normal course of business. Also in the normal course of business, we are involved in tax, regulatory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following discussion should be read in conjunction with our consolidated financial statements and notes to those statements, Management’s Discussion and Analysis of Financial Condition and Results of Operations from the 2013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headings: “Forward-Looking Statements” located on page 6 and “Risk Factors” located in Part I, Item 1A, beginning on page 28 of our 2013 Form 10</w:t>
      </w:r>
      <w:r>
        <w:rPr>
          <w:rFonts w:ascii="MS PGothic" w:cs="MS PGothic" w:eastAsia="MS PGothic" w:hAnsi="MS PGothic"/>
          <w:sz w:val="17"/>
          <w:szCs w:val="17"/>
          <w:color w:val="auto"/>
        </w:rPr>
        <w:t>‑</w:t>
      </w:r>
      <w:r>
        <w:rPr>
          <w:rFonts w:ascii="Arial" w:cs="Arial" w:eastAsia="Arial" w:hAnsi="Arial"/>
          <w:sz w:val="17"/>
          <w:szCs w:val="17"/>
          <w:color w:val="auto"/>
        </w:rPr>
        <w:t>K. The risks and uncertainties described in this Form 10-Q and our 2013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144,000 retail customers. Minnesota Power’s non-affiliated municipal customers consist of 16 municipalities in Minnesota. SWL&amp;P is also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and ALLETE Clean Energy, our business which acquired three wind energy facilities in January 2014, and is aimed at developing or acquiring capital projects that create energy solutions via wind, solar, biomass, midstream gas and oil infrastructure, among other energy-related projects. This segment also includes other business development and corporate expenditures, unallocated interest expense, a small amount of non-rate base generation, approximately 5,000 acres of land in Minnesota, and earnings on cash and investments.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OVERVIEW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2014,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quarter ended March 31, 2014, to the quarter ended March 31, 2013.</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income attributable to ALLETE for the quarter ended March 31, 2014, was $33.5 million, or $0.80 per diluted share, compared to $32.5 million, or $0.83 per diluted share, for the same period of 2013. Net income for 2014 included $1.4 million after-tax, or $0.03 per share, of acquisition costs for ALLETE Clean Energy’s wind energy facilities acquisition which closed on January 30, 2014 (see Note 4. Acquisitions). Net income for 2014 also reflected higher kWh sales, gas sales, cost recovery rider revenue and transmission margins, partially offset by higher operating and maintenance, depreciation and interest expenses. Earnings per share dilution was $0.06 due to additional shares of common stock outstanding as of March 31, 2014.</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$33.9 million for the quarter ended March 31, 2014, compared to $32.1 million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2013. Net income for 2014 reflected higher kWh sales, gas sales, cost recovery rider revenue and transmission margins, partially offset by higher operating and maintenance, depreciation and interest expenses.</w:t>
      </w:r>
    </w:p>
    <w:p>
      <w:pPr>
        <w:spacing w:after="0" w:line="17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net loss attributable to ALLETE was $0.4 million for the quarter ended March 31, 2014, compared to $0.4 million of net income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period of 2013. The net loss in 2014 included $1.4 million after-tax, or $0.03 per share, of acquisition costs for ALLETE Clean Energy’s wind energy facilities acquisition. Earnings from ALLETE Clean Energy’s wind energy facilities acquisition were partially offset by gains on sales of investments in 2013. ALLETE Properties recorded a net loss of $0.9 million for the quarter ended March 31, 2014 (net loss of $1.1 million for the quarter ended March 31, 2013). BNI Coal recorded net income of $1.5 million for the quarter ended March 31, 2014 ($1.5 million for the quarter ended March 31,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MARCH 31, 2014 AND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$22.8 million, or 9 percent, from 2013 primarily due to a 3.2 percent increase in kWh sales and higher gas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transmission revenue, fuel adjustment clause recoveries and cost recovery rider revenue.</w:t>
      </w:r>
    </w:p>
    <w:p>
      <w:pPr>
        <w:spacing w:after="0" w:line="170"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Revenue from Regulated Operations increased $12.3 million due to a 3.2 percent increase in kWh sales. Sales to our residential and commercial customers increased 12.4 percent and 4.8 percent, respectively, primarily due to unseasonably cold temperatures during the first quarter of 2014 compared to the same period in 2013. Heating degree days in Duluth, Minnesota were approximately 16 percent higher in 2014 than 2013. Sales to Other Power Suppliers are sold at market-based prices into the MISO market on a daily basis or through bilateral agreements of various durations, and were 18.4 percent higher in 2014 due to more energy available for sale. These increases were partially offset by decreased kWh sales to our industrial and municipal customers compared to 2013. Sales to our industrial customers were 1.6 percent lower as unseasonably cold temperatures during the first quarter of 2014 adversely affected our taconite customers. The decrease in sales to our municipal customers reflects a wholesale customer contract expiration effective December 31, 2013.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COMPARISON OF THE QUARTERS ENDED MARCH 31, 2014 AND 2013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36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Quarter Ended March 31,</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398</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354</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395</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377</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06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1,816</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1,845</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242</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274</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2,851</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2,850</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700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591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109</w:t>
            </w:r>
          </w:p>
        </w:tc>
        <w:tc>
          <w:tcPr>
            <w:tcW w:w="106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3,551</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3,441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taconite/iron concentrate customers accounted for 22 percent of consolidated operating revenue in 2014 (25 percent in 2013). Revenue from electric sales to paper and pulp mills accounted for 7 percent of consolidated operating revenue in 2014 (8 percent in 2013). Revenue from electric sales to pipelines and other industrials accounted for 6 percent of consolidated operating revenue in 2014 (6 percent in 2013).</w:t>
      </w:r>
    </w:p>
    <w:p>
      <w:pPr>
        <w:spacing w:after="0" w:line="14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Gas sales at SWL&amp;P increased $4.5 million from 2013 as a result of the unseasonably cold weather during the first quarter of 2014.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 Operating and Maintenance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Transmission revenue increased $3.1 million from 2013 primarily due to the April 2013 commencement of our transmission investment recovery related to the 230 kV transmission system upgrade (see </w:t>
      </w:r>
      <w:r>
        <w:rPr>
          <w:rFonts w:ascii="Arial" w:cs="Arial" w:eastAsia="Arial" w:hAnsi="Arial"/>
          <w:sz w:val="18"/>
          <w:szCs w:val="18"/>
          <w:i w:val="1"/>
          <w:iCs w:val="1"/>
          <w:color w:val="auto"/>
        </w:rPr>
        <w:t>Outlook – Industrial Customers – Nashwauk Public Utilities Commission</w:t>
      </w:r>
      <w:r>
        <w:rPr>
          <w:rFonts w:ascii="Arial" w:cs="Arial" w:eastAsia="Arial" w:hAnsi="Arial"/>
          <w:sz w:val="18"/>
          <w:szCs w:val="18"/>
          <w:color w:val="auto"/>
        </w:rPr>
        <w:t>) and higher MISO Regional Expansion Criteria and Benefits (RECB) revenue related to our investment in CapX2020.</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 xml:space="preserve">Fuel adjustment clause recoveries increased $1.9 million due to higher fuel and purchased power costs attributable to our retail and municipal customers. (See </w:t>
      </w:r>
      <w:r>
        <w:rPr>
          <w:rFonts w:ascii="Arial" w:cs="Arial" w:eastAsia="Arial" w:hAnsi="Arial"/>
          <w:sz w:val="18"/>
          <w:szCs w:val="18"/>
          <w:i w:val="1"/>
          <w:iCs w:val="1"/>
          <w:color w:val="auto"/>
        </w:rPr>
        <w:t>Operating Expenses</w:t>
      </w:r>
      <w:r>
        <w:rPr>
          <w:rFonts w:ascii="Arial" w:cs="Arial" w:eastAsia="Arial" w:hAnsi="Arial"/>
          <w:sz w:val="18"/>
          <w:szCs w:val="18"/>
          <w:color w:val="auto"/>
        </w:rPr>
        <w:t xml:space="preserve"> – </w:t>
      </w:r>
      <w:r>
        <w:rPr>
          <w:rFonts w:ascii="Arial" w:cs="Arial" w:eastAsia="Arial" w:hAnsi="Arial"/>
          <w:sz w:val="18"/>
          <w:szCs w:val="18"/>
          <w:i w:val="1"/>
          <w:iCs w:val="1"/>
          <w:color w:val="auto"/>
        </w:rPr>
        <w:t>Fuel and Purchased Power Expense.</w:t>
      </w:r>
      <w:r>
        <w:rPr>
          <w:rFonts w:ascii="Arial" w:cs="Arial" w:eastAsia="Arial" w:hAnsi="Arial"/>
          <w:sz w:val="18"/>
          <w:szCs w:val="18"/>
          <w:color w:val="auto"/>
        </w:rPr>
        <w:t>)</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$1.7 million primarily due to higher capital expenditures related to our Bison Wind Energy Center, CapX2020 projects and the Boswell Unit 4 environmental upgrade.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$19.7 million, or 10 percent, from 2013.</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increased $9.7 million, or 11 percent, from 2013 primarily due to higher kWh sales and higher purchased power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prices. Fuel and purchased power expense related to our retail and municipal customers is recovered through the fuel adjustment clause. </w:t>
      </w:r>
      <w:r>
        <w:rPr>
          <w:rFonts w:ascii="Arial" w:cs="Arial" w:eastAsia="Arial" w:hAnsi="Arial"/>
          <w:sz w:val="18"/>
          <w:szCs w:val="18"/>
          <w:i w:val="1"/>
          <w:iCs w:val="1"/>
          <w:color w:val="auto"/>
        </w:rPr>
        <w:t>(</w:t>
      </w:r>
      <w:r>
        <w:rPr>
          <w:rFonts w:ascii="Arial" w:cs="Arial" w:eastAsia="Arial" w:hAnsi="Arial"/>
          <w:sz w:val="18"/>
          <w:szCs w:val="18"/>
          <w:color w:val="auto"/>
        </w:rPr>
        <w:t xml:space="preserve">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Revenue.)</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$8.0 million, or 10 percent, from 2013 primarily due to higher purchased gas and transmission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Purchased gas expenses increased due to higher gas sales in 2014 as a result of the unseasonably cold temperatures during the first quarter of 2014; purchased gas costs are recovered from customers through a purchased gas adjustment clause (see </w:t>
      </w:r>
      <w:r>
        <w:rPr>
          <w:rFonts w:ascii="Arial" w:cs="Arial" w:eastAsia="Arial" w:hAnsi="Arial"/>
          <w:sz w:val="18"/>
          <w:szCs w:val="18"/>
          <w:i w:val="1"/>
          <w:iCs w:val="1"/>
          <w:color w:val="auto"/>
        </w:rPr>
        <w:t>Operating Revenue</w:t>
      </w:r>
      <w:r>
        <w:rPr>
          <w:rFonts w:ascii="Arial" w:cs="Arial" w:eastAsia="Arial" w:hAnsi="Arial"/>
          <w:sz w:val="18"/>
          <w:szCs w:val="18"/>
          <w:color w:val="auto"/>
        </w:rPr>
        <w:t>). Transmission expense increased primarily due to higher MISO RECB expense.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$2.0 million, or 7 percent, from 2013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$1.1 million, or 12 percent, from 2013 primarily due to higher pretax income in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$9.9 million, from 2013 primarily due to a $7.1 million increase in revenue generated at ALLETE Clean Energy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acquisition of three wind energy facilities on January 30, 2014. Also contributing to the increase was a $1.4 million increase in revenue at BNI Coal. BNI Coal, which operates under a cost plus fixed fee contract, recorded higher revenue primarily as a result of higher expenses in 2014. (See </w:t>
      </w:r>
      <w:r>
        <w:rPr>
          <w:rFonts w:ascii="Arial" w:cs="Arial" w:eastAsia="Arial" w:hAnsi="Arial"/>
          <w:sz w:val="18"/>
          <w:szCs w:val="18"/>
          <w:i w:val="1"/>
          <w:iCs w:val="1"/>
          <w:color w:val="auto"/>
        </w:rPr>
        <w:t>Operating</w:t>
      </w:r>
      <w:r>
        <w:rPr>
          <w:rFonts w:ascii="Arial" w:cs="Arial" w:eastAsia="Arial" w:hAnsi="Arial"/>
          <w:sz w:val="18"/>
          <w:szCs w:val="18"/>
          <w:color w:val="auto"/>
        </w:rPr>
        <w:t xml:space="preserve"> </w:t>
      </w:r>
      <w:r>
        <w:rPr>
          <w:rFonts w:ascii="Arial" w:cs="Arial" w:eastAsia="Arial" w:hAnsi="Arial"/>
          <w:sz w:val="18"/>
          <w:szCs w:val="18"/>
          <w:i w:val="1"/>
          <w:iCs w:val="1"/>
          <w:color w:val="auto"/>
        </w:rPr>
        <w:t>Expense</w:t>
      </w:r>
      <w:r>
        <w:rPr>
          <w:rFonts w:ascii="Arial" w:cs="Arial" w:eastAsia="Arial" w:hAnsi="Arial"/>
          <w:sz w:val="18"/>
          <w:szCs w:val="18"/>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THE QUARTERS ENDED MARCH 31, 2014 AND 2013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increased $9.1 million, from 2013 primarily due to higher operating and depreciation expenses of $6.1 million as a result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ALLETE Clean Energy wind energy facilities acquisition on January 30, 2014. Also contributing to the increase were higher expenses of $0.9 million at BNI Coal primarily due to higher fuel costs and repair expenses, which are recovered through the cost-plus contract. (See </w:t>
      </w:r>
      <w:r>
        <w:rPr>
          <w:rFonts w:ascii="Arial" w:cs="Arial" w:eastAsia="Arial" w:hAnsi="Arial"/>
          <w:sz w:val="16"/>
          <w:szCs w:val="16"/>
          <w:i w:val="1"/>
          <w:iCs w:val="1"/>
          <w:color w:val="auto"/>
        </w:rPr>
        <w:t>Operating Revenue</w:t>
      </w:r>
      <w:r>
        <w:rPr>
          <w:rFonts w:ascii="Arial" w:cs="Arial" w:eastAsia="Arial" w:hAnsi="Arial"/>
          <w:sz w:val="16"/>
          <w:szCs w:val="16"/>
          <w:color w:val="auto"/>
        </w:rPr>
        <w: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$1.4 million primarily due to gains on sales of investments in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the quarter ended March 31, 2014, the effective tax rate was 20.7 percent (18.8 percent for the quarter ended March 31, 2013). The effective tax rate deviated from the statutory rate of approximately 41 percent primarily due to deductions for AFUDC–Equity, investment tax credits, production tax credits and depletion. (See Note 11. Income Tax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2013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2013 Form 10-K.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a key long-term objective of achieving minimum average earnings per share growth of 5 percent per year (using 2010 as a base year) and maintaining a competitive dividend payout. To accomplish this, Minnesota Power will continue to pursue customer growth opportunities and cost recovery rider approval for environmental, renewable and transmission investments, as well as work with legislators and regulators to earn a fair rate of return. In addition, ALLETE expects to pursue new energy-centric initiatives that provide long-term earnings growth potential and balance our exposure to global business cycles and changing demand. The new energy-centric pursuits will be in renewable energy, energy transmission and other energy-related infrastructure or infrastructure services.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believe that, over the long-term, less carbon intensive and more sustainable energy sources will play an increasingly important role in our nation’s energy mix. Minnesota Power has developed renewable resources which will be used to meet regulated renewable supply requirements and is adding another 205 MW at the Bison Wind Energy Center (see Regulated Operations – </w:t>
      </w:r>
      <w:r>
        <w:rPr>
          <w:rFonts w:ascii="Arial" w:cs="Arial" w:eastAsia="Arial" w:hAnsi="Arial"/>
          <w:sz w:val="17"/>
          <w:szCs w:val="17"/>
          <w:i w:val="1"/>
          <w:iCs w:val="1"/>
          <w:color w:val="auto"/>
        </w:rPr>
        <w:t>Renewable Energy</w:t>
      </w:r>
      <w:r>
        <w:rPr>
          <w:rFonts w:ascii="Arial" w:cs="Arial" w:eastAsia="Arial" w:hAnsi="Arial"/>
          <w:sz w:val="17"/>
          <w:szCs w:val="17"/>
          <w:color w:val="auto"/>
        </w:rPr>
        <w:t>). In addition, in 2011, we established ALLETE Clean Energy, a wholly-owned subsidiary of ALLETE. ALLETE Clean Energy operates independently of Minnesota Power to develop or acquire capital projects aimed at creating energy solutions via wind, solar, biomass, midstream gas and oil infrastructure, among other energy-related projects. In January 2014, ALLETE Clean Energy acquired three wind energy facilities with existing long-term PPAs. ALLETE Clean Energy intends to market to electric utilities, cooperatives, municipalities, independent power marketers and large end-users across North America through long-term contracts or other sale arrangements, and will be subject to applicable state and federal regulatory approvals.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plan to make investments in transmission opportunities that strengthen or enhance the transmission grid or take advantage of our geographical location between sources of renewable energy and end users. This includes the GNTL, the CapX2020 initiative, investments to enhance our own transmission facilities, investments in other transmission assets (individually or in combination with others), and our investment in ATC. Transmission investments could be made by Minnesota Power or a subsidiary of ALLETE. (See Regulated Operations –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North American energy trends continue to evolve, and may be impacted by emerging technological, environmental, and demand changes. We believe this may create opportunity, and we are exploring investing in other energy-centric businesses related to energy infrastructure and infrastructure services. Our investment criteria focuses on investments with recurring or contractual revenues, differentiated offerings and reasonable barriers to entry. In addition, investments would typically support ALLETE’s investment grade credit metrics and dividend policy.</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requirements.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(see Regulated Operations –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legislators and regulators to earn a fair rate of return. We project that our Regulated Operations will not earn its allowed rate of return in 2014.</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Regulatory Matters. </w:t>
      </w:r>
      <w:r>
        <w:rPr>
          <w:rFonts w:ascii="Arial" w:cs="Arial" w:eastAsia="Arial" w:hAnsi="Arial"/>
          <w:sz w:val="17"/>
          <w:szCs w:val="17"/>
          <w:color w:val="auto"/>
        </w:rPr>
        <w:t>Entities within our Regulated Operations segment are under the jurisdiction of the MPUC, the FERC, or the PSCW. See Note 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our Minnesota, FERC, and Wisconsin jurisdictions.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Minnesota Public Utilities Commission. </w:t>
      </w:r>
      <w:r>
        <w:rPr>
          <w:rFonts w:ascii="Arial" w:cs="Arial" w:eastAsia="Arial" w:hAnsi="Arial"/>
          <w:sz w:val="18"/>
          <w:szCs w:val="18"/>
          <w:color w:val="auto"/>
        </w:rPr>
        <w:t>The MPUC has regulatory authority over Minnesota Power’s service area in Minnesota, retail rates, retail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structure, issuance of securities and other matters.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Cost Recovery Rider. </w:t>
      </w:r>
      <w:r>
        <w:rPr>
          <w:rFonts w:ascii="Arial" w:cs="Arial" w:eastAsia="Arial" w:hAnsi="Arial"/>
          <w:sz w:val="18"/>
          <w:szCs w:val="18"/>
          <w:color w:val="auto"/>
        </w:rPr>
        <w:t>Minnesota Power has an approved cost recovery rider in place for certain transmission investments and expenditures. On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12, 2013, the MPUC approved Minnesota Power’s updated billing factor which allows Minnesota Power to charge retail customers on a current basis for the costs of constructing certain transmission facilities plus a return on the capital invested. We filed a petition on April 24, 2014, to include additional transmission investments and expenditures in customer billing rates.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Federal Energy Regulatory Commission. </w:t>
      </w:r>
      <w:r>
        <w:rPr>
          <w:rFonts w:ascii="Arial" w:cs="Arial" w:eastAsia="Arial" w:hAnsi="Arial"/>
          <w:sz w:val="17"/>
          <w:szCs w:val="17"/>
          <w:color w:val="auto"/>
        </w:rPr>
        <w:t>Minnesota Power’s non-affiliated municipal customers consist of 16 municipalities in Minnesota. SWL&amp;P, a</w:t>
      </w:r>
      <w:r>
        <w:rPr>
          <w:rFonts w:ascii="Arial" w:cs="Arial" w:eastAsia="Arial" w:hAnsi="Arial"/>
          <w:sz w:val="17"/>
          <w:szCs w:val="17"/>
          <w:i w:val="1"/>
          <w:iCs w:val="1"/>
          <w:color w:val="auto"/>
        </w:rPr>
        <w:t xml:space="preserve"> </w:t>
      </w:r>
      <w:r>
        <w:rPr>
          <w:rFonts w:ascii="Arial" w:cs="Arial" w:eastAsia="Arial" w:hAnsi="Arial"/>
          <w:sz w:val="17"/>
          <w:szCs w:val="17"/>
          <w:color w:val="auto"/>
        </w:rPr>
        <w:t>wholly-owned subsidiary of ALLETE and a Wisconsin utility, is also a customer of Minnesota Power. In April 2014, Minnesota Power amended its formula-based wholesale electric sales agreement with the Nashwauk Public Utilities Commission, extending the term through June 30, 2026. The electric service agreements with the remaining 15 Minnesota municipal customers and SWL&amp;P are effective through June 30, 2019. The rates included in these agreements are set each July 1 based on a cost-based formula methodology,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Nashwauk Public Utilities Commission agreement, no termination notice may be given prior to July 1, 2023. Under the agreements with the remaining 15 municipal customers and SWL&amp;P, no termination notices may be given prior to June 30, 2016.</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wood products, and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Approximately 51 percent of our Regulated Utility kWh sales in the quarter ended March 31, 2014 (54 percent in the quarter ended March 31, 2013) were made to our industrial customers in these industries.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There has been a general historical correlation between U.S. steel production and Minnesota taconite production. The World Steel Association, an association of approximately 170 steel producers, national and regional steel industry associations, and steel research institutes representing around 85 percent of world steel production, projected U.S. steel consumption in 2014 will be similar to 2013. The American Iron and Steel Institute (AISI), an association of North American steel producers, reported that U.S. raw steel production operated at approximately 77 percent of capacity during the first quarter of 2014, compared to 77 percent in 2013. Based on these projections, 2014 taconite production levels in Minnesota are expected to be similar to 2013.</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Prospective Additional Load. </w:t>
      </w:r>
      <w:r>
        <w:rPr>
          <w:rFonts w:ascii="Arial" w:cs="Arial" w:eastAsia="Arial" w:hAnsi="Arial"/>
          <w:sz w:val="16"/>
          <w:szCs w:val="16"/>
          <w:color w:val="auto"/>
        </w:rPr>
        <w:t>Minnesota Power is pursuing new wholesale and retail loads in and around its service territory. Currently, several companies in</w:t>
      </w:r>
      <w:r>
        <w:rPr>
          <w:rFonts w:ascii="Arial" w:cs="Arial" w:eastAsia="Arial" w:hAnsi="Arial"/>
          <w:sz w:val="16"/>
          <w:szCs w:val="16"/>
          <w:i w:val="1"/>
          <w:iCs w:val="1"/>
          <w:color w:val="auto"/>
        </w:rPr>
        <w:t xml:space="preserve"> </w:t>
      </w:r>
      <w:r>
        <w:rPr>
          <w:rFonts w:ascii="Arial" w:cs="Arial" w:eastAsia="Arial" w:hAnsi="Arial"/>
          <w:sz w:val="16"/>
          <w:szCs w:val="16"/>
          <w:color w:val="auto"/>
        </w:rPr>
        <w:t>northeastern Minnesota continue to progress in the development of natural resource based projects that represent long-term growth potential and load diversity for Minnesota Power. These potential projects are in the ferrous and non-ferrous mining and steel industries and include Essar Steel Minnesota LLC (Essar), PolyMet, Mesabi Nugget Delaware, LLC, USS Corporation’s Keewatin taconite expansion and Magnetation, LLC. We cannot predict the outcome of these projects, but if these projects are constructed, Minnesota Power could serve up to approximately 500 MW of new retail or wholesale load.</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Nashwauk Public Utilities Commission. </w:t>
      </w:r>
      <w:r>
        <w:rPr>
          <w:rFonts w:ascii="Arial" w:cs="Arial" w:eastAsia="Arial" w:hAnsi="Arial"/>
          <w:sz w:val="18"/>
          <w:szCs w:val="18"/>
          <w:color w:val="auto"/>
        </w:rPr>
        <w:t>In April 2014, the Company amended its formula-based wholesale electric sales agreement with the Nashwauk</w:t>
      </w:r>
      <w:r>
        <w:rPr>
          <w:rFonts w:ascii="Arial" w:cs="Arial" w:eastAsia="Arial" w:hAnsi="Arial"/>
          <w:sz w:val="18"/>
          <w:szCs w:val="18"/>
          <w:i w:val="1"/>
          <w:iCs w:val="1"/>
          <w:color w:val="auto"/>
        </w:rPr>
        <w:t xml:space="preserve"> </w:t>
      </w:r>
      <w:r>
        <w:rPr>
          <w:rFonts w:ascii="Arial" w:cs="Arial" w:eastAsia="Arial" w:hAnsi="Arial"/>
          <w:sz w:val="18"/>
          <w:szCs w:val="18"/>
          <w:color w:val="auto"/>
        </w:rPr>
        <w:t>Public Utilities Commission for all of its electric service requirements, extending the term through June 30, 2026. A new Essar taconite facility is currently under construction in the City of Nashwauk, and the Nashwauk Public Utilities Commission also amended and extended its electric service agreement with Essar. Upon completion, this facility will result in approximately 110 MW of additional load for Minnesota Power. In April 2014, Essar updated its plans for start-up of the new facility, now indicating that initial commissioning is expected to begin in the second quarter of 2015, transitioning to full production capacity levels by the first quarter of 2016. Expansions for additional pellet production, production of direct reduced iron and production of steel slabs are also being considered by Essar for future years.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PolyMet</w:t>
      </w:r>
      <w:r>
        <w:rPr>
          <w:rFonts w:ascii="Arial" w:cs="Arial" w:eastAsia="Arial" w:hAnsi="Arial"/>
          <w:sz w:val="17"/>
          <w:szCs w:val="17"/>
          <w:color w:val="auto"/>
        </w:rPr>
        <w:t>. Minnesota Power has executed a long-term contract with PolyMet, a new industrial customer planning to start a copper-nickel and precious metal</w:t>
      </w:r>
      <w:r>
        <w:rPr>
          <w:rFonts w:ascii="Arial" w:cs="Arial" w:eastAsia="Arial" w:hAnsi="Arial"/>
          <w:sz w:val="17"/>
          <w:szCs w:val="17"/>
          <w:i w:val="1"/>
          <w:iCs w:val="1"/>
          <w:color w:val="auto"/>
        </w:rPr>
        <w:t xml:space="preserve"> </w:t>
      </w:r>
      <w:r>
        <w:rPr>
          <w:rFonts w:ascii="Arial" w:cs="Arial" w:eastAsia="Arial" w:hAnsi="Arial"/>
          <w:sz w:val="17"/>
          <w:szCs w:val="17"/>
          <w:color w:val="auto"/>
        </w:rPr>
        <w:t>(non-ferrous) mining operation in northeastern Minnesota. PolyMet began work on a Supplemental Draft Environmental Impact Statement (SDEIS) in 2010. The SDEIS addressed environmental issues, including those dealing with the land exchange between PolyMet and the U.S. Forest Service (USFS), which is critical to the mine site development. In December 2013, the Minnesota DNR released PolyMet’s SDEIS. A 90-day comment period ended March 13, 2014. Assuming successful completion of the SDEIS process, permits could be issued during the latter part of 2014. Construction could commence immediately upon issuance of permits and Minnesota Power could begin to supply between 45 MW and 50 MW of load initially as early as 2016 through a 10-year power supply contract period that would begin upon start-up of the mining operations.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Magnetation. </w:t>
      </w:r>
      <w:r>
        <w:rPr>
          <w:rFonts w:ascii="Arial" w:cs="Arial" w:eastAsia="Arial" w:hAnsi="Arial"/>
          <w:sz w:val="17"/>
          <w:szCs w:val="17"/>
          <w:color w:val="auto"/>
        </w:rPr>
        <w:t>Magnetation produces iron ore concentrate from low-grade natural ore tailing basins, already mined stockpiles and newly mined iron</w:t>
      </w:r>
      <w:r>
        <w:rPr>
          <w:rFonts w:ascii="Arial" w:cs="Arial" w:eastAsia="Arial" w:hAnsi="Arial"/>
          <w:sz w:val="17"/>
          <w:szCs w:val="17"/>
          <w:i w:val="1"/>
          <w:iCs w:val="1"/>
          <w:color w:val="auto"/>
        </w:rPr>
        <w:t xml:space="preserve"> </w:t>
      </w:r>
      <w:r>
        <w:rPr>
          <w:rFonts w:ascii="Arial" w:cs="Arial" w:eastAsia="Arial" w:hAnsi="Arial"/>
          <w:sz w:val="17"/>
          <w:szCs w:val="17"/>
          <w:color w:val="auto"/>
        </w:rPr>
        <w:t>formations. Magnetation’s facility near Taconite, Minnesota is fully operational. Construction is underway at their newest concentrate facility near Coleraine, Minnesota, with production expected to commence by the end of 2014. On January 27, 2014, Minnesota Power and Magnetation entered into a new ten-year electric service agreement, which was subsequently approved by the MPUC on May 1, 2014, for its facility near Coleraine, Minnesota. This agreement will be effective June 1, 2014 through at least December 31, 2025. In addition, a transmission service extension is required to be constructed by Minnesota Power and is expected to be complete in the fourth quarter of 2014. Minnesota Power expects to supply approximately 20 MW of power to this new facility, making it a Large Power Customer of Minnesota Power. The new facility is expected to supply iron ore concentrate to Magnetation’s new pellet plant that is under construction in Reynolds, Indiana. The Reynolds pellet plant is expected to come on line in the second half of 2014 and will produce about 3 million tons of taconite pellets annually for AK Steel.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January 2013, Minnesota Power announced “EnergyForward”,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improving environmental performance. The plan includes completed and planned investments in wind and hydroelectric power, the addition of natural gas as a generation fuel source, and the installation of emissions control technology. Significant elements of the “EnergyForward” plan include:</w:t>
      </w:r>
    </w:p>
    <w:p>
      <w:pPr>
        <w:spacing w:after="0" w:line="166"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Our Bison Wind Energy Center has 292 MW of nameplate capacity with an additional 205 MW under construction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Planned installation of approximately $310 million in emissions control technology at our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in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Retiring Taconite Harbor Unit 3, one of three coal-fired units at Taconite Harbor, in 2015.</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“EnergyForward” initiatives were included in Minnesota Power’s 2013 Integrated Resource Plan, which was approved by the MPUC in an order dated November 12, 2013. (See </w:t>
      </w:r>
      <w:r>
        <w:rPr>
          <w:rFonts w:ascii="Arial" w:cs="Arial" w:eastAsia="Arial" w:hAnsi="Arial"/>
          <w:sz w:val="18"/>
          <w:szCs w:val="18"/>
          <w:i w:val="1"/>
          <w:iCs w:val="1"/>
          <w:color w:val="auto"/>
        </w:rPr>
        <w:t>Integrated Resource Plan</w:t>
      </w:r>
      <w:r>
        <w:rPr>
          <w:rFonts w:ascii="Arial" w:cs="Arial" w:eastAsia="Arial" w:hAnsi="Arial"/>
          <w:sz w:val="18"/>
          <w:szCs w:val="18"/>
          <w:color w:val="auto"/>
        </w:rPr>
        <w: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 comply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Minnesota Mercury Emissions Reduction Act and the Federal MATS rule. In August 2012, Minnesota Power filed its mercury emissions reduction plan for Boswell Unit 4 with the MPUC and the MPCA. The plan proposes that Minnesota Power install pollution controls by early 2016 to address both the Minnesota mercury emissions reduction requirements and the Federal MATS rule. Costs to implement the Boswell Unit 4 mercury emissions reduction plan are included in the estimated capital expenditures required for compliance with the MATS rule and are estimated to be approximately $310 million, of which $77.0 million was spent through March 31, 2014. On November 5, 2013, the MPUC issued an order approving the Boswell Unit 4 mercury emissions reduction plan and cost recovery, establishing an environmental improvement rider. On November 25, 2013, environmental intervenors filed a petition for reconsideration with the MPUC which was subsequently denied in an order dated January 17, 2014. On December 20, 2013, Minnesota Power filed a petition with the MPUC to establish customer billing rates for the approved environmental improvement rider based on actual and estimated investments and expenditures, which is expected to be approved in mid-2014.</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Renewable Energy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February 2007, Minnesota enacted a law requiring 25 percent of Minnesota Power’s total retail and municipal energy sales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Minnesota to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2013 Integrated Resource Plan. Minnesota Power’s 2013 Integrated Resource Plan, which was approved by the MPUC in an order dated November 12, 2013, included an update on its plans and progress in meeting the Minnesota renewable energy milestones through 2025. (See </w:t>
      </w:r>
      <w:r>
        <w:rPr>
          <w:rFonts w:ascii="Arial" w:cs="Arial" w:eastAsia="Arial" w:hAnsi="Arial"/>
          <w:sz w:val="18"/>
          <w:szCs w:val="18"/>
          <w:i w:val="1"/>
          <w:iCs w:val="1"/>
          <w:color w:val="auto"/>
        </w:rPr>
        <w:t>EnergyForward</w:t>
      </w:r>
      <w:r>
        <w:rPr>
          <w:rFonts w:ascii="Arial" w:cs="Arial" w:eastAsia="Arial" w:hAnsi="Arial"/>
          <w:sz w:val="18"/>
          <w:szCs w:val="18"/>
          <w:color w:val="auto"/>
        </w:rPr>
        <w: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we meet the identified state mandate at the lowest cost for customers. We expect 19 percent of the Company’s total retail and municipal energy sales will be supplied by renewable energy sources in 2014.</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Wind Energy. </w:t>
      </w:r>
      <w:r>
        <w:rPr>
          <w:rFonts w:ascii="Arial" w:cs="Arial" w:eastAsia="Arial" w:hAnsi="Arial"/>
          <w:sz w:val="16"/>
          <w:szCs w:val="16"/>
          <w:color w:val="auto"/>
        </w:rPr>
        <w:t>Our wind energy facilities consist of the 292 MW Bison Wind Energy Center located in North Dakota and the 25 MW Taconite Ridge Energy</w:t>
      </w:r>
      <w:r>
        <w:rPr>
          <w:rFonts w:ascii="Arial" w:cs="Arial" w:eastAsia="Arial" w:hAnsi="Arial"/>
          <w:sz w:val="16"/>
          <w:szCs w:val="16"/>
          <w:i w:val="1"/>
          <w:iCs w:val="1"/>
          <w:color w:val="auto"/>
        </w:rPr>
        <w:t xml:space="preserve"> </w:t>
      </w:r>
      <w:r>
        <w:rPr>
          <w:rFonts w:ascii="Arial" w:cs="Arial" w:eastAsia="Arial" w:hAnsi="Arial"/>
          <w:sz w:val="16"/>
          <w:szCs w:val="16"/>
          <w:color w:val="auto"/>
        </w:rPr>
        <w:t>Center located in northeastern Minnesota. We also have two long-term wind PPAs with an affiliate of NextEra Energy, Inc. to purchase the output from Oliver Wind I (50 MW) and Oliver Wind II (48 MW) located in North Dakota. We have also commenced construction of Bison 4, a 205 MW wind project in North Dakota, which is an addition to our Bison Wind Energy Center. The total project investment for Bison 4 is estimated to be approximately $345 million, of which $187.1 million was spent through March 31, 2014. The Bison 4 wind project is expected to be completed by the end of 2014.</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billing rates for our Bison Wind Energy Center were approved by the MPUC in an order dated December 3, 2013. On January 17, 2014, the MPUC approved Minnesota Power’s petition seeking cost recovery for investments and expenditures related to Bison 4. We included Bison 4 as part of our renewable resources rider factor filing along with the Company’s other renewable projects in a filing on April 29, 2014, which, upon approval, will authorize updated rates to be included on customer bills.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 The DC transmission line capacity can be increased if renewable energy or transmission needs justify investments to upgrade the line.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Minnesota Power has a long-term PPA with Manitoba Hydro that expires in May 2015.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2011, Minnesota Power and Manitoba Hydro signed an additional long-term PPA. The PPA provides for Manitoba Hydro to sell 250 MW of capacity and energy to Minnesota Power for 15 years beginning in 2020. The agreement is subject to construction of additional transmission capacity between Manitoba and the U.S., along with construction of new hydroelectric generating capacity in Manitoba.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(See </w:t>
      </w:r>
      <w:r>
        <w:rPr>
          <w:rFonts w:ascii="Arial" w:cs="Arial" w:eastAsia="Arial" w:hAnsi="Arial"/>
          <w:sz w:val="17"/>
          <w:szCs w:val="17"/>
          <w:i w:val="1"/>
          <w:iCs w:val="1"/>
          <w:color w:val="auto"/>
        </w:rPr>
        <w:t>Transmission</w:t>
      </w:r>
      <w:r>
        <w:rPr>
          <w:rFonts w:ascii="Arial" w:cs="Arial" w:eastAsia="Arial" w:hAnsi="Arial"/>
          <w:sz w:val="17"/>
          <w:szCs w:val="17"/>
          <w:color w:val="auto"/>
        </w:rPr>
        <w:t>.)</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Hydro Operations. </w:t>
      </w:r>
      <w:r>
        <w:rPr>
          <w:rFonts w:ascii="Arial" w:cs="Arial" w:eastAsia="Arial" w:hAnsi="Arial"/>
          <w:sz w:val="16"/>
          <w:szCs w:val="16"/>
          <w:color w:val="auto"/>
        </w:rPr>
        <w:t>In June 2012, record rainfall and flooding occurred near Duluth, Minnesota and surrounding areas. The flooding impacted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Power’s St. Louis River hydro system, particularly the Thomson Energy Center (Thomson), which had damage to the forebay canal and flooding at the facility. Minnesota Power worked closely with the appropriate regulatory bodies which oversee the hydro system operations, including dams and reservoirs, to restore the Thomson facility and to rebuild the forebay embankment. Minnesota Power continues restoration and upgrade work at the Thomson facility and completed rebuilding the forebay embankment. Minnesota Power anticipates partial generation at the Thomson Energy Center in the second quarter of 2014. Work is ongoing toward returning to full generation late in 2014 and improving the spillway capacity at the Thomson dam in 2015. Total project costs are estimated to be approximately $90 million, of which $66.4 million was spent through March 31, 2014. A request seeking cost recovery of capital expenditures related to the restoration and repair of the Thomson facility through a renewable resources rider is expected to be filed with the MPUC in 2014.</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Minnesota Solar Mandate. </w:t>
      </w:r>
      <w:r>
        <w:rPr>
          <w:rFonts w:ascii="Arial" w:cs="Arial" w:eastAsia="Arial" w:hAnsi="Arial"/>
          <w:sz w:val="16"/>
          <w:szCs w:val="16"/>
          <w:color w:val="auto"/>
        </w:rPr>
        <w:t>In May 2013, legislation was enacted by the state of Minnesota requiring at least 1.5 percent of total retail electric sales,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sales to certain industrial customers, to be generated by solar energy by the end of 2020. At least ten percent of the 1.5 percent mandate must be met by solar energy generated by or procured from solar photovoltaic devices with a nameplate capacity of 20 kilowatts or less. Minnesota Power is in the process of evaluating the potential impact of this legislation on our operations; however, any investment is expected to be recovered in customer rates.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Integrated Resource Plan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 order dated November 12, 2013, the MPUC approved Minnesota Power’s 2013 Integrated Resource Plan which details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“EnergyForward” strategic plan (see </w:t>
      </w:r>
      <w:r>
        <w:rPr>
          <w:rFonts w:ascii="Arial" w:cs="Arial" w:eastAsia="Arial" w:hAnsi="Arial"/>
          <w:sz w:val="18"/>
          <w:szCs w:val="18"/>
          <w:i w:val="1"/>
          <w:iCs w:val="1"/>
          <w:color w:val="auto"/>
        </w:rPr>
        <w:t>EnergyForward</w:t>
      </w:r>
      <w:r>
        <w:rPr>
          <w:rFonts w:ascii="Arial" w:cs="Arial" w:eastAsia="Arial" w:hAnsi="Arial"/>
          <w:sz w:val="18"/>
          <w:szCs w:val="18"/>
          <w:color w:val="auto"/>
        </w:rPr>
        <w:t>), and includes an analysis of a variety of existing and future energy resource alternatives and a projection of customer cost impact by class.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Transmission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plan to make investments in transmission opportunities that strengthen or enhance the transmission grid or take advantage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is currently participating in the construction of one CapX2020 transmission line project. Minnesota Power also participated in two CapX2020 projects which were previously completed and placed into service in 2011 and 2012. In June 2011, the MPUC approved the route permit for the Minnesota portion of the Fargo to St. Cloud project, which is currently under construction and expected to be in service by 2015. The North Dakota permitting process was completed in August 2012.</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projected costs of the three transmission line projects and the allocation agreements among participating utilities, in total, Minnesota Power plans to invest between $100 million and $110 million in the CapX2020 initiative through 2015, of which $85.7 million was spent through March 31, 2014. As future CapX2020 projects are identified, Minnesota Power may elect to participate on a project-by-project basis.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GNTL is subject to various federal and state regulatory approvals. Before a large energy facility can be sited or constructed in Minnesota, the MPUC requires a Certificate of Need, which was filed in October 2013. In an order dated January 8, 2014, the MPUC determined the Certificate of Need application was complete and referred the docket to an administrative law judge for a contested case proceeding. On April 15, 2014, Minnesota Power filed a route permit application with the MPUC and a request for a presidential permit to cross the U.S.-Canadian border with the U.S. Department of Energy. Manitoba Hydro must also obtain regulatory and governmental approvals related to new transmission lines and hydroelectric generation development in Canada. Upon receipt of all applicable permits and approvals, construction is anticipated to begin in 2016, and to be completed in 2020. Total project cost in the U.S., including substation work, is estimated to be between $500 million and $650 million, depending on the final route of the line. Minnesota Power will have majority ownership of the transmission line.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March 31, 2014, our equity investment in ATC was $116.6 million, representing an approximate 8 percent ownership interest. ATC</w:t>
      </w:r>
      <w:r>
        <w:rPr>
          <w:rFonts w:ascii="Arial" w:cs="Arial" w:eastAsia="Arial" w:hAnsi="Arial"/>
          <w:sz w:val="18"/>
          <w:szCs w:val="18"/>
          <w:i w:val="1"/>
          <w:iCs w:val="1"/>
          <w:color w:val="auto"/>
        </w:rPr>
        <w:t xml:space="preserve"> </w:t>
      </w:r>
      <w:r>
        <w:rPr>
          <w:rFonts w:ascii="Arial" w:cs="Arial" w:eastAsia="Arial" w:hAnsi="Arial"/>
          <w:sz w:val="18"/>
          <w:szCs w:val="18"/>
          <w:color w:val="auto"/>
        </w:rPr>
        <w:t>rates are based on a FERC approved 12.2 percent return on common equity dedicated to utility plant. In September 2013, ATC updated its 10-year transmission assessment covering the years 2013 through 2022 which identifies a need for between $3.0 and $3.6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 In the first three months of 2014, we invested $1.2 million in ATC, and on April 29, 2014, we invested an additional $1.2 million. We expect to make additional investments of approximately $3.4 million in 2014. (See Note 8. Investment in ATC.)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4.5 million tons of coal in 2014 (3.7 million tons were sold in 2013) and has sold 1.1 million tons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March 31, 2014 (1.1 million tons were sold as of March 31, 2013). BNI Coal operates under cost plus fixed fee agreements extending to May 1, 2027. On April 22, 2014, BNI Coal extended these agreements through December 31, 2037.</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ALLETE Properties. </w:t>
      </w:r>
      <w:r>
        <w:rPr>
          <w:rFonts w:ascii="Arial" w:cs="Arial" w:eastAsia="Arial" w:hAnsi="Arial"/>
          <w:sz w:val="16"/>
          <w:szCs w:val="16"/>
          <w:color w:val="auto"/>
        </w:rPr>
        <w:t>ALLETE Properties represents our Florida real estate investment. Our current strategy for the assets is to complete and maintain key</w:t>
      </w:r>
      <w:r>
        <w:rPr>
          <w:rFonts w:ascii="Arial" w:cs="Arial" w:eastAsia="Arial" w:hAnsi="Arial"/>
          <w:sz w:val="16"/>
          <w:szCs w:val="16"/>
          <w:i w:val="1"/>
          <w:iCs w:val="1"/>
          <w:color w:val="auto"/>
        </w:rPr>
        <w:t xml:space="preserve"> </w:t>
      </w:r>
      <w:r>
        <w:rPr>
          <w:rFonts w:ascii="Arial" w:cs="Arial" w:eastAsia="Arial" w:hAnsi="Arial"/>
          <w:sz w:val="16"/>
          <w:szCs w:val="16"/>
          <w:color w:val="auto"/>
        </w:rPr>
        <w:t>entitlements and infrastructure improvements without requiring significant additional investment, sell the portfolio when opportunities arise and reinvest the proceeds in our growth initiatives. Market conditions can impact land sales and could result in our inability to cover our operating expenses and fixed carrying costs such as community development district assessments and property taxes. ALLETE does not intend to acquire additional Florida real estate.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74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74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56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7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740" w:type="dxa"/>
            <w:vAlign w:val="bottom"/>
          </w:tcPr>
          <w:p>
            <w:pPr>
              <w:jc w:val="right"/>
              <w:ind w:right="110"/>
              <w:spacing w:after="0"/>
              <w:rPr>
                <w:sz w:val="20"/>
                <w:szCs w:val="20"/>
                <w:color w:val="auto"/>
              </w:rPr>
            </w:pPr>
            <w:r>
              <w:rPr>
                <w:rFonts w:ascii="Arial" w:cs="Arial" w:eastAsia="Arial" w:hAnsi="Arial"/>
                <w:sz w:val="18"/>
                <w:szCs w:val="18"/>
                <w:color w:val="auto"/>
              </w:rPr>
              <w:t>964</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2,485</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2,236,700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3,777</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3,554</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4,741</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6,039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5,333,500</w:t>
            </w: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4"/>
        </w:trPr>
        <w:tc>
          <w:tcPr>
            <w:tcW w:w="56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2,914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2,950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3,215,000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37"/>
        </w:trPr>
        <w:tc>
          <w:tcPr>
            <w:tcW w:w="5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7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10,699</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8,989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8,548,500</w:t>
            </w:r>
          </w:p>
        </w:tc>
      </w:tr>
    </w:tbl>
    <w:p>
      <w:pPr>
        <w:spacing w:after="0" w:line="4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9" w:lineRule="exact"/>
        <w:rPr>
          <w:rFonts w:ascii="Arial" w:cs="Arial" w:eastAsia="Arial" w:hAnsi="Arial"/>
          <w:sz w:val="18"/>
          <w:szCs w:val="18"/>
          <w:i w:val="1"/>
          <w:iCs w:val="1"/>
          <w:color w:val="auto"/>
        </w:rPr>
      </w:pPr>
    </w:p>
    <w:p>
      <w:pPr>
        <w:ind w:left="340" w:right="20" w:hanging="332"/>
        <w:spacing w:after="0" w:line="281"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1,715 acres of other land available-for-sale.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 aims to develop or acquire capital projects that create energy solutions via wind, solar, biomass,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gas and oil infrastructure, among other energy-related projects. On January 30, 2014, ALLETE Clean Energy acquired wind energy facilities located in Lake Benton, Minnesota (Lake Benton), Storm Lake, Iowa (Storm Lake) and Condon, Oregon (Condon) from The AES Corporation (AES) for $26.9 million, subject to a working capital adjustment. ALLETE Clean Energy also has an option to acquire a fourth wind energy facility from AES in Armenia Mountain, Pennsylvania (Armenia Mountain), in June 2015. The acquisition supports ALLETE’s strategy to pursue energy-centric initiatives through ALLETE Clean Energy, that include less carbon intensive and more sustainable energy sources.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Lake Benton, Storm Lake and Condon have 104 MW, 77 MW and 50 MW of generating capability, respectively. Lake Benton and Storm Lake began commercial operations in 1999, while Condon began operations in 2002. All three wind energy facilities have PPAs in place for their entire output, which expire in various years between 2019 and 2032. Pursuant to the acquisition agreement, ALLETE Clean Energy has an option to acquire the 101 MW Armenia Mountain wind energy facility in June 2015. Armenia Mountain began operations in 2009. (See Note 4. Acquisitions.)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ALLETE’s aggregate federal and multi-state statutory tax rate is approximately 41 percent for 2014. On an ongoing basis, ALLETE has tax</w:t>
      </w:r>
      <w:r>
        <w:rPr>
          <w:rFonts w:ascii="Arial" w:cs="Arial" w:eastAsia="Arial" w:hAnsi="Arial"/>
          <w:sz w:val="18"/>
          <w:szCs w:val="18"/>
          <w:b w:val="1"/>
          <w:bCs w:val="1"/>
          <w:color w:val="auto"/>
        </w:rPr>
        <w:t xml:space="preserve"> </w:t>
      </w:r>
      <w:r>
        <w:rPr>
          <w:rFonts w:ascii="Arial" w:cs="Arial" w:eastAsia="Arial" w:hAnsi="Arial"/>
          <w:sz w:val="18"/>
          <w:szCs w:val="18"/>
          <w:color w:val="auto"/>
        </w:rPr>
        <w:t>credits and other tax adjustments that reduce the statutory rate to the effective tax rate. These tax credits and adjustments historically have included items such as investment tax credits, renewable tax credits, AFUDC–Equity,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federal production tax credits as a result of wind generation, we expect our effective tax rate to be approximately 22 percent for 2014. We also expect that our effective tax rate will be lower than the statutory rate over the next ten years due to production tax credits attributable to our wind generation. (See Note 11. Income Tax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March 31, 2014,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$44.6 million, $401 million in available consolidated lines of credit and a debt-to-capital ratio of 46 percent.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36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tc>
        <w:tc>
          <w:tcPr>
            <w:tcW w:w="2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0"/>
        </w:trPr>
        <w:tc>
          <w:tcPr>
            <w:tcW w:w="5520" w:type="dxa"/>
            <w:vAlign w:val="bottom"/>
          </w:tcPr>
          <w:p>
            <w:pPr>
              <w:spacing w:after="0"/>
              <w:rPr>
                <w:sz w:val="24"/>
                <w:szCs w:val="24"/>
                <w:color w:val="auto"/>
              </w:rPr>
            </w:pPr>
          </w:p>
        </w:tc>
        <w:tc>
          <w:tcPr>
            <w:tcW w:w="242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4"/>
                <w:szCs w:val="24"/>
                <w:color w:val="auto"/>
              </w:rPr>
            </w:pPr>
          </w:p>
        </w:tc>
        <w:tc>
          <w:tcPr>
            <w:tcW w:w="170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Pr>
          <w:p>
            <w:pPr>
              <w:spacing w:after="0"/>
              <w:rPr>
                <w:sz w:val="24"/>
                <w:szCs w:val="24"/>
                <w:color w:val="auto"/>
              </w:rPr>
            </w:pPr>
          </w:p>
        </w:tc>
      </w:tr>
      <w:tr>
        <w:trPr>
          <w:trHeight w:val="234"/>
        </w:trPr>
        <w:tc>
          <w:tcPr>
            <w:tcW w:w="5520" w:type="dxa"/>
            <w:vAlign w:val="bottom"/>
          </w:tcPr>
          <w:p>
            <w:pPr>
              <w:spacing w:after="0"/>
              <w:rPr>
                <w:sz w:val="20"/>
                <w:szCs w:val="20"/>
                <w:color w:val="auto"/>
              </w:rPr>
            </w:pPr>
          </w:p>
        </w:tc>
        <w:tc>
          <w:tcPr>
            <w:tcW w:w="24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4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$1,402.5</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w:t>
            </w:r>
          </w:p>
        </w:tc>
        <w:tc>
          <w:tcPr>
            <w:tcW w:w="1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$1,342.9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4.9</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4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1,213.6</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c>
          <w:tcPr>
            <w:tcW w:w="17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1,110.2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552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$2,621.0</w:t>
            </w:r>
          </w:p>
        </w:tc>
        <w:tc>
          <w:tcPr>
            <w:tcW w:w="9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7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$2,453.1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9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426"/>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w w:val="96"/>
              </w:rPr>
              <w:t xml:space="preserve">Cash Flows. </w:t>
            </w:r>
            <w:r>
              <w:rPr>
                <w:rFonts w:ascii="Arial" w:cs="Arial" w:eastAsia="Arial" w:hAnsi="Arial"/>
                <w:sz w:val="18"/>
                <w:szCs w:val="18"/>
                <w:color w:val="auto"/>
                <w:w w:val="96"/>
              </w:rPr>
              <w:t>Selected information from ALLETE’s Consolidated Statement of Cash Flows is as follows:</w:t>
            </w: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2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$97.3</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74.9</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00" w:type="dxa"/>
            <w:vAlign w:val="bottom"/>
          </w:tcPr>
          <w:p>
            <w:pPr>
              <w:jc w:val="right"/>
              <w:ind w:right="610"/>
              <w:spacing w:after="0"/>
              <w:rPr>
                <w:sz w:val="20"/>
                <w:szCs w:val="20"/>
                <w:color w:val="auto"/>
              </w:rPr>
            </w:pPr>
            <w:r>
              <w:rPr>
                <w:rFonts w:ascii="Arial" w:cs="Arial" w:eastAsia="Arial" w:hAnsi="Arial"/>
                <w:sz w:val="18"/>
                <w:szCs w:val="18"/>
                <w:color w:val="auto"/>
              </w:rPr>
              <w:t>(204.6)</w:t>
            </w:r>
          </w:p>
        </w:tc>
        <w:tc>
          <w:tcPr>
            <w:tcW w:w="82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77.0</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55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2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rPr>
              <w:t>(52.7)</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5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$44.6</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r>
      <w:tr>
        <w:trPr>
          <w:trHeight w:val="20"/>
        </w:trPr>
        <w:tc>
          <w:tcPr>
            <w:tcW w:w="55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$74.9 million for the quarter ended March 31, 2014 ($58.2 million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2013). Cash from operating activities was higher than 2014 primarily due to cash contributions of $10.8 million in 2013 to other postretirement benefit plans.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for investing activities was $204.6 million for the quarter ended March 31, 2014 ($63.9 million for the quarter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2013). The increase in cash used for investing activities was primarily due to higher capital expenditures in 2014, and the ALLETE Clean Energy wind energy facilities acquisition in January 2014, partially offset by a transfer of cash in Other Investments to Cash and Cash Equivalents.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$77.0 million for the quarter ended March 31, 2014 ($2.2 million for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2013). The increase in cash from financing activities was primarily due to proceeds from the issuance of long-term debt in March 2014, partially offset by payments of long-term debt maturing in 2014.</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Working Capital</w:t>
      </w:r>
      <w:r>
        <w:rPr>
          <w:rFonts w:ascii="Arial" w:cs="Arial" w:eastAsia="Arial" w:hAnsi="Arial"/>
          <w:sz w:val="18"/>
          <w:szCs w:val="18"/>
          <w:color w:val="auto"/>
        </w:rPr>
        <w:t>. Additional working capital, if and when needed, generally is provided by consolidated bank lines of credit or the sale of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 paper. As of March 31, 2014, we had available consolidated bank lines of credit aggregating $401.0 million ($401.2 million available as of March 31, 2013), the majority of which expire in November 2018. In addition, as of March 31, 2014, we had 2.4 million original issue shares of our common stock available for issuance through Invest Direct, our direct stock purchase and dividend reinvestment plan, 3.1 million original issue shares of common stock available for issuance through a distribution agreement with Lampert Capital Markets, Inc. and 2.8 million original issue shares of common stock available for issuance under a forward sale agreement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Lampert Capital Markets, Inc., in February 2008, as amended most recently in February 2014,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issuance and sale of up to an aggregate of 9.6 million shares of our common stock, without par value, of which 3.1 million remain available for issuance. For the quarter ended March 31, 2014, no shares of common stock were issued under this agreement (0.3 million shares were issued for the quarter ended March 31, 2013, resulting in net proceeds of $11.7 million). The shares sold in 2011, 2012 and through August 1, 2013, were offered and sold pursuant to Registration Statement No. 333-170289. On August 2, 2013, we filed Registration Statement No. 333-190335, pursuant to which the remaining shares will continue to be offered for sale, from time to time.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March 31, 2014, we issued 0.2 million shares of common stock through Invest Direct, the Employee Stock Purchase Plan, and the Retirement Savings and Stock Ownership Plan, resulting in net proceeds of $4.6 million (0.3 million shares were issued for net proceeds of $11.7 million during the quarter ended March 31, 2013). These shares of common stock were registered under Registration Statement Nos. 333-188315, 333-183051 and 333-162890.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20"/>
          </w:cols>
          <w:pgMar w:left="240" w:top="364"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(Continued)</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26, 2014, ALLETE entered into a confirmation of forward sale agreement (Agreement) with a forward counterparty in connection with a public offering of 2.8 million shares of ALLETE common stock. Pursuant to the Agreement, the forward counterparty (or its affiliate) borrowed 2.8 million shares of ALLETE common stock from third parties and sold them to the underwriters. ALLETE has right to elect physical, cash or net share settlement under the forward sales agreement, for all or a portion of its obligations under the Agreement. In the event that ALLETE elects physical settlement of the Agreement, it will deliver shares of its common stock in exchange for cash proceeds at the then-applicable forward sale price. The forward sale price is initially $48.01 per share, subject to adjustment as provided in the Agreement. The Agreement provides for settlement at any time on or prior to March 1, 2015. ALLETE expect to physically settle the Agreement in its entirety by delivering 2.8 million shares of its common stock. In connection with the public offering of the 2.8 million shares, ALLETE granted the underwriters an option to purchase up to an additional 0.4 million shares of ALLETE common stock (the option shares). The underwriters exercised the option in full and on March 4, 2014, the Company issued and sold the option shares to the underwriters at a price to ALLETE equal to the initial forward sale price for proceeds of $20.2 million.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2013, we agreed to sell $215.0 million in 2014 of ALLETE first mortgage bonds (Bonds) in the private placement market in four series. On March 4, 2014, we issued $100.0 million of the Bonds in the private placement market. (See Note 9. Short-Term and Long-Term Debt.) Proceeds from the sale of the Bonds were, and will be, used to fund utility capital expenditures or for general corporate purposes.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10, 2014, ALLETE contributed 0.4 million shares of ALLETE common stock to its pension plan. These shares of ALLETE common stock were contributed in reliance upon an exemption available pursuant to Section 4(a)(2) of the Securities Act of 1933 and had an aggregate value of $19.5 million when contributed.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9. Short-Term and Long-Term Debt for information regarding our financial covenants.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Pension and Other Postretirement Benefit Plans</w:t>
      </w:r>
      <w:r>
        <w:rPr>
          <w:rFonts w:ascii="Arial" w:cs="Arial" w:eastAsia="Arial" w:hAnsi="Arial"/>
          <w:sz w:val="17"/>
          <w:szCs w:val="17"/>
          <w:color w:val="auto"/>
        </w:rPr>
        <w:t>. Management considers various factors when making funding decisions, such as regulatory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actuarially determined minimum contribution requirements and contributions required to avoid benefit restrictions for the defined benefit pension plans. On January 10, 2014, we contributed $19.5 million to our defined benefit pension plan, all of which was contributed in shares of ALLETE common stock. We do not expect to make additional contributions to our defined benefit pension plan in 2014, and we do not expect to make any contributions to our other postretirement benefit plan in 2014. (See Note 14. Pension and Other Postretirement Benefit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Off-balance sheet arrangements are summarized in our 2013 Form 10-K, with additional disclosure in Note 15. Commitments, Guarantees and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capital expenditures for 2014 are expected to be approximately $640 million. For the quarter ended March 31, 2014, capital expenditures totaled $195.2 million ($43.1 million for the quarter ended March 31, 2013). The expenditures were primarily made in the Regulated Operations segment.</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Our 2014 projected capital expenditures include significant investments in environmental upgrades (see Outlook – Boswell Mercury Emissions Reduction Plan) and renewable energy (see Outlook – Renewable Energy – Wind Energy). Our 2014 capital expenditures are expected to be incurred ratably over the four quarters of 2014. We are well positioned to meet our financing needs due to adequate operating cash flows, available additional working capital, and access to capital markets. We will finance capital expenditures from a combination of internally generated funds and debt and equity issuance proceeds. We intend to maintain a capital structure with capital ratios near current levels. (See Liquidity and Capital Resources </w:t>
      </w:r>
      <w:r>
        <w:rPr>
          <w:rFonts w:ascii="Arial" w:cs="Arial" w:eastAsia="Arial" w:hAnsi="Arial"/>
          <w:sz w:val="14"/>
          <w:szCs w:val="14"/>
          <w:i w:val="1"/>
          <w:iCs w:val="1"/>
          <w:color w:val="auto"/>
        </w:rPr>
        <w:t>–</w:t>
      </w:r>
      <w:r>
        <w:rPr>
          <w:rFonts w:ascii="Arial" w:cs="Arial" w:eastAsia="Arial" w:hAnsi="Arial"/>
          <w:sz w:val="16"/>
          <w:szCs w:val="16"/>
          <w:color w:val="auto"/>
        </w:rPr>
        <w:t xml:space="preserve"> Capital Structure.)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Environmental Matters are summarized in our 2013 Form 10-K, with additional disclosure in Note 15. Commitments, Guarantees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Minnesota Power and SWL&amp;P have an aggregate of 594 employees who are members of the International Brotherhood of Electrical Workers (IBEW) Local</w:t>
      </w:r>
    </w:p>
    <w:p>
      <w:pPr>
        <w:spacing w:after="0" w:line="46" w:lineRule="exact"/>
        <w:rPr>
          <w:sz w:val="20"/>
          <w:szCs w:val="20"/>
          <w:color w:val="auto"/>
        </w:rPr>
      </w:pPr>
    </w:p>
    <w:p>
      <w:pPr>
        <w:ind w:firstLine="8"/>
        <w:spacing w:after="0" w:line="261" w:lineRule="auto"/>
        <w:tabs>
          <w:tab w:leader="none" w:pos="2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agreements expired on January 31, 2014, and on February 5, 2014. Minnesota Power, SWL&amp;P and IBEW Local 31 agreed to amend the current contracts and extend the expiration of both to January 31, 2018.</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Coal had 167 employees, of which 126 are members of IBEW Local 1593. The most recent labor agreement between BNI Coal and IBEW Local 1593 expired on March 31, 2014, and on March 19, 2014, a new contract was signed effective April 1, 2014 through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At March 31, 2014, our available-for-sale securities portfolio consisted primarily of securities established to fund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March 31, 2014, and assuming no other changes to our financial structure, an increase of 100 basis points in interest rates would impact the amount of pretax interest expense by $0.6 million. This amount was determined by considering the impact of a hypothetical 100 basis point increase to the average variable interest rate on the variable rate debt outstanding as of March 31, 2014.</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2014,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5. Regulatory Matters and Note 12. Commitments, Guarantees and Contingencies to our Consolidated Financial Statements in the 2013 Form 10-K and Note 7. Regulatory Matters and Note 15. Commitments, Guarantees and Contingencies herein. Such information is incorporated herein by reference.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United Taconite Lawsuit. </w:t>
      </w:r>
      <w:r>
        <w:rPr>
          <w:rFonts w:ascii="Arial" w:cs="Arial" w:eastAsia="Arial" w:hAnsi="Arial"/>
          <w:sz w:val="17"/>
          <w:szCs w:val="17"/>
          <w:color w:val="auto"/>
        </w:rPr>
        <w:t>In January 2011, the Company was named as a defendant in a lawsuit in the Sixth Judicial District for the State of Minnesota by one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$20.0 million in damages related to the fire. In response to a Motion for Summary Judgment by Minnesota Power, the Sixth Judicial District for the State of Minnesota dismissed all of plaintiffs’ claims in an order dated August 21, 2013. In October 2013, the plaintiffs’ appealed the decision to the Minnesota Court of Appeals. The Company has filed a response to the appeal and the appeal will be heard by the Minnesota Court of Appeals on May 21, 2014. An accrual related to this lawsuit has not been recorded as of March 31, 2014, because a potential loss is not currently probable or reasonably estimable.</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Notice of Potential Clean Air Act Citizen Lawsuit. </w:t>
      </w:r>
      <w:r>
        <w:rPr>
          <w:rFonts w:ascii="Arial" w:cs="Arial" w:eastAsia="Arial" w:hAnsi="Arial"/>
          <w:sz w:val="17"/>
          <w:szCs w:val="17"/>
          <w:color w:val="auto"/>
        </w:rPr>
        <w:t>In July 2013, the Sierra Club submitted to Minnesota Power a notice of intent to file a citizen suit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Clean Air Act, which it supplemented in March 2014. This notice of intent alleged violations of opacity and other permit requirements at our Boswell, Laskin, and Taconite Harbor energy centers. Minnesota Power intends to vigorously defend any lawsuit that may be filed by the Sierra Club. We are unable to predict the outcome of this matter. Accordingly, an accrual related to any damages that may result from the notice of intent has not been recorded as of March 31, 2014, because a potential loss is not currently probable or reasonably estimable.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2013 Form 10-K.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8629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295" cy="308610"/>
                    </a:xfrm>
                    <a:prstGeom prst="rect">
                      <a:avLst/>
                    </a:prstGeom>
                    <a:noFill/>
                  </pic:spPr>
                </pic:pic>
              </a:graphicData>
            </a:graphic>
          </wp:anchor>
        </w:drawing>
      </w:r>
    </w:p>
    <w:p>
      <w:pPr>
        <w:spacing w:after="0" w:line="29" w:lineRule="exact"/>
        <w:rPr>
          <w:sz w:val="20"/>
          <w:szCs w:val="20"/>
          <w:color w:val="auto"/>
        </w:rPr>
      </w:pPr>
    </w:p>
    <w:p>
      <w:pPr>
        <w:ind w:left="1300" w:right="120" w:hanging="463"/>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Amendment No. 3 to Third Amended and Restated Distribution Agreement dated May 7, 2014, between ALLETE, Inc. and Lampert Capital Markets, Inc.</w:t>
      </w:r>
    </w:p>
    <w:p>
      <w:pPr>
        <w:spacing w:after="0" w:line="8" w:lineRule="exact"/>
        <w:rPr>
          <w:sz w:val="20"/>
          <w:szCs w:val="20"/>
          <w:color w:val="auto"/>
        </w:rPr>
      </w:pPr>
    </w:p>
    <w:p>
      <w:pPr>
        <w:ind w:left="1300" w:right="120" w:hanging="463"/>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Thirty-fifth Supplemental Indenture, dated as of March 1, 2014, between ALLETE, Inc. and The Bank of New York Mellon, as corporate trustee, and Philip L. Watson, as co-trustee.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86295"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295" cy="308610"/>
                    </a:xfrm>
                    <a:prstGeom prst="rect">
                      <a:avLst/>
                    </a:prstGeom>
                    <a:noFill/>
                  </pic:spPr>
                </pic:pic>
              </a:graphicData>
            </a:graphic>
          </wp:anchor>
        </w:drawing>
      </w:r>
    </w:p>
    <w:p>
      <w:pPr>
        <w:ind w:left="1300" w:right="120" w:hanging="55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Confirmation of Forward Sale Transaction, dated February 26, 2014, between ALLETE, Inc. and JPMorgan Chase Bank, National Association, London Branch (filed as Exhibit 10 to the March 4, 2014, Current Report on Form 8-K, File No. 1-3548).</w:t>
      </w:r>
    </w:p>
    <w:p>
      <w:pPr>
        <w:spacing w:after="0" w:line="8"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862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5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75" w:lineRule="exact"/>
        <w:rPr>
          <w:sz w:val="20"/>
          <w:szCs w:val="20"/>
          <w:color w:val="auto"/>
        </w:rPr>
      </w:pPr>
    </w:p>
    <w:p>
      <w:pPr>
        <w:ind w:left="1300" w:right="140" w:hanging="55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862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ind w:left="74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Mine Safety</w:t>
      </w:r>
    </w:p>
    <w:p>
      <w:pPr>
        <w:spacing w:after="0" w:line="59" w:lineRule="exact"/>
        <w:rPr>
          <w:sz w:val="20"/>
          <w:szCs w:val="20"/>
          <w:color w:val="auto"/>
        </w:rPr>
      </w:pPr>
    </w:p>
    <w:p>
      <w:pPr>
        <w:jc w:val="both"/>
        <w:ind w:left="1300" w:right="120" w:hanging="554"/>
        <w:spacing w:after="0" w:line="301"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ALLETE News Release dated May 7, 2014, announcing 2014 first quarter earnings. </w:t>
      </w:r>
      <w:r>
        <w:rPr>
          <w:rFonts w:ascii="Arial" w:cs="Arial" w:eastAsia="Arial" w:hAnsi="Arial"/>
          <w:sz w:val="16"/>
          <w:szCs w:val="16"/>
          <w:b w:val="1"/>
          <w:bCs w:val="1"/>
          <w:color w:val="auto"/>
        </w:rPr>
        <w:t>(This exhibit has been furnished and shall not be</w:t>
      </w:r>
      <w:r>
        <w:rPr>
          <w:rFonts w:ascii="Arial" w:cs="Arial" w:eastAsia="Arial" w:hAnsi="Arial"/>
          <w:sz w:val="16"/>
          <w:szCs w:val="16"/>
          <w:color w:val="auto"/>
        </w:rPr>
        <w:t xml:space="preserve"> </w:t>
      </w:r>
      <w:r>
        <w:rPr>
          <w:rFonts w:ascii="Arial" w:cs="Arial" w:eastAsia="Arial" w:hAnsi="Arial"/>
          <w:sz w:val="16"/>
          <w:szCs w:val="16"/>
          <w:b w:val="1"/>
          <w:bCs w:val="1"/>
          <w:color w:val="auto"/>
        </w:rPr>
        <w:t>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101.INS</w:t>
            </w:r>
          </w:p>
        </w:tc>
        <w:tc>
          <w:tcPr>
            <w:tcW w:w="10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Instance</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101.SCH</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7"/>
        </w:trPr>
        <w:tc>
          <w:tcPr>
            <w:tcW w:w="11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101.CAL</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Calculation</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101.DEF</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7"/>
        </w:trPr>
        <w:tc>
          <w:tcPr>
            <w:tcW w:w="1100" w:type="dxa"/>
            <w:vAlign w:val="bottom"/>
          </w:tcPr>
          <w:p>
            <w:pPr>
              <w:spacing w:after="0"/>
              <w:rPr>
                <w:sz w:val="2"/>
                <w:szCs w:val="2"/>
                <w:color w:val="auto"/>
              </w:rPr>
            </w:pPr>
          </w:p>
        </w:tc>
        <w:tc>
          <w:tcPr>
            <w:tcW w:w="102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101.LAB</w:t>
            </w:r>
          </w:p>
        </w:tc>
        <w:tc>
          <w:tcPr>
            <w:tcW w:w="10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Label</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101.PRE</w:t>
            </w:r>
          </w:p>
        </w:tc>
        <w:tc>
          <w:tcPr>
            <w:tcW w:w="10220" w:type="dxa"/>
            <w:vAlign w:val="bottom"/>
          </w:tcPr>
          <w:p>
            <w:pPr>
              <w:ind w:left="200"/>
              <w:spacing w:after="0"/>
              <w:rPr>
                <w:sz w:val="20"/>
                <w:szCs w:val="20"/>
                <w:color w:val="auto"/>
              </w:rPr>
            </w:pPr>
            <w:r>
              <w:rPr>
                <w:rFonts w:ascii="Arial" w:cs="Arial" w:eastAsia="Arial" w:hAnsi="Arial"/>
                <w:sz w:val="18"/>
                <w:szCs w:val="18"/>
                <w:color w:val="auto"/>
              </w:rPr>
              <w:t>XBRL Presentation</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700" w:val="left"/>
        </w:tabs>
        <w:rPr>
          <w:sz w:val="20"/>
          <w:szCs w:val="20"/>
          <w:color w:val="auto"/>
        </w:rPr>
      </w:pPr>
      <w:r>
        <w:rPr>
          <w:rFonts w:ascii="Arial" w:cs="Arial" w:eastAsia="Arial" w:hAnsi="Arial"/>
          <w:sz w:val="18"/>
          <w:szCs w:val="18"/>
          <w:color w:val="auto"/>
        </w:rPr>
        <w:t>May 7, 2014</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May 7, 2014</w:t>
      </w:r>
      <w:r>
        <w:rPr>
          <w:sz w:val="20"/>
          <w:szCs w:val="20"/>
          <w:color w:val="auto"/>
        </w:rPr>
        <w:tab/>
      </w:r>
      <w:r>
        <w:rPr>
          <w:rFonts w:ascii="Arial" w:cs="Arial" w:eastAsia="Arial" w:hAnsi="Arial"/>
          <w:sz w:val="16"/>
          <w:szCs w:val="16"/>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Steven W. Morris</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Controller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2014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36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3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DISTRIBUTION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May 7, 2014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Lampert Capital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477 Madison Avenue, Ste. 230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Randy Lampert</w:t>
      </w:r>
    </w:p>
    <w:p>
      <w:pPr>
        <w:spacing w:after="0" w:line="4" w:lineRule="exact"/>
        <w:rPr>
          <w:sz w:val="20"/>
          <w:szCs w:val="20"/>
          <w:color w:val="auto"/>
        </w:rPr>
      </w:pPr>
    </w:p>
    <w:p>
      <w:pPr>
        <w:ind w:left="960" w:hanging="223"/>
        <w:spacing w:after="0"/>
        <w:tabs>
          <w:tab w:leader="none" w:pos="9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Mark Nauman</w:t>
      </w:r>
    </w:p>
    <w:p>
      <w:pPr>
        <w:spacing w:after="0" w:line="20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Dear Sir:</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Reference is hereby made to that certain Third Amended and Restated Distribution Agreement dated August 3, 2012 (the “</w:t>
      </w:r>
      <w:r>
        <w:rPr>
          <w:rFonts w:ascii="Arial" w:cs="Arial" w:eastAsia="Arial" w:hAnsi="Arial"/>
          <w:sz w:val="19"/>
          <w:szCs w:val="19"/>
          <w:b w:val="1"/>
          <w:bCs w:val="1"/>
          <w:color w:val="auto"/>
        </w:rPr>
        <w:t>2012 Agreement</w:t>
      </w:r>
      <w:r>
        <w:rPr>
          <w:rFonts w:ascii="Arial" w:cs="Arial" w:eastAsia="Arial" w:hAnsi="Arial"/>
          <w:sz w:val="19"/>
          <w:szCs w:val="19"/>
          <w:color w:val="auto"/>
        </w:rPr>
        <w:t>”), as amended by Amendment No. 1 to Third Amended and Restated Distribution Agreement dated August 5, 2013 (“</w:t>
      </w:r>
      <w:r>
        <w:rPr>
          <w:rFonts w:ascii="Arial" w:cs="Arial" w:eastAsia="Arial" w:hAnsi="Arial"/>
          <w:sz w:val="19"/>
          <w:szCs w:val="19"/>
          <w:b w:val="1"/>
          <w:bCs w:val="1"/>
          <w:color w:val="auto"/>
        </w:rPr>
        <w:t>Amendment No. 1</w:t>
      </w:r>
      <w:r>
        <w:rPr>
          <w:rFonts w:ascii="Arial" w:cs="Arial" w:eastAsia="Arial" w:hAnsi="Arial"/>
          <w:sz w:val="19"/>
          <w:szCs w:val="19"/>
          <w:color w:val="auto"/>
        </w:rPr>
        <w:t>”) and by an Assignment and Assumption of and Amendment No. 2 to Third Amended and Restated Distribution Agreement dated February 13, 2014 (“</w:t>
      </w:r>
      <w:r>
        <w:rPr>
          <w:rFonts w:ascii="Arial" w:cs="Arial" w:eastAsia="Arial" w:hAnsi="Arial"/>
          <w:sz w:val="19"/>
          <w:szCs w:val="19"/>
          <w:b w:val="1"/>
          <w:bCs w:val="1"/>
          <w:color w:val="auto"/>
        </w:rPr>
        <w:t>Amendment No. 2</w:t>
      </w:r>
      <w:r>
        <w:rPr>
          <w:rFonts w:ascii="Arial" w:cs="Arial" w:eastAsia="Arial" w:hAnsi="Arial"/>
          <w:sz w:val="19"/>
          <w:szCs w:val="19"/>
          <w:color w:val="auto"/>
        </w:rPr>
        <w:t>” and together with Amendment No. 1 and the 2012 Agreement, the “</w:t>
      </w:r>
      <w:r>
        <w:rPr>
          <w:rFonts w:ascii="Arial" w:cs="Arial" w:eastAsia="Arial" w:hAnsi="Arial"/>
          <w:sz w:val="19"/>
          <w:szCs w:val="19"/>
          <w:b w:val="1"/>
          <w:bCs w:val="1"/>
          <w:color w:val="auto"/>
        </w:rPr>
        <w:t>Third Amended Distribution Agreement</w:t>
      </w:r>
      <w:r>
        <w:rPr>
          <w:rFonts w:ascii="Arial" w:cs="Arial" w:eastAsia="Arial" w:hAnsi="Arial"/>
          <w:sz w:val="19"/>
          <w:szCs w:val="19"/>
          <w:color w:val="auto"/>
        </w:rPr>
        <w:t>”) between ALLETE, Inc. (the “Company”) and Lampert Capital Markets, Inc., as successor to KCCI, Ltd., as agent. Such parties desire to amend the Third Amended Distribution Agreement as hereinafter set forth. Accordingly, in consideration of the premises and the agreements, provisions and covenants contained herein, the parties hereto agree to amend the Third Amended Distribution Agreement as set forth below:</w:t>
      </w:r>
    </w:p>
    <w:p>
      <w:pPr>
        <w:spacing w:after="0" w:line="15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Amendments</w:t>
      </w:r>
    </w:p>
    <w:p>
      <w:pPr>
        <w:spacing w:after="0" w:line="233" w:lineRule="exact"/>
        <w:rPr>
          <w:rFonts w:ascii="Arial" w:cs="Arial" w:eastAsia="Arial" w:hAnsi="Arial"/>
          <w:sz w:val="22"/>
          <w:szCs w:val="22"/>
          <w:color w:val="auto"/>
        </w:rPr>
      </w:pPr>
    </w:p>
    <w:p>
      <w:pPr>
        <w:jc w:val="both"/>
        <w:ind w:firstLine="656"/>
        <w:spacing w:after="0" w:line="278" w:lineRule="auto"/>
        <w:tabs>
          <w:tab w:leader="none" w:pos="1031" w:val="left"/>
        </w:tabs>
        <w:numPr>
          <w:ilvl w:val="1"/>
          <w:numId w:val="23"/>
        </w:numPr>
        <w:rPr>
          <w:rFonts w:ascii="Arial" w:cs="Arial" w:eastAsia="Arial" w:hAnsi="Arial"/>
          <w:sz w:val="21"/>
          <w:szCs w:val="21"/>
          <w:color w:val="auto"/>
        </w:rPr>
      </w:pPr>
      <w:r>
        <w:rPr>
          <w:rFonts w:ascii="Arial" w:cs="Arial" w:eastAsia="Arial" w:hAnsi="Arial"/>
          <w:sz w:val="21"/>
          <w:szCs w:val="21"/>
          <w:color w:val="auto"/>
        </w:rPr>
        <w:t>All references in the Third Amended Distribution Agreement to “this Agreement” (including similar references in the 2012 Agreement such as “herein”) shall now mean the Third Amended Distribution Agreement, as amended by this Amendment No. 3 to the Third Amended and Restated Distribution Agreement (“</w:t>
      </w:r>
      <w:r>
        <w:rPr>
          <w:rFonts w:ascii="Arial" w:cs="Arial" w:eastAsia="Arial" w:hAnsi="Arial"/>
          <w:sz w:val="21"/>
          <w:szCs w:val="21"/>
          <w:b w:val="1"/>
          <w:bCs w:val="1"/>
          <w:color w:val="auto"/>
        </w:rPr>
        <w:t>Amendment No. 3</w:t>
      </w:r>
      <w:r>
        <w:rPr>
          <w:rFonts w:ascii="Arial" w:cs="Arial" w:eastAsia="Arial" w:hAnsi="Arial"/>
          <w:sz w:val="21"/>
          <w:szCs w:val="21"/>
          <w:color w:val="auto"/>
        </w:rPr>
        <w:t>”).</w:t>
      </w:r>
    </w:p>
    <w:p>
      <w:pPr>
        <w:spacing w:after="0" w:line="160" w:lineRule="exact"/>
        <w:rPr>
          <w:rFonts w:ascii="Arial" w:cs="Arial" w:eastAsia="Arial" w:hAnsi="Arial"/>
          <w:sz w:val="21"/>
          <w:szCs w:val="21"/>
          <w:color w:val="auto"/>
        </w:rPr>
      </w:pPr>
    </w:p>
    <w:p>
      <w:pPr>
        <w:jc w:val="both"/>
        <w:ind w:firstLine="656"/>
        <w:spacing w:after="0" w:line="260" w:lineRule="auto"/>
        <w:tabs>
          <w:tab w:leader="none" w:pos="1112"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third paragraph of the 2012 Agreement, as amended by Amendment No. 1 and Amendment No. 2, is further amended by deleting the reference to “the prospectus supplement, to be dated February 18, 2014” in the definition of “Prospectus Supplement” and replacing it with “the prospectus supplement to be dated May 9, 2014”.</w:t>
      </w:r>
    </w:p>
    <w:p>
      <w:pPr>
        <w:spacing w:after="0" w:line="177" w:lineRule="exact"/>
        <w:rPr>
          <w:rFonts w:ascii="Arial" w:cs="Arial" w:eastAsia="Arial" w:hAnsi="Arial"/>
          <w:sz w:val="22"/>
          <w:szCs w:val="22"/>
          <w:color w:val="auto"/>
        </w:rPr>
      </w:pPr>
    </w:p>
    <w:p>
      <w:pPr>
        <w:ind w:left="1000" w:hanging="344"/>
        <w:spacing w:after="0"/>
        <w:tabs>
          <w:tab w:leader="none" w:pos="1000" w:val="left"/>
        </w:tabs>
        <w:numPr>
          <w:ilvl w:val="1"/>
          <w:numId w:val="23"/>
        </w:numPr>
        <w:rPr>
          <w:rFonts w:ascii="Arial" w:cs="Arial" w:eastAsia="Arial" w:hAnsi="Arial"/>
          <w:sz w:val="22"/>
          <w:szCs w:val="22"/>
          <w:color w:val="auto"/>
        </w:rPr>
      </w:pPr>
      <w:r>
        <w:rPr>
          <w:rFonts w:ascii="Arial" w:cs="Arial" w:eastAsia="Arial" w:hAnsi="Arial"/>
          <w:sz w:val="22"/>
          <w:szCs w:val="22"/>
          <w:color w:val="auto"/>
        </w:rPr>
        <w:t>Section 2(b) of the 2012 Agreement is amended and restated as follows:</w:t>
      </w:r>
    </w:p>
    <w:p>
      <w:pPr>
        <w:spacing w:after="0" w:line="233"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The Purchase Date in respect of the Remaining Shares deliverable pursuant to any Transaction Notice shall occur on the Exchange Business Day next following the date on which such Transaction Notice is accepted if such acceptance occurs by 4:30 P.M. (New York time) on such acceptance date; provided that if a Transaction Notice is accepted prior to 8:30 A.M. (New York time) on an Exchange Business Day (or by such later time as the Company may agree in its sole discretion), the Purchase Date in respect of such Remaining Shares shall be on such date of acceptance. The compensation to Lampert for each Transaction shall be up to one percent (1.0%) of the Gross Sales Price, as mutually agreed</w:t>
      </w:r>
    </w:p>
    <w:p>
      <w:pPr>
        <w:sectPr>
          <w:pgSz w:w="11900" w:h="16838" w:orient="portrait"/>
          <w:cols w:equalWidth="0" w:num="1">
            <w:col w:w="11420"/>
          </w:cols>
          <w:pgMar w:left="240" w:top="580" w:right="239" w:bottom="1440" w:gutter="0" w:footer="0" w:header="0"/>
        </w:sectPr>
      </w:pPr>
    </w:p>
    <w:bookmarkStart w:id="50" w:name="page51"/>
    <w:bookmarkEnd w:id="50"/>
    <w:p>
      <w:pPr>
        <w:ind w:left="660" w:right="20"/>
        <w:spacing w:after="0" w:line="269" w:lineRule="auto"/>
        <w:rPr>
          <w:sz w:val="20"/>
          <w:szCs w:val="20"/>
          <w:color w:val="auto"/>
        </w:rPr>
      </w:pPr>
      <w:r>
        <w:rPr>
          <w:rFonts w:ascii="Arial" w:cs="Arial" w:eastAsia="Arial" w:hAnsi="Arial"/>
          <w:sz w:val="22"/>
          <w:szCs w:val="22"/>
          <w:color w:val="auto"/>
        </w:rPr>
        <w:t>to in writing by the Company and Lampert. The “</w:t>
      </w:r>
      <w:r>
        <w:rPr>
          <w:rFonts w:ascii="Arial" w:cs="Arial" w:eastAsia="Arial" w:hAnsi="Arial"/>
          <w:sz w:val="22"/>
          <w:szCs w:val="22"/>
          <w:b w:val="1"/>
          <w:bCs w:val="1"/>
          <w:color w:val="auto"/>
        </w:rPr>
        <w:t>Net Sales Price</w:t>
      </w:r>
      <w:r>
        <w:rPr>
          <w:rFonts w:ascii="Arial" w:cs="Arial" w:eastAsia="Arial" w:hAnsi="Arial"/>
          <w:sz w:val="22"/>
          <w:szCs w:val="22"/>
          <w:color w:val="auto"/>
        </w:rPr>
        <w:t>” shall be the Gross Sales Price less Lampert’s commission.</w:t>
      </w:r>
    </w:p>
    <w:p>
      <w:pPr>
        <w:spacing w:after="0" w:line="168" w:lineRule="exact"/>
        <w:rPr>
          <w:sz w:val="20"/>
          <w:szCs w:val="20"/>
          <w:color w:val="auto"/>
        </w:rPr>
      </w:pPr>
    </w:p>
    <w:p>
      <w:pPr>
        <w:ind w:firstLine="656"/>
        <w:spacing w:after="0" w:line="276" w:lineRule="auto"/>
        <w:tabs>
          <w:tab w:leader="none" w:pos="1004" w:val="left"/>
        </w:tabs>
        <w:numPr>
          <w:ilvl w:val="0"/>
          <w:numId w:val="24"/>
        </w:numPr>
        <w:rPr>
          <w:rFonts w:ascii="Arial" w:cs="Arial" w:eastAsia="Arial" w:hAnsi="Arial"/>
          <w:sz w:val="22"/>
          <w:szCs w:val="22"/>
          <w:color w:val="auto"/>
        </w:rPr>
      </w:pPr>
      <w:r>
        <w:rPr>
          <w:rFonts w:ascii="Arial" w:cs="Arial" w:eastAsia="Arial" w:hAnsi="Arial"/>
          <w:sz w:val="22"/>
          <w:szCs w:val="22"/>
          <w:color w:val="auto"/>
        </w:rPr>
        <w:t>Section 3(b) of the 2012 Agreement, as amended by Amendment No. 1 and Amendment No. 2, is further amended and restated as follows:</w:t>
      </w:r>
    </w:p>
    <w:p>
      <w:pPr>
        <w:spacing w:after="0" w:line="161"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Prior to the execution of this Agreement, the Company has not, directly or indirectly, offered or sold the Shares contemplated by the Prior Distribution Agreement or this Agreement by means of any “prospectus” (within the meaning of the Act) or used any “prospectus” (within the meaning of the Act) in connection with the offer and sale of the Shares, in each case other than (i) the Prospectus, (ii) the Company’s prospectus supplement, dated February 19, 2008 and accompanying prospectus dated December 10, 2007, (iii) the Company’s prospectus supplement, dated February 27, 2009 and accompanying prospectus dated December 10, 2007, (iv) the Company’s prospectus supplement, dated February 18, 2011 and accompanying prospectus dated November 2, 2010, (v) the Company’s prospectus supplement, dated August 3, 2012 and accompanying prospectus dated November 2, 2010, (vi) the Company’s prospectus supplement, dated August 5, 2013 and accompanying prospectus dated August 2, 2013 and (vii) the Company’s prospectus supplement, dated February 18, 2014 and accompanying prospectus dated August 2, 2013 (the documents specified in clauses (ii) through (vii), collectively, the “Prior Prospectuses”); the Company has not, directly or indirectly, prepared, used or referred to any Permitted Free Writing Prospectus except in compliance with Rules 164 and 433 under the Act in connection with the offer and sale of the Shares; and the Company is not an “ineligible issuer” (as defined in Rule 405 under the Act) as of the eligibility determination date for purposes of Rules 164 and 433 under the Act with respect to the offering of the Remaining Shares contemplated by the Registration Statement.</w:t>
      </w:r>
    </w:p>
    <w:p>
      <w:pPr>
        <w:spacing w:after="0" w:line="200" w:lineRule="exact"/>
        <w:rPr>
          <w:sz w:val="20"/>
          <w:szCs w:val="20"/>
          <w:color w:val="auto"/>
        </w:rPr>
      </w:pPr>
    </w:p>
    <w:p>
      <w:pPr>
        <w:spacing w:after="0" w:line="220" w:lineRule="exact"/>
        <w:rPr>
          <w:sz w:val="20"/>
          <w:szCs w:val="20"/>
          <w:color w:val="auto"/>
        </w:rPr>
      </w:pPr>
    </w:p>
    <w:p>
      <w:pPr>
        <w:ind w:firstLine="656"/>
        <w:spacing w:after="0" w:line="358" w:lineRule="auto"/>
        <w:tabs>
          <w:tab w:leader="none" w:pos="1004" w:val="left"/>
        </w:tabs>
        <w:numPr>
          <w:ilvl w:val="1"/>
          <w:numId w:val="25"/>
        </w:numPr>
        <w:rPr>
          <w:rFonts w:ascii="Arial" w:cs="Arial" w:eastAsia="Arial" w:hAnsi="Arial"/>
          <w:sz w:val="19"/>
          <w:szCs w:val="19"/>
          <w:color w:val="auto"/>
        </w:rPr>
      </w:pPr>
      <w:r>
        <w:rPr>
          <w:rFonts w:ascii="Arial" w:cs="Arial" w:eastAsia="Arial" w:hAnsi="Arial"/>
          <w:sz w:val="19"/>
          <w:szCs w:val="19"/>
          <w:color w:val="auto"/>
        </w:rPr>
        <w:t>Section 3(d) of the 2012 Agreement, as amended by Amendment No. 1, is amended by deleting the reference to “April 29, 2013” with respect to the existing order of the Minnesota Public Utilities Commission and replacing it with “April 25, 2014”.</w:t>
      </w:r>
    </w:p>
    <w:p>
      <w:pPr>
        <w:spacing w:after="0" w:line="90" w:lineRule="exact"/>
        <w:rPr>
          <w:rFonts w:ascii="Arial" w:cs="Arial" w:eastAsia="Arial" w:hAnsi="Arial"/>
          <w:sz w:val="19"/>
          <w:szCs w:val="19"/>
          <w:color w:val="auto"/>
        </w:rPr>
      </w:pPr>
    </w:p>
    <w:p>
      <w:pPr>
        <w:jc w:val="both"/>
        <w:ind w:firstLine="656"/>
        <w:spacing w:after="0" w:line="260" w:lineRule="auto"/>
        <w:tabs>
          <w:tab w:leader="none" w:pos="1058" w:val="left"/>
        </w:tabs>
        <w:numPr>
          <w:ilvl w:val="1"/>
          <w:numId w:val="25"/>
        </w:numPr>
        <w:rPr>
          <w:rFonts w:ascii="Arial" w:cs="Arial" w:eastAsia="Arial" w:hAnsi="Arial"/>
          <w:sz w:val="22"/>
          <w:szCs w:val="22"/>
          <w:color w:val="auto"/>
        </w:rPr>
      </w:pPr>
      <w:r>
        <w:rPr>
          <w:rFonts w:ascii="Arial" w:cs="Arial" w:eastAsia="Arial" w:hAnsi="Arial"/>
          <w:sz w:val="22"/>
          <w:szCs w:val="22"/>
          <w:color w:val="auto"/>
        </w:rPr>
        <w:t>Exhibits A, B, C and D to the 2012 Agreement, as amended by Amendment No. 1 and Amendment No. 2, are each amended to include references to Amendment No. 3 and to make the other changes set forth therein, and are restated and set forth in their entirety as Exhibits A, B, C and D, respectively, to Amendment No. 3.</w:t>
      </w:r>
    </w:p>
    <w:p>
      <w:pPr>
        <w:spacing w:after="0" w:line="177" w:lineRule="exact"/>
        <w:rPr>
          <w:rFonts w:ascii="Arial" w:cs="Arial" w:eastAsia="Arial" w:hAnsi="Arial"/>
          <w:sz w:val="22"/>
          <w:szCs w:val="22"/>
          <w:color w:val="auto"/>
        </w:rPr>
      </w:pPr>
    </w:p>
    <w:p>
      <w:pPr>
        <w:ind w:left="380" w:hanging="372"/>
        <w:spacing w:after="0"/>
        <w:tabs>
          <w:tab w:leader="none" w:pos="38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Governing Law; Construction</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AMENDMENT NO. 3 SHALL BE GOVERNED BY, INTERPRETED UNDER AND CONSTRUED IN ACCORDANCE WITH THE INTERNAL LAWS OF THE STATE OF NEW YORK APPLICABLE TO AGREEMENTS MADE AND TO BE PERFORMED WITHIN THE STATE OF NEW YORK WITHOUT GIVING EFFECT TO PRINCIPLES OF CONFLICTS OF LAWS THEREOF. The Section headings in Amendment No. 3 have been inserted as a matter of convenience of reference and are not a part of Amendment No. 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51" w:name="page52"/>
    <w:bookmarkEnd w:id="51"/>
    <w:p>
      <w:pPr>
        <w:ind w:left="460" w:hanging="452"/>
        <w:spacing w:after="0"/>
        <w:tabs>
          <w:tab w:leader="none" w:pos="46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Counterparts</w:t>
      </w:r>
    </w:p>
    <w:p>
      <w:pPr>
        <w:spacing w:after="0" w:line="23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This Amendment No. 3 may be signed in counterparts (which may include counterparts delivered by any standard form of telecommunication), each of which shall be an original and all of which together shall constitute one and the same instrument.</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foregoing correctly sets forth the understanding among ALLETE, Inc. and Lampert Capital Markets, Inc., please so indicate in the space provided below for the purpose, whereupon this letter and your acceptance shall constitute a binding agreement between ALLETE, Inc. and Lampert Capital Markets, Inc.</w:t>
      </w:r>
    </w:p>
    <w:p>
      <w:pPr>
        <w:spacing w:after="0" w:line="18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ALLETE, Inc.</w:t>
      </w:r>
    </w:p>
    <w:p>
      <w:pPr>
        <w:spacing w:after="0" w:line="200" w:lineRule="exact"/>
        <w:rPr>
          <w:sz w:val="20"/>
          <w:szCs w:val="20"/>
          <w:color w:val="auto"/>
        </w:rPr>
      </w:pPr>
    </w:p>
    <w:p>
      <w:pPr>
        <w:spacing w:after="0" w:line="209" w:lineRule="exact"/>
        <w:rPr>
          <w:sz w:val="20"/>
          <w:szCs w:val="20"/>
          <w:color w:val="auto"/>
        </w:rPr>
      </w:pPr>
    </w:p>
    <w:p>
      <w:pPr>
        <w:ind w:left="5220"/>
        <w:spacing w:after="0"/>
        <w:tabs>
          <w:tab w:leader="none" w:pos="5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24765</wp:posOffset>
            </wp:positionV>
            <wp:extent cx="21355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Name: Steven Q. DeVinck</w:t>
      </w:r>
    </w:p>
    <w:p>
      <w:pPr>
        <w:spacing w:after="0" w:line="44" w:lineRule="exact"/>
        <w:rPr>
          <w:sz w:val="20"/>
          <w:szCs w:val="20"/>
          <w:color w:val="auto"/>
        </w:rPr>
      </w:pPr>
    </w:p>
    <w:p>
      <w:pPr>
        <w:ind w:left="5220"/>
        <w:spacing w:after="0"/>
        <w:tabs>
          <w:tab w:leader="none" w:pos="58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and Chief</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as of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 first above written: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Lampert Capital Markets, Inc.</w:t>
      </w:r>
    </w:p>
    <w:p>
      <w:pPr>
        <w:spacing w:after="0" w:line="36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 Randy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24765</wp:posOffset>
            </wp:positionV>
            <wp:extent cx="21355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Name: S. Randy Lampert</w:t>
      </w:r>
    </w:p>
    <w:p>
      <w:pPr>
        <w:spacing w:after="0" w:line="44"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TRANSACTION NOTICE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____________,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Lampert Capital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477 Madison Avenue, Ste. 230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Randy Lampert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&amp; Mark Nauman</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Reference is made to Third Amended and Restated Distribution Agreement, dated August 3, 2012, as amended by Amendment No. 1 to Third Amended and Restated Distribution Agreement, dated August 5, 2013, by an Assignment and Assumption of and Amendment No. 2 to Third Amended and Restated Distribution Agreement, dated February 13, 2014, and by Amendment No. 3 to Third Amended and Restated Distribution Agreement, dated May 7, 2014 between ALLETE, Inc. (the “Company”) and Lampert Capital Markets, Inc., as successor to KCCI, Ltd., as agent. The Company confirms that all conditions to the delivery of this Transaction Notice are satisfied as of the date hereof.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480" w:type="dxa"/>
            <w:vAlign w:val="bottom"/>
          </w:tcPr>
          <w:p>
            <w:pPr>
              <w:spacing w:after="0"/>
              <w:rPr>
                <w:sz w:val="20"/>
                <w:szCs w:val="20"/>
                <w:color w:val="auto"/>
              </w:rPr>
            </w:pPr>
            <w:r>
              <w:rPr>
                <w:rFonts w:ascii="Arial" w:cs="Arial" w:eastAsia="Arial" w:hAnsi="Arial"/>
                <w:sz w:val="22"/>
                <w:szCs w:val="22"/>
                <w:color w:val="auto"/>
              </w:rPr>
              <w:t>Purchase Date (determined pursuant to Section 2(a)): ________________.</w:t>
            </w:r>
          </w:p>
        </w:tc>
        <w:tc>
          <w:tcPr>
            <w:tcW w:w="1700" w:type="dxa"/>
            <w:vAlign w:val="bottom"/>
          </w:tcPr>
          <w:p>
            <w:pPr>
              <w:spacing w:after="0"/>
              <w:rPr>
                <w:sz w:val="23"/>
                <w:szCs w:val="23"/>
                <w:color w:val="auto"/>
              </w:rPr>
            </w:pPr>
          </w:p>
        </w:tc>
      </w:tr>
      <w:tr>
        <w:trPr>
          <w:trHeight w:val="416"/>
        </w:trPr>
        <w:tc>
          <w:tcPr>
            <w:tcW w:w="7480" w:type="dxa"/>
            <w:vAlign w:val="bottom"/>
          </w:tcPr>
          <w:p>
            <w:pPr>
              <w:ind w:left="680"/>
              <w:spacing w:after="0"/>
              <w:rPr>
                <w:sz w:val="20"/>
                <w:szCs w:val="20"/>
                <w:color w:val="auto"/>
              </w:rPr>
            </w:pPr>
            <w:r>
              <w:rPr>
                <w:rFonts w:ascii="Arial" w:cs="Arial" w:eastAsia="Arial" w:hAnsi="Arial"/>
                <w:sz w:val="22"/>
                <w:szCs w:val="22"/>
                <w:color w:val="auto"/>
              </w:rPr>
              <w:t>Settlement Date</w:t>
            </w:r>
          </w:p>
        </w:tc>
        <w:tc>
          <w:tcPr>
            <w:tcW w:w="1700" w:type="dxa"/>
            <w:vAlign w:val="bottom"/>
            <w:tcBorders>
              <w:bottom w:val="single" w:sz="8" w:color="auto"/>
            </w:tcBorders>
          </w:tcPr>
          <w:p>
            <w:pPr>
              <w:spacing w:after="0"/>
              <w:rPr>
                <w:sz w:val="24"/>
                <w:szCs w:val="24"/>
                <w:color w:val="auto"/>
              </w:rPr>
            </w:pPr>
          </w:p>
        </w:tc>
      </w:tr>
      <w:tr>
        <w:trPr>
          <w:trHeight w:val="277"/>
        </w:trPr>
        <w:tc>
          <w:tcPr>
            <w:tcW w:w="7480" w:type="dxa"/>
            <w:vAlign w:val="bottom"/>
          </w:tcPr>
          <w:p>
            <w:pPr>
              <w:ind w:left="680"/>
              <w:spacing w:after="0"/>
              <w:rPr>
                <w:sz w:val="20"/>
                <w:szCs w:val="20"/>
                <w:color w:val="auto"/>
              </w:rPr>
            </w:pPr>
            <w:r>
              <w:rPr>
                <w:rFonts w:ascii="Arial" w:cs="Arial" w:eastAsia="Arial" w:hAnsi="Arial"/>
                <w:sz w:val="22"/>
                <w:szCs w:val="22"/>
                <w:color w:val="auto"/>
              </w:rPr>
              <w:t>Specified Number of Shares (maximum)</w:t>
            </w:r>
          </w:p>
        </w:tc>
        <w:tc>
          <w:tcPr>
            <w:tcW w:w="1700" w:type="dxa"/>
            <w:vAlign w:val="bottom"/>
            <w:tcBorders>
              <w:bottom w:val="single" w:sz="8" w:color="auto"/>
            </w:tcBorders>
          </w:tcPr>
          <w:p>
            <w:pPr>
              <w:spacing w:after="0"/>
              <w:rPr>
                <w:sz w:val="24"/>
                <w:szCs w:val="24"/>
                <w:color w:val="auto"/>
              </w:rPr>
            </w:pPr>
          </w:p>
        </w:tc>
      </w:tr>
      <w:tr>
        <w:trPr>
          <w:trHeight w:val="291"/>
        </w:trPr>
        <w:tc>
          <w:tcPr>
            <w:tcW w:w="7480" w:type="dxa"/>
            <w:vAlign w:val="bottom"/>
          </w:tcPr>
          <w:p>
            <w:pPr>
              <w:ind w:left="680"/>
              <w:spacing w:after="0"/>
              <w:rPr>
                <w:sz w:val="20"/>
                <w:szCs w:val="20"/>
                <w:color w:val="auto"/>
              </w:rPr>
            </w:pPr>
            <w:r>
              <w:rPr>
                <w:rFonts w:ascii="Arial" w:cs="Arial" w:eastAsia="Arial" w:hAnsi="Arial"/>
                <w:sz w:val="22"/>
                <w:szCs w:val="22"/>
                <w:color w:val="auto"/>
              </w:rPr>
              <w:t>Limit Price</w:t>
            </w:r>
          </w:p>
        </w:tc>
        <w:tc>
          <w:tcPr>
            <w:tcW w:w="1700" w:type="dxa"/>
            <w:vAlign w:val="bottom"/>
            <w:tcBorders>
              <w:bottom w:val="single" w:sz="8" w:color="auto"/>
            </w:tcBorders>
          </w:tcPr>
          <w:p>
            <w:pPr>
              <w:jc w:val="right"/>
              <w:ind w:right="1452"/>
              <w:spacing w:after="0"/>
              <w:rPr>
                <w:sz w:val="20"/>
                <w:szCs w:val="20"/>
                <w:color w:val="auto"/>
              </w:rPr>
            </w:pPr>
            <w:r>
              <w:rPr>
                <w:rFonts w:ascii="Arial" w:cs="Arial" w:eastAsia="Arial" w:hAnsi="Arial"/>
                <w:sz w:val="22"/>
                <w:szCs w:val="22"/>
                <w:color w:val="auto"/>
                <w:w w:val="97"/>
              </w:rPr>
              <w:t>$</w:t>
            </w:r>
          </w:p>
        </w:tc>
      </w:tr>
      <w:tr>
        <w:trPr>
          <w:trHeight w:val="291"/>
        </w:trPr>
        <w:tc>
          <w:tcPr>
            <w:tcW w:w="7480" w:type="dxa"/>
            <w:vAlign w:val="bottom"/>
          </w:tcPr>
          <w:p>
            <w:pPr>
              <w:ind w:left="680"/>
              <w:spacing w:after="0"/>
              <w:rPr>
                <w:sz w:val="20"/>
                <w:szCs w:val="20"/>
                <w:color w:val="auto"/>
              </w:rPr>
            </w:pPr>
            <w:r>
              <w:rPr>
                <w:rFonts w:ascii="Arial" w:cs="Arial" w:eastAsia="Arial" w:hAnsi="Arial"/>
                <w:sz w:val="22"/>
                <w:szCs w:val="22"/>
                <w:color w:val="auto"/>
              </w:rPr>
              <w:t>Fee/Commission</w:t>
            </w:r>
          </w:p>
        </w:tc>
        <w:tc>
          <w:tcPr>
            <w:tcW w:w="1700" w:type="dxa"/>
            <w:vAlign w:val="bottom"/>
            <w:tcBorders>
              <w:bottom w:val="single" w:sz="8" w:color="auto"/>
            </w:tcBorders>
          </w:tcPr>
          <w:p>
            <w:pPr>
              <w:jc w:val="right"/>
              <w:ind w:right="1452"/>
              <w:spacing w:after="0"/>
              <w:rPr>
                <w:sz w:val="20"/>
                <w:szCs w:val="20"/>
                <w:color w:val="auto"/>
              </w:rPr>
            </w:pPr>
            <w:r>
              <w:rPr>
                <w:rFonts w:ascii="Arial" w:cs="Arial" w:eastAsia="Arial" w:hAnsi="Arial"/>
                <w:sz w:val="22"/>
                <w:szCs w:val="22"/>
                <w:color w:val="auto"/>
                <w:w w:val="97"/>
              </w:rPr>
              <w:t>$</w:t>
            </w:r>
          </w:p>
        </w:tc>
      </w:tr>
      <w:tr>
        <w:trPr>
          <w:trHeight w:val="483"/>
        </w:trPr>
        <w:tc>
          <w:tcPr>
            <w:tcW w:w="7480" w:type="dxa"/>
            <w:vAlign w:val="bottom"/>
          </w:tcPr>
          <w:p>
            <w:pPr>
              <w:spacing w:after="0"/>
              <w:rPr>
                <w:sz w:val="20"/>
                <w:szCs w:val="20"/>
                <w:color w:val="auto"/>
              </w:rPr>
            </w:pPr>
            <w:r>
              <w:rPr>
                <w:rFonts w:ascii="Arial" w:cs="Arial" w:eastAsia="Arial" w:hAnsi="Arial"/>
                <w:sz w:val="22"/>
                <w:szCs w:val="22"/>
                <w:color w:val="auto"/>
              </w:rPr>
              <w:t>Floor Price (Adjustable by Company): $____ per share.</w:t>
            </w:r>
          </w:p>
        </w:tc>
        <w:tc>
          <w:tcPr>
            <w:tcW w:w="17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Comments: ___________________________________________________________________.</w:t>
      </w:r>
    </w:p>
    <w:p>
      <w:pPr>
        <w:spacing w:after="0" w:line="220" w:lineRule="exact"/>
        <w:rPr>
          <w:sz w:val="20"/>
          <w:szCs w:val="20"/>
          <w:color w:val="auto"/>
        </w:rPr>
      </w:pPr>
    </w:p>
    <w:p>
      <w:pPr>
        <w:ind w:left="9740"/>
        <w:spacing w:after="0"/>
        <w:rPr>
          <w:sz w:val="20"/>
          <w:szCs w:val="20"/>
          <w:color w:val="auto"/>
        </w:rPr>
      </w:pPr>
      <w:r>
        <w:rPr>
          <w:rFonts w:ascii="Arial" w:cs="Arial" w:eastAsia="Arial" w:hAnsi="Arial"/>
          <w:sz w:val="22"/>
          <w:szCs w:val="22"/>
          <w:color w:val="auto"/>
        </w:rPr>
        <w:t>ALLETE, Inc.</w:t>
      </w:r>
    </w:p>
    <w:p>
      <w:pPr>
        <w:spacing w:after="0" w:line="220" w:lineRule="exact"/>
        <w:rPr>
          <w:sz w:val="20"/>
          <w:szCs w:val="20"/>
          <w:color w:val="auto"/>
        </w:rPr>
      </w:pPr>
    </w:p>
    <w:p>
      <w:pPr>
        <w:ind w:left="974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__________________________</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Its: 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ACCEPTED BY: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Lampert Capital Markets,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Its: _________________________</w:t>
      </w:r>
    </w:p>
    <w:p>
      <w:pPr>
        <w:sectPr>
          <w:pgSz w:w="11900" w:h="16838" w:orient="portrait"/>
          <w:cols w:equalWidth="0" w:num="1">
            <w:col w:w="11420"/>
          </w:cols>
          <w:pgMar w:left="240" w:top="585" w:right="239" w:bottom="1440" w:gutter="0" w:footer="0" w:header="0"/>
        </w:sectPr>
      </w:pPr>
    </w:p>
    <w:bookmarkStart w:id="53" w:name="page54"/>
    <w:bookmarkEnd w:id="53"/>
    <w:p>
      <w:pPr>
        <w:ind w:left="5280"/>
        <w:spacing w:after="0"/>
        <w:rPr>
          <w:sz w:val="20"/>
          <w:szCs w:val="20"/>
          <w:color w:val="auto"/>
        </w:rPr>
      </w:pPr>
      <w:r>
        <w:rPr>
          <w:rFonts w:ascii="Arial" w:cs="Arial" w:eastAsia="Arial" w:hAnsi="Arial"/>
          <w:sz w:val="22"/>
          <w:szCs w:val="22"/>
          <w:b w:val="1"/>
          <w:bCs w:val="1"/>
          <w:color w:val="auto"/>
        </w:rPr>
        <w:t>Exhibit B</w:t>
      </w:r>
    </w:p>
    <w:p>
      <w:pPr>
        <w:spacing w:after="0" w:line="226"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ALLETE,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Duluth, Minnesota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CERTIFICATE</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3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ALLETE, Inc. (the “Company”) hereby certifies that on the date hereof:</w:t>
      </w:r>
    </w:p>
    <w:p>
      <w:pPr>
        <w:spacing w:after="0" w:line="220" w:lineRule="exact"/>
        <w:rPr>
          <w:sz w:val="20"/>
          <w:szCs w:val="20"/>
          <w:color w:val="auto"/>
        </w:rPr>
      </w:pPr>
    </w:p>
    <w:p>
      <w:pPr>
        <w:jc w:val="both"/>
        <w:ind w:firstLine="1305"/>
        <w:spacing w:after="0" w:line="260" w:lineRule="exact"/>
        <w:tabs>
          <w:tab w:leader="none" w:pos="2107" w:val="left"/>
        </w:tabs>
        <w:numPr>
          <w:ilvl w:val="0"/>
          <w:numId w:val="28"/>
        </w:numPr>
        <w:rPr>
          <w:rFonts w:ascii="Arial" w:cs="Arial" w:eastAsia="Arial" w:hAnsi="Arial"/>
          <w:sz w:val="19"/>
          <w:szCs w:val="19"/>
          <w:color w:val="auto"/>
        </w:rPr>
      </w:pPr>
      <w:r>
        <w:rPr>
          <w:rFonts w:ascii="Arial" w:cs="Arial" w:eastAsia="Arial" w:hAnsi="Arial"/>
          <w:sz w:val="19"/>
          <w:szCs w:val="19"/>
          <w:color w:val="auto"/>
        </w:rPr>
        <w:t>To the best of the knowledge of the officer executing this certificate, no stop order suspending the effectiveness of the Registration Statement is in effect; no order of the Commission directed to the adequacy of any Incorporated Document is in effect; no proceedings for either such purpose are pending before, or to the knowledge of the Company threatened by, the Commission; and no notice of objection by the Commission to the use of the Registration Statement or any post</w:t>
      </w:r>
      <w:r>
        <w:rPr>
          <w:rFonts w:ascii="MS PGothic" w:cs="MS PGothic" w:eastAsia="MS PGothic" w:hAnsi="MS PGothic"/>
          <w:sz w:val="19"/>
          <w:szCs w:val="19"/>
          <w:color w:val="auto"/>
        </w:rPr>
        <w:t>‑</w:t>
      </w:r>
      <w:r>
        <w:rPr>
          <w:rFonts w:ascii="Arial" w:cs="Arial" w:eastAsia="Arial" w:hAnsi="Arial"/>
          <w:sz w:val="19"/>
          <w:szCs w:val="19"/>
          <w:color w:val="auto"/>
        </w:rPr>
        <w:t>effective amendment thereto pursuant to Rule 401(g)(2) under the Act has been received by the Company and not removed.</w:t>
      </w:r>
    </w:p>
    <w:p>
      <w:pPr>
        <w:spacing w:after="0" w:line="242" w:lineRule="exact"/>
        <w:rPr>
          <w:rFonts w:ascii="Arial" w:cs="Arial" w:eastAsia="Arial" w:hAnsi="Arial"/>
          <w:sz w:val="19"/>
          <w:szCs w:val="19"/>
          <w:color w:val="auto"/>
        </w:rPr>
      </w:pPr>
    </w:p>
    <w:p>
      <w:pPr>
        <w:jc w:val="both"/>
        <w:ind w:firstLine="1305"/>
        <w:spacing w:after="0" w:line="253" w:lineRule="auto"/>
        <w:tabs>
          <w:tab w:leader="none" w:pos="2107"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There has been issued and is in full force and effect an order of the MPUC dated _____________ with respect to the petition filed by the Company with the MPUC seeking approval of the Company’s capital structure and authorization to issue the Remaining Shares.</w:t>
      </w:r>
    </w:p>
    <w:p>
      <w:pPr>
        <w:spacing w:after="0" w:line="226" w:lineRule="exact"/>
        <w:rPr>
          <w:rFonts w:ascii="Arial" w:cs="Arial" w:eastAsia="Arial" w:hAnsi="Arial"/>
          <w:sz w:val="22"/>
          <w:szCs w:val="22"/>
          <w:color w:val="auto"/>
        </w:rPr>
      </w:pPr>
    </w:p>
    <w:p>
      <w:pPr>
        <w:jc w:val="both"/>
        <w:ind w:firstLine="1305"/>
        <w:spacing w:after="0" w:line="250" w:lineRule="auto"/>
        <w:tabs>
          <w:tab w:leader="none" w:pos="2107" w:val="left"/>
        </w:tabs>
        <w:numPr>
          <w:ilvl w:val="0"/>
          <w:numId w:val="28"/>
        </w:numPr>
        <w:rPr>
          <w:rFonts w:ascii="Arial" w:cs="Arial" w:eastAsia="Arial" w:hAnsi="Arial"/>
          <w:sz w:val="22"/>
          <w:szCs w:val="22"/>
          <w:color w:val="auto"/>
        </w:rPr>
      </w:pPr>
      <w:r>
        <w:rPr>
          <w:rFonts w:ascii="Arial" w:cs="Arial" w:eastAsia="Arial" w:hAnsi="Arial"/>
          <w:sz w:val="22"/>
          <w:szCs w:val="22"/>
          <w:color w:val="auto"/>
        </w:rPr>
        <w:t>Since the respective dates as of which information is given in the Registration Statement and up to the date hereof, there has not been any change in the business, properties or assets or the results of operations, condition (financial or otherwise), business or operations of the Company and its Subsidiaries, taken as a whole, that would have, or would reasonably be expected to have, a Material Adverse Effect.</w:t>
      </w:r>
    </w:p>
    <w:p>
      <w:pPr>
        <w:spacing w:after="0" w:line="228" w:lineRule="exact"/>
        <w:rPr>
          <w:rFonts w:ascii="Arial" w:cs="Arial" w:eastAsia="Arial" w:hAnsi="Arial"/>
          <w:sz w:val="22"/>
          <w:szCs w:val="22"/>
          <w:color w:val="auto"/>
        </w:rPr>
      </w:pPr>
    </w:p>
    <w:p>
      <w:pPr>
        <w:jc w:val="both"/>
        <w:ind w:firstLine="1305"/>
        <w:spacing w:after="0" w:line="294" w:lineRule="auto"/>
        <w:tabs>
          <w:tab w:leader="none" w:pos="2107" w:val="left"/>
        </w:tabs>
        <w:numPr>
          <w:ilvl w:val="0"/>
          <w:numId w:val="28"/>
        </w:numPr>
        <w:rPr>
          <w:rFonts w:ascii="Arial" w:cs="Arial" w:eastAsia="Arial" w:hAnsi="Arial"/>
          <w:sz w:val="19"/>
          <w:szCs w:val="19"/>
          <w:color w:val="auto"/>
        </w:rPr>
      </w:pPr>
      <w:r>
        <w:rPr>
          <w:rFonts w:ascii="Arial" w:cs="Arial" w:eastAsia="Arial" w:hAnsi="Arial"/>
          <w:sz w:val="19"/>
          <w:szCs w:val="19"/>
          <w:color w:val="auto"/>
        </w:rPr>
        <w:t>All of the obligations of the Company set forth in the Third Amended and Restated Distribution Agreement, dated August 3, 2012, as amended by Amendment No. 1 to Third Amended and Restated Distribution Agreement, dated August 5, 2013, by an Assignment and Assumption of and Amendment No. 2 to Third Amended and Restated Distribution Agreement, dated February 13, 2014, and by Amendment No. 3 to Third Amended and Restated Distribution Agreement, dated May 7, 2014 (collectively, the “Agreement”), between the Company and Lampert Capital Markets, Inc., as successor to KCCI, Ltd., as agent, which are to be performed on or prior to the date hereof have been duly performed as of the date hereof.</w:t>
      </w:r>
    </w:p>
    <w:p>
      <w:pPr>
        <w:spacing w:after="0" w:line="190" w:lineRule="exact"/>
        <w:rPr>
          <w:rFonts w:ascii="Arial" w:cs="Arial" w:eastAsia="Arial" w:hAnsi="Arial"/>
          <w:sz w:val="19"/>
          <w:szCs w:val="19"/>
          <w:color w:val="auto"/>
        </w:rPr>
      </w:pPr>
    </w:p>
    <w:p>
      <w:pPr>
        <w:jc w:val="both"/>
        <w:ind w:firstLine="1305"/>
        <w:spacing w:after="0" w:line="263" w:lineRule="auto"/>
        <w:tabs>
          <w:tab w:leader="none" w:pos="2107"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Company shall not sell any Remaining Shares pursuant to the Agreement unless the price per share to be paid to the Company for the Remaining Shares shall be equal to or greater than $30.00 per share and the number of Remaining Shares sold on any given day shall not exceed the greater of (i) twenty percent (20%) of the trading volume in the Common Stock on the Exchange on the Purchase Date, or (ii) twenty percent (20%) of the average daily trading volume in the Common Stock on the Exchange for the ninety (90) trading days preceding the Purchase Date.</w:t>
      </w:r>
    </w:p>
    <w:p>
      <w:pPr>
        <w:sectPr>
          <w:pgSz w:w="11900" w:h="16838" w:orient="portrait"/>
          <w:cols w:equalWidth="0" w:num="1">
            <w:col w:w="11420"/>
          </w:cols>
          <w:pgMar w:left="240" w:top="585" w:right="239" w:bottom="1440" w:gutter="0" w:footer="0" w:header="0"/>
        </w:sectPr>
      </w:pPr>
    </w:p>
    <w:bookmarkStart w:id="54" w:name="page55"/>
    <w:bookmarkEnd w:id="54"/>
    <w:p>
      <w:pPr>
        <w:ind w:left="-1200" w:firstLine="1305"/>
        <w:spacing w:after="0" w:line="263" w:lineRule="auto"/>
        <w:tabs>
          <w:tab w:leader="none" w:pos="907"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Agreement executed by the Company has been approved by, or pursuant to the authority of, the Board of Directors of the Company.</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21"/>
          <w:szCs w:val="21"/>
          <w:color w:val="auto"/>
        </w:rPr>
        <w:t>Each capitalized term used but not defined herein shall have the meaning ascribed thereto in the Agreement.</w:t>
      </w:r>
    </w:p>
    <w:p>
      <w:pPr>
        <w:spacing w:after="0" w:line="23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ALLETE, Inc.</w:t>
      </w:r>
    </w:p>
    <w:p>
      <w:pPr>
        <w:spacing w:after="0" w:line="200" w:lineRule="exact"/>
        <w:rPr>
          <w:sz w:val="20"/>
          <w:szCs w:val="20"/>
          <w:color w:val="auto"/>
        </w:rPr>
      </w:pPr>
    </w:p>
    <w:p>
      <w:pPr>
        <w:spacing w:after="0" w:line="23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By:_____________________________</w:t>
      </w:r>
    </w:p>
    <w:p>
      <w:pPr>
        <w:sectPr>
          <w:pgSz w:w="11900" w:h="16838" w:orient="portrait"/>
          <w:cols w:equalWidth="0" w:num="1">
            <w:col w:w="10220"/>
          </w:cols>
          <w:pgMar w:left="1440" w:top="591"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[Letterhead of Deborah A. Amberg, Esq.]</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Lampert Capital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477 Madison Avenue, Ste. 230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Reference is made to the sale by ALLETE, Inc., a Minnesota corporation (“Company”), of up to 3,147,753 shares of its common stock, without par value (“Common Stock” or the “Shares”), pursuant to Third Amended and Restated Distribution Agreement, dated August 2, 2012, as amended by Amendment No. 1 to Third Amended and Restated Distribution Agreement, dated August 5, 2013, by an Assignment and Assumption of and Amendment No. 2 to Third Amended and Restated Distribution Agreement, dated February 13, 2014, and by an Amendment No. 3 to Third Amended and Restated Distribution Agreement, dated May 7, 2014 (collectively, the “Agreement”) between the Company and Lampert Capital Markets, Inc., as successor to KCCI, Ltd. (the “Agent”).</w:t>
      </w:r>
    </w:p>
    <w:p>
      <w:pPr>
        <w:spacing w:after="0" w:line="197" w:lineRule="exact"/>
        <w:rPr>
          <w:sz w:val="20"/>
          <w:szCs w:val="20"/>
          <w:color w:val="auto"/>
        </w:rPr>
      </w:pPr>
    </w:p>
    <w:p>
      <w:pPr>
        <w:jc w:val="both"/>
        <w:ind w:firstLine="1297"/>
        <w:spacing w:after="0" w:line="259" w:lineRule="exact"/>
        <w:rPr>
          <w:sz w:val="20"/>
          <w:szCs w:val="20"/>
          <w:color w:val="auto"/>
        </w:rPr>
      </w:pPr>
      <w:r>
        <w:rPr>
          <w:rFonts w:ascii="Arial" w:cs="Arial" w:eastAsia="Arial" w:hAnsi="Arial"/>
          <w:sz w:val="19"/>
          <w:szCs w:val="19"/>
          <w:color w:val="auto"/>
        </w:rPr>
        <w:t>I advise you that I am General Counsel to the Company and have acted in that capacity in connection with the Agreement and the issuance and sale of the Shares pursuant to the Agreement and I (or attorneys in the Company’s legal department with whom I have consulted) have participated in the preparation of (a) Registration Statement No. 333</w:t>
      </w:r>
      <w:r>
        <w:rPr>
          <w:rFonts w:ascii="MS PGothic" w:cs="MS PGothic" w:eastAsia="MS PGothic" w:hAnsi="MS PGothic"/>
          <w:sz w:val="19"/>
          <w:szCs w:val="19"/>
          <w:color w:val="auto"/>
        </w:rPr>
        <w:t>‑</w:t>
      </w:r>
      <w:r>
        <w:rPr>
          <w:rFonts w:ascii="Arial" w:cs="Arial" w:eastAsia="Arial" w:hAnsi="Arial"/>
          <w:sz w:val="19"/>
          <w:szCs w:val="19"/>
          <w:color w:val="auto"/>
        </w:rPr>
        <w:t>190335, as filed by the Company with the Securities and Exchange Commission (“SEC”) for the registration of an indeterminate amount of Common Stock and one or more series of the Company’s first mortgage bonds under the Securities Act of 1933, as amended (the “Securities Act”); (b) the prospectus, dated August 2, 2013, constituting part of the Registration Statement, as amended and supplemented by a prospectus supplement, dated May 7, 2014, relating to the Shares (“Prospectus”); (c) the Agreement; and (d) the petition filed by the Company with the Minnesota Public Utilities Commission (“MPUC”), dated _____________, seeking</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approval of the Company’s capital structure and authorization to issue the Shares. In addition, I have reviewed the order issued by the MPUC, dated _____________ (“Order”), in response to said petition.</w:t>
      </w:r>
    </w:p>
    <w:p>
      <w:pPr>
        <w:spacing w:after="0" w:line="19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In furnishing this opinion, I have examined the Amended and Restated Articles of Incorporation, as amended (the “Charter”), and the Bylaws, as amended (“Bylaws”), of the Company, and have made such further investigation and examined such further documents and records of the Company and certificates of public officials as I have deemed necessary or appropriate for purposes of this opinion. I have also reviewed all corporate proceedings taken by the Company in respect of the authorization of the Agreement and the issuance and sale of the Shares thereunder.</w:t>
      </w:r>
    </w:p>
    <w:p>
      <w:pPr>
        <w:sectPr>
          <w:pgSz w:w="11900" w:h="16838" w:orient="portrait"/>
          <w:cols w:equalWidth="0" w:num="1">
            <w:col w:w="11420"/>
          </w:cols>
          <w:pgMar w:left="240" w:top="585" w:right="239" w:bottom="1440" w:gutter="0" w:footer="0" w:header="0"/>
        </w:sectPr>
      </w:pPr>
    </w:p>
    <w:bookmarkStart w:id="56" w:name="page57"/>
    <w:bookmarkEnd w:id="56"/>
    <w:p>
      <w:pPr>
        <w:jc w:val="both"/>
        <w:ind w:firstLine="1297"/>
        <w:spacing w:after="0" w:line="247" w:lineRule="auto"/>
        <w:rPr>
          <w:sz w:val="20"/>
          <w:szCs w:val="20"/>
          <w:color w:val="auto"/>
        </w:rPr>
      </w:pPr>
      <w:r>
        <w:rPr>
          <w:rFonts w:ascii="Arial" w:cs="Arial" w:eastAsia="Arial" w:hAnsi="Arial"/>
          <w:sz w:val="22"/>
          <w:szCs w:val="22"/>
          <w:color w:val="auto"/>
        </w:rPr>
        <w:t>For purposes of the opinions expressed below, I have assumed (i) the authenticity of all documents submitted to me as originals, (ii) the conformity to the originals of all documents submitted to me as certified or photostatic copies and the authenticity of the originals of such copies, (iii) the genuineness of all signatures other than on behalf of the Company, (iv) the legal capacity of natural persons, (v) the power, corporate or otherwise, of all parties other than the Company to enter into and to perform all of its obligations under such documents, and (vi) the due authorization, execution and delivery of all documents by all parties other than the Company.</w:t>
      </w:r>
    </w:p>
    <w:p>
      <w:pPr>
        <w:spacing w:after="0" w:line="19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For purposes of the opinions contained herein, I have made no independent investigation of the facts referred to herein, and with respect to such facts have relied, for the purpose of rendering this opinion and except as otherwise stated herein, exclusively on the statements contained and matters provided for in the Agreement and such other documents relating to the Agreement as I have deemed advisable, including the factual representations, warranties and covenants contained therein as made by the respective parties thereto and assumed that any such statement or representation that was given or dated on or prior to the date hereof continues to remain accurate and complete, insofar as relevant to my opinion, from such earlier date through and including the date of this opinion.</w:t>
      </w:r>
    </w:p>
    <w:p>
      <w:pPr>
        <w:spacing w:after="0" w:line="19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Upon the basis of my familiarity with these transactions and with the Company’s properties and affairs generally, I am of the opinion that:</w:t>
      </w:r>
    </w:p>
    <w:p>
      <w:pPr>
        <w:spacing w:after="0" w:line="175" w:lineRule="exact"/>
        <w:rPr>
          <w:sz w:val="20"/>
          <w:szCs w:val="20"/>
          <w:color w:val="auto"/>
        </w:rPr>
      </w:pPr>
    </w:p>
    <w:p>
      <w:pPr>
        <w:ind w:firstLine="1305"/>
        <w:spacing w:after="0" w:line="263" w:lineRule="auto"/>
        <w:tabs>
          <w:tab w:leader="none" w:pos="2107"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is a validly organized and existing corporation under the laws of the State of Minnesota and is duly qualified to do business, and is doing business, in that State.</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07"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is a public utility corporation duly authorized by its Charter to conduct the business which it is now conducting as set forth in the Prospectus and the Company holds valid and subsisting franchises, licenses and permits authorizing it to carry on the utility business in which it is engaged.</w:t>
      </w:r>
    </w:p>
    <w:p>
      <w:pPr>
        <w:spacing w:after="0" w:line="226" w:lineRule="exact"/>
        <w:rPr>
          <w:rFonts w:ascii="Arial" w:cs="Arial" w:eastAsia="Arial" w:hAnsi="Arial"/>
          <w:sz w:val="22"/>
          <w:szCs w:val="22"/>
          <w:color w:val="auto"/>
        </w:rPr>
      </w:pPr>
    </w:p>
    <w:p>
      <w:pPr>
        <w:jc w:val="both"/>
        <w:ind w:firstLine="1305"/>
        <w:spacing w:after="0" w:line="263" w:lineRule="exact"/>
        <w:tabs>
          <w:tab w:leader="none" w:pos="2107"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Shares have been duly authorized for issuance and sale and, upon delivery to the Agent against payment therefor in accordance with the terms of the Agreement, will be validly issued, fully paid and non</w:t>
      </w:r>
      <w:r>
        <w:rPr>
          <w:rFonts w:ascii="MS PGothic" w:cs="MS PGothic" w:eastAsia="MS PGothic" w:hAnsi="MS PGothic"/>
          <w:sz w:val="22"/>
          <w:szCs w:val="22"/>
          <w:color w:val="auto"/>
        </w:rPr>
        <w:t>‑</w:t>
      </w:r>
      <w:r>
        <w:rPr>
          <w:rFonts w:ascii="Arial" w:cs="Arial" w:eastAsia="Arial" w:hAnsi="Arial"/>
          <w:sz w:val="22"/>
          <w:szCs w:val="22"/>
          <w:color w:val="auto"/>
        </w:rPr>
        <w:t>assessable, and will not be subject to any preemptive or similar right.</w:t>
      </w:r>
    </w:p>
    <w:p>
      <w:pPr>
        <w:spacing w:after="0" w:line="239" w:lineRule="exact"/>
        <w:rPr>
          <w:rFonts w:ascii="Arial" w:cs="Arial" w:eastAsia="Arial" w:hAnsi="Arial"/>
          <w:sz w:val="22"/>
          <w:szCs w:val="22"/>
          <w:color w:val="auto"/>
        </w:rPr>
      </w:pPr>
    </w:p>
    <w:p>
      <w:pPr>
        <w:jc w:val="both"/>
        <w:ind w:firstLine="1305"/>
        <w:spacing w:after="0" w:line="246" w:lineRule="auto"/>
        <w:tabs>
          <w:tab w:leader="none" w:pos="2107"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Order has been issued by the MPUC certifying the Company’s capital structure and to the best of my knowledge, said Order is still in full force and effect; and assuming the Company complies with the capital structure, equity ratio and other provisions of the Order, no further approval, authorization, consent or order of any public board or body (other than in connection or in compliance with the provisions of the securities or “blue sky” laws of any jurisdiction, as to which I express no opinion) is legally required for the authorization of the issuance and sale of the Shares, it being understood that any future authorizations of the MPUC referenced in Section 6(e) of the Agreement shall be addressed in a subsequent written opinion delivered pursuant to Section 6(e) of the Agreement.</w:t>
      </w:r>
    </w:p>
    <w:p>
      <w:pPr>
        <w:sectPr>
          <w:pgSz w:w="11900" w:h="16838" w:orient="portrait"/>
          <w:cols w:equalWidth="0" w:num="1">
            <w:col w:w="11420"/>
          </w:cols>
          <w:pgMar w:left="240" w:top="591" w:right="239" w:bottom="1440" w:gutter="0" w:footer="0" w:header="0"/>
        </w:sectPr>
      </w:pPr>
    </w:p>
    <w:bookmarkStart w:id="57" w:name="page58"/>
    <w:bookmarkEnd w:id="57"/>
    <w:p>
      <w:pPr>
        <w:jc w:val="both"/>
        <w:ind w:firstLine="1305"/>
        <w:spacing w:after="0" w:line="297" w:lineRule="auto"/>
        <w:tabs>
          <w:tab w:leader="none" w:pos="2107"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Registration Statement and the Prospectus (except as to the financial statements and other financial or statistical data contained therein, upon which I do not pass) comply as to form in all material respects with the requirements of the Securities Act and the applicable instructions, rules and regulations of the SEC thereunder; the Registration Statement has become, and at the date hereof the Registration Statement is, effective under the Securities Act, and to the best of my knowledge no proceedings for a stop order with respect thereto are pending or threatened under Section 8 of the Securities Act.</w:t>
      </w:r>
    </w:p>
    <w:p>
      <w:pPr>
        <w:spacing w:after="0" w:line="187" w:lineRule="exact"/>
        <w:rPr>
          <w:rFonts w:ascii="Arial" w:cs="Arial" w:eastAsia="Arial" w:hAnsi="Arial"/>
          <w:sz w:val="19"/>
          <w:szCs w:val="19"/>
          <w:color w:val="auto"/>
        </w:rPr>
      </w:pPr>
    </w:p>
    <w:p>
      <w:pPr>
        <w:jc w:val="both"/>
        <w:ind w:firstLine="1305"/>
        <w:spacing w:after="0" w:line="253" w:lineRule="auto"/>
        <w:tabs>
          <w:tab w:leader="none" w:pos="2107"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statements set forth in the Prospectus under the caption “Description of Common Stock” constitute a summary of the securities, documents and instruments therein described, are accurate and fairly present the information contained therein in all material respects.</w:t>
      </w:r>
    </w:p>
    <w:p>
      <w:pPr>
        <w:spacing w:after="0" w:line="226" w:lineRule="exact"/>
        <w:rPr>
          <w:rFonts w:ascii="Arial" w:cs="Arial" w:eastAsia="Arial" w:hAnsi="Arial"/>
          <w:sz w:val="22"/>
          <w:szCs w:val="22"/>
          <w:color w:val="auto"/>
        </w:rPr>
      </w:pPr>
    </w:p>
    <w:p>
      <w:pPr>
        <w:ind w:firstLine="1305"/>
        <w:spacing w:after="0" w:line="263" w:lineRule="auto"/>
        <w:tabs>
          <w:tab w:leader="none" w:pos="2107"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Company has full power and authority to enter into the Agreement. The Agreement has been duly executed and delivered by the Company.</w:t>
      </w:r>
    </w:p>
    <w:p>
      <w:pPr>
        <w:spacing w:after="0" w:line="215" w:lineRule="exact"/>
        <w:rPr>
          <w:rFonts w:ascii="Arial" w:cs="Arial" w:eastAsia="Arial" w:hAnsi="Arial"/>
          <w:sz w:val="22"/>
          <w:szCs w:val="22"/>
          <w:color w:val="auto"/>
        </w:rPr>
      </w:pPr>
    </w:p>
    <w:p>
      <w:pPr>
        <w:jc w:val="both"/>
        <w:ind w:firstLine="1305"/>
        <w:spacing w:after="0" w:line="250" w:lineRule="auto"/>
        <w:tabs>
          <w:tab w:leader="none" w:pos="2107" w:val="left"/>
        </w:tabs>
        <w:numPr>
          <w:ilvl w:val="0"/>
          <w:numId w:val="31"/>
        </w:numPr>
        <w:rPr>
          <w:rFonts w:ascii="Arial" w:cs="Arial" w:eastAsia="Arial" w:hAnsi="Arial"/>
          <w:sz w:val="22"/>
          <w:szCs w:val="22"/>
          <w:color w:val="auto"/>
        </w:rPr>
      </w:pPr>
      <w:r>
        <w:rPr>
          <w:rFonts w:ascii="Arial" w:cs="Arial" w:eastAsia="Arial" w:hAnsi="Arial"/>
          <w:sz w:val="22"/>
          <w:szCs w:val="22"/>
          <w:color w:val="auto"/>
        </w:rPr>
        <w:t>Each Significant Subsidiary (as defined in the Agreement), if any, is a validly organized and existing entity under the laws of the state of its organization and is duly qualified to do business, and is doing business, in such state and in each other state in which the failure to qualify would be material to the Company and its Subsidiaries (as defined in the Agreement), taken as a whole.</w:t>
      </w:r>
    </w:p>
    <w:p>
      <w:pPr>
        <w:spacing w:after="0" w:line="228" w:lineRule="exact"/>
        <w:rPr>
          <w:rFonts w:ascii="Arial" w:cs="Arial" w:eastAsia="Arial" w:hAnsi="Arial"/>
          <w:sz w:val="22"/>
          <w:szCs w:val="22"/>
          <w:color w:val="auto"/>
        </w:rPr>
      </w:pPr>
    </w:p>
    <w:p>
      <w:pPr>
        <w:jc w:val="both"/>
        <w:ind w:firstLine="1305"/>
        <w:spacing w:after="0" w:line="246" w:lineRule="auto"/>
        <w:tabs>
          <w:tab w:leader="none" w:pos="2107" w:val="left"/>
        </w:tabs>
        <w:numPr>
          <w:ilvl w:val="0"/>
          <w:numId w:val="31"/>
        </w:numPr>
        <w:rPr>
          <w:rFonts w:ascii="Arial" w:cs="Arial" w:eastAsia="Arial" w:hAnsi="Arial"/>
          <w:sz w:val="22"/>
          <w:szCs w:val="22"/>
          <w:color w:val="auto"/>
        </w:rPr>
      </w:pPr>
      <w:r>
        <w:rPr>
          <w:rFonts w:ascii="Arial" w:cs="Arial" w:eastAsia="Arial" w:hAnsi="Arial"/>
          <w:sz w:val="22"/>
          <w:szCs w:val="22"/>
          <w:color w:val="auto"/>
        </w:rPr>
        <w:t>Other than as stated in the Registration Statement and the Prospectus, there are no pending legal proceedings to which the Company or any of its Subsidiaries is a party or of which property of the Company or any of its Subsidiaries is the subject, which depart from the ordinary routine litigation incident to the kind of business conducted by the Company or any such subsidiary, and which is reasonably likely to be determined adversely and, if determined adversely, would reasonably be expected to have a Material Adverse Effect (as defined in the Agreement) on the Company and its Subsidiaries, taken as a whole, and, to the best of my knowledge, no such proceedings are known to be contemplated by governmental authorities.</w:t>
      </w:r>
    </w:p>
    <w:p>
      <w:pPr>
        <w:spacing w:after="0" w:line="237" w:lineRule="exact"/>
        <w:rPr>
          <w:rFonts w:ascii="Arial" w:cs="Arial" w:eastAsia="Arial" w:hAnsi="Arial"/>
          <w:sz w:val="22"/>
          <w:szCs w:val="22"/>
          <w:color w:val="auto"/>
        </w:rPr>
      </w:pPr>
    </w:p>
    <w:p>
      <w:pPr>
        <w:jc w:val="both"/>
        <w:ind w:firstLine="1305"/>
        <w:spacing w:after="0" w:line="297" w:lineRule="auto"/>
        <w:tabs>
          <w:tab w:leader="none" w:pos="2215" w:val="left"/>
        </w:tabs>
        <w:numPr>
          <w:ilvl w:val="0"/>
          <w:numId w:val="31"/>
        </w:numPr>
        <w:rPr>
          <w:rFonts w:ascii="Arial" w:cs="Arial" w:eastAsia="Arial" w:hAnsi="Arial"/>
          <w:sz w:val="19"/>
          <w:szCs w:val="19"/>
          <w:color w:val="auto"/>
        </w:rPr>
      </w:pPr>
      <w:r>
        <w:rPr>
          <w:rFonts w:ascii="Arial" w:cs="Arial" w:eastAsia="Arial" w:hAnsi="Arial"/>
          <w:sz w:val="19"/>
          <w:szCs w:val="19"/>
          <w:color w:val="auto"/>
        </w:rPr>
        <w:t>Neither the issue and sale by the Company of the Shares as contemplated by the Agreement nor the consummation by the Company of the other transactions contemplated by the Agreement conflicts with, or results in a breach of, the Charter or Bylaws of the Company or any agreement or instrument known to me to which the Company is a party or by which the Company is bound, any law or regulation or, so far as is known to me, any order or regulation of any court, governmental instrumentality or arbitrator, and which conflict or breach is material to the Company and its Subsidiaries, taken as a whole.</w:t>
      </w:r>
    </w:p>
    <w:p>
      <w:pPr>
        <w:spacing w:after="0" w:line="18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In passing upon the forms of the Registration Statement and the Prospectus, I necessarily assume the correctness and completeness of the statements made or included therein by the Company and take no responsibility therefor, except insofar as such statements relate to me and as set forth in the Prospectus under the heading “Legal Opinions” and in paragraph 6 above. In the course of the preparation by the Company of the Registration Statement and the Prospectus, I had conferences with certain of its officers and representatives, with other counsel for the Company and with PricewaterhouseCoopers LLP, the independent registered public accounting firm who examined certain of the Company’s internal controls over financial reporting and the financial statements incorporated by reference in the Registration Statement. My examination of the Registration Statement and the Prospectus, and my discussions in the above-mentioned</w:t>
      </w:r>
    </w:p>
    <w:p>
      <w:pPr>
        <w:sectPr>
          <w:pgSz w:w="11900" w:h="16838" w:orient="portrait"/>
          <w:cols w:equalWidth="0" w:num="1">
            <w:col w:w="11420"/>
          </w:cols>
          <w:pgMar w:left="240" w:top="591" w:right="239" w:bottom="1440" w:gutter="0" w:footer="0" w:header="0"/>
        </w:sectPr>
      </w:pPr>
    </w:p>
    <w:bookmarkStart w:id="58" w:name="page59"/>
    <w:bookmarkEnd w:id="58"/>
    <w:p>
      <w:pPr>
        <w:jc w:val="both"/>
        <w:spacing w:after="0" w:line="290" w:lineRule="auto"/>
        <w:rPr>
          <w:sz w:val="20"/>
          <w:szCs w:val="20"/>
          <w:color w:val="auto"/>
        </w:rPr>
      </w:pPr>
      <w:r>
        <w:rPr>
          <w:rFonts w:ascii="Arial" w:cs="Arial" w:eastAsia="Arial" w:hAnsi="Arial"/>
          <w:sz w:val="19"/>
          <w:szCs w:val="19"/>
          <w:color w:val="auto"/>
        </w:rPr>
        <w:t>conferences did not disclose to me any information which gives me reason to believe that, at the time of the Registration Statement’s effectiveness for purposes of Section 11 of the Act, as such section applies to the Agent, the Registration Statement contained an untrue statement of a material fact or omitted to state a material fact required to be stated therein or necessary to make the statements therein not misleading or that the Prospectus at the time it was filed electronically with the Commission pursuant to Rule 424, and the Prospectus, as amended or supplemented at the date hereof, contained or contains an untrue statement of a material fact or omitted or omits to state a material fact necessary in order to make the statements therein, in the light of the circumstances under which they were made, not misleading. I do not express any opinion or belief as to the financial statements or other financial or statistical data contained in the Registration Statement or in the Prospectus.</w:t>
      </w:r>
    </w:p>
    <w:p>
      <w:pPr>
        <w:spacing w:after="0" w:line="157" w:lineRule="exact"/>
        <w:rPr>
          <w:sz w:val="20"/>
          <w:szCs w:val="20"/>
          <w:color w:val="auto"/>
        </w:rPr>
      </w:pPr>
    </w:p>
    <w:p>
      <w:pPr>
        <w:ind w:right="60" w:firstLine="1297"/>
        <w:spacing w:after="0" w:line="248" w:lineRule="auto"/>
        <w:rPr>
          <w:sz w:val="20"/>
          <w:szCs w:val="20"/>
          <w:color w:val="auto"/>
        </w:rPr>
      </w:pPr>
      <w:r>
        <w:rPr>
          <w:rFonts w:ascii="Arial" w:cs="Arial" w:eastAsia="Arial" w:hAnsi="Arial"/>
          <w:sz w:val="22"/>
          <w:szCs w:val="22"/>
          <w:color w:val="auto"/>
        </w:rPr>
        <w:t>This opinion is limited to the laws of the State of Minnesota and the federal laws of the United States insofar as they bear on the matters covered hereby. As to all matters of New York law, I have relied, with your consent, upon the opinion of even date herewith rendered to you by Morgan, Lewis &amp; Bockius LLP, New York, New York. As to all matters of Minnesota law, Morgan, Lewis &amp; Bockius LLP, is hereby authorized to rely upon this opinion to the same extent as if this opinion had been addressed to them.</w:t>
      </w:r>
    </w:p>
    <w:p>
      <w:pPr>
        <w:spacing w:after="0" w:line="19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Deborah A. Amberg</w:t>
      </w:r>
    </w:p>
    <w:p>
      <w:pPr>
        <w:sectPr>
          <w:pgSz w:w="11900" w:h="16838" w:orient="portrait"/>
          <w:cols w:equalWidth="0" w:num="1">
            <w:col w:w="11420"/>
          </w:cols>
          <w:pgMar w:left="240" w:top="59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[Letterhead of Morgan, Lewis &amp; Bockius LLP]</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Lampert Capital Markets,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477 Madison Avenue, Ste. 230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Reference is made to the sale by ALLETE, Inc., a Minnesota corporation (“Company”), of up to 3,147,753 shares of its common stock, without par value (“Common Stock” or the “Shares”), pursuant to Third Amended and Restated Distribution Agreement, dated August 2, 2012, as amended by Amendment No. 1 to Third Amended and Restated Distribution Agreement, dated August 5, 2013, by an Assignment and Assumption of and Amendment No. 2 to Third Amended and Restated Distribution Agreement, dated February 13, 2014, and by an Amendment No. 3 to Third Amended and Restated Distribution Agreement, dated May 7, 2014 (collectively, the “Agreement”) between the Company and Lampert Capital Markets, Inc., as successor to KCCI, Ltd. (the “Agent”).</w:t>
      </w:r>
    </w:p>
    <w:p>
      <w:pPr>
        <w:spacing w:after="0" w:line="197" w:lineRule="exact"/>
        <w:rPr>
          <w:sz w:val="20"/>
          <w:szCs w:val="20"/>
          <w:color w:val="auto"/>
        </w:rPr>
      </w:pPr>
    </w:p>
    <w:p>
      <w:pPr>
        <w:jc w:val="both"/>
        <w:ind w:firstLine="1297"/>
        <w:spacing w:after="0" w:line="259" w:lineRule="exact"/>
        <w:rPr>
          <w:sz w:val="20"/>
          <w:szCs w:val="20"/>
          <w:color w:val="auto"/>
        </w:rPr>
      </w:pPr>
      <w:r>
        <w:rPr>
          <w:rFonts w:ascii="Arial" w:cs="Arial" w:eastAsia="Arial" w:hAnsi="Arial"/>
          <w:sz w:val="19"/>
          <w:szCs w:val="19"/>
          <w:color w:val="auto"/>
        </w:rPr>
        <w:t>We have acted as counsel for the Company and we have participated in the preparation of or reviewed (a) Registration Statement No. 333</w:t>
      </w:r>
      <w:r>
        <w:rPr>
          <w:rFonts w:ascii="MS PGothic" w:cs="MS PGothic" w:eastAsia="MS PGothic" w:hAnsi="MS PGothic"/>
          <w:sz w:val="19"/>
          <w:szCs w:val="19"/>
          <w:color w:val="auto"/>
        </w:rPr>
        <w:t>‑</w:t>
      </w:r>
      <w:r>
        <w:rPr>
          <w:rFonts w:ascii="Arial" w:cs="Arial" w:eastAsia="Arial" w:hAnsi="Arial"/>
          <w:sz w:val="19"/>
          <w:szCs w:val="19"/>
          <w:color w:val="auto"/>
        </w:rPr>
        <w:t>190335, as filed by the Company with the Securities and Exchange Commission (“SEC”) for the registration of an indeterminate amount of Common Stock and one or more series of the Company’s first mortgage bonds under the Securities Act of 1933, as amended (the “Securities Act”); (b) the prospectus, dated August 2, 2013, constituting part of the Registration Statement, as amended and supplemented by a prospectus supplement, dated May 7, 2014, relating to the Shares (“Prospectus”); (c) the Agreement; and (d) the petition filed by the Company with the Minnesota Public Utilities Commission (“MPUC”), dated _____________, seeking approval of the Company’s capital structure and authorization to issue the Shares. In</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addition, we have reviewed the order issued by the MPUC, dated _____________ (“Order”), in response to said petition.</w:t>
      </w:r>
    </w:p>
    <w:p>
      <w:pPr>
        <w:spacing w:after="0" w:line="213"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In furnishing this opinion, we have examined the Amended and Restated Articles of Incorporation, as amended (the “Charter”), and the Bylaws, as amended (“Bylaws”), of the Company, and have made such further investigation and examined such further documents and records of the Company and certificates of public officials as we have deemed necessary or appropriate for purposes of this opinion. We have also reviewed all corporate proceedings taken by the Company in respect of the authorization of the Agreement and the issuance and sale of the Shares thereunder.</w:t>
      </w:r>
    </w:p>
    <w:p>
      <w:pPr>
        <w:spacing w:after="0" w:line="14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For purposes of the opinions expressed below, we have assumed (i) the authenticity of all documents submitted to us as originals, (ii) the conformity to the originals of all documents submitted to us as certified or photostatic copies and the authenticity of the originals of such copies, (iii) the genuineness of</w:t>
      </w:r>
    </w:p>
    <w:p>
      <w:pPr>
        <w:sectPr>
          <w:pgSz w:w="11900" w:h="16838" w:orient="portrait"/>
          <w:cols w:equalWidth="0" w:num="1">
            <w:col w:w="11420"/>
          </w:cols>
          <w:pgMar w:left="240" w:top="585" w:right="239" w:bottom="1440" w:gutter="0" w:footer="0" w:header="0"/>
        </w:sectPr>
      </w:pPr>
    </w:p>
    <w:bookmarkStart w:id="60" w:name="page61"/>
    <w:bookmarkEnd w:id="60"/>
    <w:p>
      <w:pPr>
        <w:jc w:val="both"/>
        <w:spacing w:after="0" w:line="271" w:lineRule="auto"/>
        <w:rPr>
          <w:sz w:val="20"/>
          <w:szCs w:val="20"/>
          <w:color w:val="auto"/>
        </w:rPr>
      </w:pPr>
      <w:r>
        <w:rPr>
          <w:rFonts w:ascii="Arial" w:cs="Arial" w:eastAsia="Arial" w:hAnsi="Arial"/>
          <w:sz w:val="21"/>
          <w:szCs w:val="21"/>
          <w:color w:val="auto"/>
        </w:rPr>
        <w:t>all signatures other than on behalf of the Company, (iv) the legal capacity of natural persons, (v) the power, corporate or otherwise, of all parties other than the Company to enter into and to perform all of its obligations under such documents, and (vi) the due authorization, execution and delivery of all documents by all parties other than the Company.</w:t>
      </w:r>
    </w:p>
    <w:p>
      <w:pPr>
        <w:spacing w:after="0" w:line="16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1"/>
          <w:szCs w:val="21"/>
          <w:color w:val="auto"/>
        </w:rPr>
        <w:t>For purposes of the opinions contained herein, we have made no independent investigation of the facts referred to herein, and with respect to such facts have relied, for the purpose of rendering this opinion and except as otherwise stated herein, exclusively on the statements contained and matters provided for in the Agreement and such other documents relating to the Agreement as we have deemed advisable, including the factual representations, warranties and covenants contained therein as made by the respective parties thereto and assumed that any such statement or representation that was given or dated on or prior to the date hereof continues to remain accurate and complete, insofar as relevant to our opinion, from such earlier date through and including the date of this opinion.</w:t>
      </w:r>
    </w:p>
    <w:p>
      <w:pPr>
        <w:spacing w:after="0" w:line="18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Upon the basis of our familiarity with these transactions and with the Company’s properties and affairs generally, we are of the opinion that:</w:t>
      </w:r>
    </w:p>
    <w:p>
      <w:pPr>
        <w:spacing w:after="0" w:line="175" w:lineRule="exact"/>
        <w:rPr>
          <w:sz w:val="20"/>
          <w:szCs w:val="20"/>
          <w:color w:val="auto"/>
        </w:rPr>
      </w:pPr>
    </w:p>
    <w:p>
      <w:pPr>
        <w:jc w:val="both"/>
        <w:ind w:firstLine="1305"/>
        <w:spacing w:after="0" w:line="263" w:lineRule="exact"/>
        <w:tabs>
          <w:tab w:leader="none" w:pos="2107"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Shares have been duly authorized for issuance and sale and, upon delivery to the Agent against payment therefor in accordance with the terms of the Agreement, will be validly issued, fully paid and non</w:t>
      </w:r>
      <w:r>
        <w:rPr>
          <w:rFonts w:ascii="MS PGothic" w:cs="MS PGothic" w:eastAsia="MS PGothic" w:hAnsi="MS PGothic"/>
          <w:sz w:val="22"/>
          <w:szCs w:val="22"/>
          <w:color w:val="auto"/>
        </w:rPr>
        <w:t>‑</w:t>
      </w:r>
      <w:r>
        <w:rPr>
          <w:rFonts w:ascii="Arial" w:cs="Arial" w:eastAsia="Arial" w:hAnsi="Arial"/>
          <w:sz w:val="22"/>
          <w:szCs w:val="22"/>
          <w:color w:val="auto"/>
        </w:rPr>
        <w:t>assessable, and will not be subject to any preemptive or similar right.</w:t>
      </w:r>
    </w:p>
    <w:p>
      <w:pPr>
        <w:spacing w:after="0" w:line="239" w:lineRule="exact"/>
        <w:rPr>
          <w:rFonts w:ascii="Arial" w:cs="Arial" w:eastAsia="Arial" w:hAnsi="Arial"/>
          <w:sz w:val="22"/>
          <w:szCs w:val="22"/>
          <w:color w:val="auto"/>
        </w:rPr>
      </w:pPr>
    </w:p>
    <w:p>
      <w:pPr>
        <w:jc w:val="both"/>
        <w:ind w:firstLine="1305"/>
        <w:spacing w:after="0" w:line="246" w:lineRule="auto"/>
        <w:tabs>
          <w:tab w:leader="none" w:pos="2107"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Order has been issued by the MPUC certifying the Company’s capital structure and to the best of our knowledge, said Order is still in full force and effect; and assuming the Company complies with the capital structure, equity ratio and other provisions of the Order, no further approval, authorization, consent or order of any public board or body (other than in connection or in compliance with the provisions of the securities or “blue sky” laws of any jurisdiction, as to which we express no opinion) is legally required for the authorization of the issuance and sale of the Shares, it being understood that any future authorizations of the MPUC referenced in Section 6(e) of the Agreement shall be addressed in a subsequent written opinion delivered pursuant to Section 6(e) of the Agreement.</w:t>
      </w:r>
    </w:p>
    <w:p>
      <w:pPr>
        <w:spacing w:after="0" w:line="237" w:lineRule="exact"/>
        <w:rPr>
          <w:rFonts w:ascii="Arial" w:cs="Arial" w:eastAsia="Arial" w:hAnsi="Arial"/>
          <w:sz w:val="22"/>
          <w:szCs w:val="22"/>
          <w:color w:val="auto"/>
        </w:rPr>
      </w:pPr>
    </w:p>
    <w:p>
      <w:pPr>
        <w:jc w:val="both"/>
        <w:ind w:firstLine="1305"/>
        <w:spacing w:after="0" w:line="297" w:lineRule="auto"/>
        <w:tabs>
          <w:tab w:leader="none" w:pos="2107"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Registration Statement and the Prospectus (except as to the financial statements and other financial or statistical data contained therein, upon which we do not pass) comply as to form in all material respects with the requirements of the Securities Act and the applicable instructions, rules and regulations of the SEC thereunder; the Registration Statement has become, and at the date hereof the Registration Statement is, effective under the Securities Act, and to the best of our knowledge no proceedings for a stop order with respect thereto are pending or threatened under Section 8 of the Securities Act.</w:t>
      </w:r>
    </w:p>
    <w:p>
      <w:pPr>
        <w:spacing w:after="0" w:line="187" w:lineRule="exact"/>
        <w:rPr>
          <w:rFonts w:ascii="Arial" w:cs="Arial" w:eastAsia="Arial" w:hAnsi="Arial"/>
          <w:sz w:val="19"/>
          <w:szCs w:val="19"/>
          <w:color w:val="auto"/>
        </w:rPr>
      </w:pPr>
    </w:p>
    <w:p>
      <w:pPr>
        <w:jc w:val="both"/>
        <w:ind w:firstLine="1305"/>
        <w:spacing w:after="0" w:line="253" w:lineRule="auto"/>
        <w:tabs>
          <w:tab w:leader="none" w:pos="2107"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statements set forth in the Prospectus under the caption “Description of Common Stock” constitute a summary of the securities, documents and instruments therein described, are accurate and fairly present the information contained therein in all material respects.</w:t>
      </w:r>
    </w:p>
    <w:p>
      <w:pPr>
        <w:sectPr>
          <w:pgSz w:w="11900" w:h="16838" w:orient="portrait"/>
          <w:cols w:equalWidth="0" w:num="1">
            <w:col w:w="11420"/>
          </w:cols>
          <w:pgMar w:left="240" w:top="591" w:right="239" w:bottom="1440" w:gutter="0" w:footer="0" w:header="0"/>
        </w:sectPr>
      </w:pPr>
    </w:p>
    <w:bookmarkStart w:id="61" w:name="page62"/>
    <w:bookmarkEnd w:id="61"/>
    <w:p>
      <w:pPr>
        <w:ind w:firstLine="1305"/>
        <w:spacing w:after="0" w:line="263" w:lineRule="auto"/>
        <w:tabs>
          <w:tab w:leader="none" w:pos="2107"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has full power and authority to enter into the Agreement. The Agreement has been duly executed and delivered by the Company.</w:t>
      </w:r>
    </w:p>
    <w:p>
      <w:pPr>
        <w:spacing w:after="0" w:line="215" w:lineRule="exact"/>
        <w:rPr>
          <w:rFonts w:ascii="Arial" w:cs="Arial" w:eastAsia="Arial" w:hAnsi="Arial"/>
          <w:sz w:val="22"/>
          <w:szCs w:val="22"/>
          <w:color w:val="auto"/>
        </w:rPr>
      </w:pPr>
    </w:p>
    <w:p>
      <w:pPr>
        <w:jc w:val="both"/>
        <w:ind w:firstLine="1305"/>
        <w:spacing w:after="0" w:line="250" w:lineRule="auto"/>
        <w:tabs>
          <w:tab w:leader="none" w:pos="2107" w:val="left"/>
        </w:tabs>
        <w:numPr>
          <w:ilvl w:val="0"/>
          <w:numId w:val="33"/>
        </w:numPr>
        <w:rPr>
          <w:rFonts w:ascii="Arial" w:cs="Arial" w:eastAsia="Arial" w:hAnsi="Arial"/>
          <w:sz w:val="22"/>
          <w:szCs w:val="22"/>
          <w:color w:val="auto"/>
        </w:rPr>
      </w:pPr>
      <w:r>
        <w:rPr>
          <w:rFonts w:ascii="Arial" w:cs="Arial" w:eastAsia="Arial" w:hAnsi="Arial"/>
          <w:sz w:val="22"/>
          <w:szCs w:val="22"/>
          <w:color w:val="auto"/>
        </w:rPr>
        <w:t>Neither the issue and sale by the Company of the Shares as contemplated by the Agreement nor the consummation by the Company of the other transactions contemplated by the Agreement conflicts with, or results in a breach of, the Charter or Bylaws of the Company, and which conflict or breach is material to the Company and its Subsidiaries, taken as a whole.</w:t>
      </w:r>
    </w:p>
    <w:p>
      <w:pPr>
        <w:spacing w:after="0" w:line="229" w:lineRule="exact"/>
        <w:rPr>
          <w:sz w:val="20"/>
          <w:szCs w:val="20"/>
          <w:color w:val="auto"/>
        </w:rPr>
      </w:pPr>
    </w:p>
    <w:p>
      <w:pPr>
        <w:jc w:val="both"/>
        <w:ind w:firstLine="1297"/>
        <w:spacing w:after="0" w:line="258" w:lineRule="exact"/>
        <w:rPr>
          <w:sz w:val="20"/>
          <w:szCs w:val="20"/>
          <w:color w:val="auto"/>
        </w:rPr>
      </w:pPr>
      <w:r>
        <w:rPr>
          <w:rFonts w:ascii="Arial" w:cs="Arial" w:eastAsia="Arial" w:hAnsi="Arial"/>
          <w:sz w:val="19"/>
          <w:szCs w:val="19"/>
          <w:color w:val="auto"/>
        </w:rPr>
        <w:t>In passing upon the forms of the Registration Statement and the Prospectus, we necessarily assume the correctness and completeness of the statements made or included therein by the Company and take no responsibility therefor, except insofar as such statements relate to us and in paragraph 4 above. In the course of the preparation by the Company of the Registration Statement and the Prospectus, we had conferences with certain of its officers and representatives, with other counsel for the Company and with PricewaterhouseCoopers LLP, the independent registered public accounting firm who examined certain of the Company’s internal controls over financial reporting and the financial statements incorporated by reference in the Registration Statement. Our examination of the Registration Statement and the Prospectus, and our discussions in the above</w:t>
      </w:r>
      <w:r>
        <w:rPr>
          <w:rFonts w:ascii="MS PGothic" w:cs="MS PGothic" w:eastAsia="MS PGothic" w:hAnsi="MS PGothic"/>
          <w:sz w:val="19"/>
          <w:szCs w:val="19"/>
          <w:color w:val="auto"/>
        </w:rPr>
        <w:t>‑</w:t>
      </w:r>
      <w:r>
        <w:rPr>
          <w:rFonts w:ascii="Arial" w:cs="Arial" w:eastAsia="Arial" w:hAnsi="Arial"/>
          <w:sz w:val="19"/>
          <w:szCs w:val="19"/>
          <w:color w:val="auto"/>
        </w:rPr>
        <w:t>mentioned conferences did not disclose to us any information which gives us reason to believe that, at the time of the Registration Statement’s effectiveness for purposes of Section 11 of the Act, as such section applies to the Agent, the Registration Statement contained an untrue statement of a material fact or omitted to state a material fact required to be stated therein or necessary to make the statements therein not misleading or that the Prospectus at the time it was filed electronically with the Commission pursuant to Rule 424, and the Prospectus, as amended or supplemented at the date hereof, contained or contains an untrue statement of a material fact or omitted or omits to state a material fact necessary in order to make the statements therein, in the light of the circumstances under which they were made, not misleading. We do not express any opinion or belief as to the financial statements or other financial or statistical data contained in the Registration Statement or in the Prospectus.</w:t>
      </w:r>
    </w:p>
    <w:p>
      <w:pPr>
        <w:spacing w:after="0" w:line="201"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This opinion is limited to the laws of the States of New York , Minnesota and the federal laws of the United States insofar as they bear on the matters covered hereby. As to all matters of Minnesota law, we have relied, with your consent, upon the opinion of even date herewith rendered to you by Deborah A. Amberg, Esq., Senior Vice President, General Counsel and Secretary of the Company. As to all matters of Minnesota law, Deborah A. Amberg, Esq. is hereby authorized to rely upon this opinion to the same extent as if this opinion had been addressed to her.</w:t>
      </w:r>
    </w:p>
    <w:p>
      <w:pPr>
        <w:spacing w:after="0" w:line="19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36" w:lineRule="exact"/>
        <w:rPr>
          <w:sz w:val="20"/>
          <w:szCs w:val="20"/>
          <w:color w:val="auto"/>
        </w:rPr>
      </w:pPr>
    </w:p>
    <w:p>
      <w:pPr>
        <w:jc w:val="center"/>
        <w:ind w:left="420"/>
        <w:spacing w:after="0"/>
        <w:rPr>
          <w:sz w:val="20"/>
          <w:szCs w:val="20"/>
          <w:color w:val="auto"/>
        </w:rPr>
      </w:pPr>
      <w:r>
        <w:rPr>
          <w:rFonts w:ascii="Arial" w:cs="Arial" w:eastAsia="Arial" w:hAnsi="Arial"/>
          <w:sz w:val="22"/>
          <w:szCs w:val="22"/>
          <w:color w:val="auto"/>
        </w:rPr>
        <w:t>Morgan, Lewis &amp; Bockius LLP</w:t>
      </w:r>
    </w:p>
    <w:p>
      <w:pPr>
        <w:sectPr>
          <w:pgSz w:w="11900" w:h="16838" w:orient="portrait"/>
          <w:cols w:equalWidth="0" w:num="1">
            <w:col w:w="11420"/>
          </w:cols>
          <w:pgMar w:left="240" w:top="59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478790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ALLETE,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(formerly Minnesota Power &amp; Light Company</w:t>
      </w:r>
    </w:p>
    <w:p>
      <w:pPr>
        <w:jc w:val="center"/>
        <w:ind w:right="1200"/>
        <w:spacing w:after="0"/>
        <w:rPr>
          <w:sz w:val="20"/>
          <w:szCs w:val="20"/>
          <w:color w:val="auto"/>
        </w:rPr>
      </w:pPr>
      <w:r>
        <w:rPr>
          <w:rFonts w:ascii="Arial" w:cs="Arial" w:eastAsia="Arial" w:hAnsi="Arial"/>
          <w:sz w:val="20"/>
          <w:szCs w:val="20"/>
          <w:b w:val="1"/>
          <w:bCs w:val="1"/>
          <w:color w:val="auto"/>
        </w:rPr>
        <w:t>and formerly Minnesota Power, Inc.)</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TO</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THE BANK OF NEW YORK MELLON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(formerly The Bank of New York</w:t>
      </w:r>
    </w:p>
    <w:p>
      <w:pPr>
        <w:ind w:left="3060"/>
        <w:spacing w:after="0"/>
        <w:rPr>
          <w:sz w:val="20"/>
          <w:szCs w:val="20"/>
          <w:color w:val="auto"/>
        </w:rPr>
      </w:pPr>
      <w:r>
        <w:rPr>
          <w:rFonts w:ascii="Arial" w:cs="Arial" w:eastAsia="Arial" w:hAnsi="Arial"/>
          <w:sz w:val="20"/>
          <w:szCs w:val="20"/>
          <w:b w:val="1"/>
          <w:bCs w:val="1"/>
          <w:color w:val="auto"/>
        </w:rPr>
        <w:t>(formerly Irving Trust Company))</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AND</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PHILIP L. WATSON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(successor to Richard H. West, J. A. Austin, E. J. McCabe,</w:t>
      </w:r>
    </w:p>
    <w:p>
      <w:pPr>
        <w:jc w:val="center"/>
        <w:ind w:right="1200"/>
        <w:spacing w:after="0"/>
        <w:rPr>
          <w:sz w:val="20"/>
          <w:szCs w:val="20"/>
          <w:color w:val="auto"/>
        </w:rPr>
      </w:pPr>
      <w:r>
        <w:rPr>
          <w:rFonts w:ascii="Arial" w:cs="Arial" w:eastAsia="Arial" w:hAnsi="Arial"/>
          <w:sz w:val="18"/>
          <w:szCs w:val="18"/>
          <w:b w:val="1"/>
          <w:bCs w:val="1"/>
          <w:color w:val="auto"/>
        </w:rPr>
        <w:t>D. W. May, J. A. Vaughan, W. T. Cunningham, Douglas J. MacInnes and Ming Ryan)</w:t>
      </w:r>
    </w:p>
    <w:p>
      <w:pPr>
        <w:spacing w:after="0" w:line="230"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As Trustees under ALLETE, Inc.’s Mortgage and Deed of</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Trust dated as of September 1, 1945</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___________________________________________</w:t>
      </w:r>
    </w:p>
    <w:p>
      <w:pPr>
        <w:spacing w:after="0" w:line="20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Thirty-fifth Supplemental Indenture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Providing, among other things, for</w:t>
      </w:r>
    </w:p>
    <w:p>
      <w:pPr>
        <w:jc w:val="center"/>
        <w:ind w:right="1200"/>
        <w:spacing w:after="0"/>
        <w:rPr>
          <w:sz w:val="20"/>
          <w:szCs w:val="20"/>
          <w:color w:val="auto"/>
        </w:rPr>
      </w:pPr>
      <w:r>
        <w:rPr>
          <w:rFonts w:ascii="Arial" w:cs="Arial" w:eastAsia="Arial" w:hAnsi="Arial"/>
          <w:sz w:val="20"/>
          <w:szCs w:val="20"/>
          <w:b w:val="1"/>
          <w:bCs w:val="1"/>
          <w:color w:val="auto"/>
        </w:rPr>
        <w:t>First Mortgage Bonds, 3.69% Series due March 15, 2024</w:t>
      </w:r>
    </w:p>
    <w:p>
      <w:pPr>
        <w:jc w:val="center"/>
        <w:ind w:right="1200"/>
        <w:spacing w:after="0"/>
        <w:rPr>
          <w:sz w:val="20"/>
          <w:szCs w:val="20"/>
          <w:color w:val="auto"/>
        </w:rPr>
      </w:pPr>
      <w:r>
        <w:rPr>
          <w:rFonts w:ascii="Arial" w:cs="Arial" w:eastAsia="Arial" w:hAnsi="Arial"/>
          <w:sz w:val="20"/>
          <w:szCs w:val="20"/>
          <w:b w:val="1"/>
          <w:bCs w:val="1"/>
          <w:color w:val="auto"/>
        </w:rPr>
        <w:t>(Forty-eighth Series)</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First Mortgage Bonds, 4.95% Series due March 15, 2044</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(Forty-ninth Series)</w:t>
      </w:r>
    </w:p>
    <w:p>
      <w:pPr>
        <w:spacing w:after="0" w:line="200" w:lineRule="exact"/>
        <w:rPr>
          <w:sz w:val="20"/>
          <w:szCs w:val="20"/>
          <w:color w:val="auto"/>
        </w:rPr>
      </w:pPr>
    </w:p>
    <w:p>
      <w:pPr>
        <w:spacing w:after="0" w:line="216" w:lineRule="exact"/>
        <w:rPr>
          <w:sz w:val="20"/>
          <w:szCs w:val="20"/>
          <w:color w:val="auto"/>
        </w:rPr>
      </w:pPr>
    </w:p>
    <w:p>
      <w:pPr>
        <w:ind w:left="3440"/>
        <w:spacing w:after="0"/>
        <w:rPr>
          <w:sz w:val="20"/>
          <w:szCs w:val="20"/>
          <w:color w:val="auto"/>
        </w:rPr>
      </w:pPr>
      <w:r>
        <w:rPr>
          <w:rFonts w:ascii="Arial" w:cs="Arial" w:eastAsia="Arial" w:hAnsi="Arial"/>
          <w:sz w:val="20"/>
          <w:szCs w:val="20"/>
          <w:b w:val="1"/>
          <w:bCs w:val="1"/>
          <w:i w:val="1"/>
          <w:iCs w:val="1"/>
          <w:color w:val="auto"/>
        </w:rPr>
        <w:t>Dated as of March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212090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THIRTY-FIFTH SUPPLEMENTAL INDENTURE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THIS INDENTURE, </w:t>
      </w:r>
      <w:r>
        <w:rPr>
          <w:rFonts w:ascii="Arial" w:cs="Arial" w:eastAsia="Arial" w:hAnsi="Arial"/>
          <w:sz w:val="18"/>
          <w:szCs w:val="18"/>
          <w:color w:val="auto"/>
        </w:rPr>
        <w:t>dated as of March 1, 2014, by and between ALLETE, Inc. (formerly Minnesota Power &amp; Light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formerly Minnesota Power, Inc.), a corporation of the State of Minnesota, whose post office address is 30 West Superior Street, Duluth, Minnesota 55802 (hereinafter sometimes called the “Company”), and The Bank of New York Mellon (formerly The Bank of New York (formerly Irving Trust Company)), a corporation of the State of New York, whose post office address is 101 Barclay Street, New York, New York 10286 (hereinafter sometimes called the “Corporate Trustee”), and PHILIP L. WATSON (successor to Richard H. West, J. A. Austin, E. J. McCabe, D. W. May, J. A. Vaughan, W. T. Cunningham, Douglas J. MacInnes and Ming Ryan), whose post office address is c/o The Bank of New York Mellon, 101 Barclay Street, New York, New York 10286 (said Philip L. Watson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“Thirty-fifth Supplemental Indenture”) being supplemental thereto:</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Mortgage was filed and recorded in various official records in the State of Minnesota; and</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44"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4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Sixth Supplemental Indenture, dated as of August 1, 1975, to which reference is hereinafter made, D. W. May in turn succeeded E. J. McCabe as Co-Trustee under the Mortgage; and</w:t>
      </w:r>
    </w:p>
    <w:p>
      <w:pPr>
        <w:spacing w:after="0" w:line="190" w:lineRule="exact"/>
        <w:rPr>
          <w:sz w:val="20"/>
          <w:szCs w:val="20"/>
          <w:color w:val="auto"/>
        </w:rPr>
      </w:pPr>
    </w:p>
    <w:p>
      <w:pPr>
        <w:jc w:val="both"/>
        <w:ind w:right="20" w:firstLine="648"/>
        <w:spacing w:after="0" w:line="386" w:lineRule="auto"/>
        <w:rPr>
          <w:sz w:val="20"/>
          <w:szCs w:val="20"/>
          <w:color w:val="auto"/>
        </w:rPr>
      </w:pPr>
      <w:r>
        <w:rPr>
          <w:rFonts w:ascii="Arial" w:cs="Arial" w:eastAsia="Arial" w:hAnsi="Arial"/>
          <w:sz w:val="16"/>
          <w:szCs w:val="16"/>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pacing w:after="0" w:line="14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on May 8, 2001, the Company filed Amended and Restated Articles of Incorporation with the Secretary of State of the State of Minnesota changing its name from Minnesota Power, Inc. to ALLETE, Inc.; and</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under the Thirty-second Supplemental Indenture, dated as of August 1, 2010, to which reference is hereinafter made, Ming Ryan in turn succeeded Douglas J. MacInnes as Co-Trustee under the Mortgage; and</w:t>
      </w:r>
    </w:p>
    <w:p>
      <w:pPr>
        <w:sectPr>
          <w:pgSz w:w="11900" w:h="16838" w:orient="portrait"/>
          <w:cols w:equalWidth="0" w:num="1">
            <w:col w:w="11420"/>
          </w:cols>
          <w:pgMar w:left="240" w:top="873" w:right="239" w:bottom="1440" w:gutter="0" w:footer="0" w:header="0"/>
        </w:sectPr>
      </w:pPr>
    </w:p>
    <w:bookmarkStart w:id="64" w:name="page65"/>
    <w:bookmarkEnd w:id="64"/>
    <w:p>
      <w:pPr>
        <w:jc w:val="both"/>
        <w:ind w:firstLine="648"/>
        <w:spacing w:after="0" w:line="250" w:lineRule="auto"/>
        <w:rPr>
          <w:sz w:val="20"/>
          <w:szCs w:val="20"/>
          <w:color w:val="auto"/>
        </w:rPr>
      </w:pPr>
      <w:r>
        <w:rPr>
          <w:rFonts w:ascii="Arial" w:cs="Arial" w:eastAsia="Arial" w:hAnsi="Arial"/>
          <w:sz w:val="20"/>
          <w:szCs w:val="20"/>
          <w:color w:val="auto"/>
        </w:rPr>
        <w:t>WHEREAS, an instrument, dated as of August 1, 2012, was executed and delivered under which Philip L. Watson in turn succeeded Ming Ryan as Co-Trustee under the Mortgage effective at the close of business on August 6, 2012, and such instrument was filed and recorded in various official records in the State of Minnesota; and</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for said purposes, among others, the Company executed and delivered the following indentures supplemental to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Mortgage:</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20"/>
                <w:szCs w:val="20"/>
                <w:b w:val="1"/>
                <w:bCs w:val="1"/>
                <w:color w:val="auto"/>
                <w:w w:val="85"/>
              </w:rPr>
              <w:t>Designation</w:t>
            </w:r>
          </w:p>
        </w:tc>
        <w:tc>
          <w:tcPr>
            <w:tcW w:w="30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500" w:type="dxa"/>
            <w:vAlign w:val="bottom"/>
            <w:gridSpan w:val="2"/>
          </w:tcPr>
          <w:p>
            <w:pPr>
              <w:spacing w:after="0"/>
              <w:rPr>
                <w:sz w:val="20"/>
                <w:szCs w:val="20"/>
                <w:color w:val="auto"/>
              </w:rPr>
            </w:pPr>
            <w:r>
              <w:rPr>
                <w:rFonts w:ascii="Arial" w:cs="Arial" w:eastAsia="Arial" w:hAnsi="Arial"/>
                <w:sz w:val="20"/>
                <w:szCs w:val="20"/>
                <w:b w:val="1"/>
                <w:bCs w:val="1"/>
                <w:color w:val="auto"/>
              </w:rPr>
              <w:t>Dated as of</w:t>
            </w:r>
          </w:p>
        </w:tc>
      </w:tr>
      <w:tr>
        <w:trPr>
          <w:trHeight w:val="20"/>
        </w:trPr>
        <w:tc>
          <w:tcPr>
            <w:tcW w:w="10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8"/>
        </w:trPr>
        <w:tc>
          <w:tcPr>
            <w:tcW w:w="4020" w:type="dxa"/>
            <w:vAlign w:val="bottom"/>
            <w:gridSpan w:val="2"/>
          </w:tcPr>
          <w:p>
            <w:pPr>
              <w:spacing w:after="0"/>
              <w:rPr>
                <w:sz w:val="20"/>
                <w:szCs w:val="20"/>
                <w:color w:val="auto"/>
              </w:rPr>
            </w:pPr>
            <w:r>
              <w:rPr>
                <w:rFonts w:ascii="Arial" w:cs="Arial" w:eastAsia="Arial" w:hAnsi="Arial"/>
                <w:sz w:val="20"/>
                <w:szCs w:val="20"/>
                <w:color w:val="auto"/>
              </w:rPr>
              <w:t>First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1949</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Second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1951</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Third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1957</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Fourth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1968</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Fifth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1971</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Sixth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1975</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Seventh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1976</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Eighth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w w:val="86"/>
              </w:rPr>
              <w:t>September 1, 1977</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Ninth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1978</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1978</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Eleventh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1982</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Twelfth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1987</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Thirteenth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1992</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Fourteenth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June 1, 1992</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Fifteenth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Sixteenth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1992</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Seventeenth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1993</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Eighteenth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July 1, 1993</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Nineteenth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1997</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Twentieth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1997</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Twenty-first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2000</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Twenty-second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2003</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Twenty-third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2004</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Twenty-fourth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March 1, 2005</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Twenty-fifth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December 1, 2005</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Twenty-sixth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October 1, 2006</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Twenty-seventh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2008</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Twenty-eighth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May 1, 2008</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Twenty-ninth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w w:val="89"/>
              </w:rPr>
              <w:t>November 1, 2008</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Thirtieth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January 1, 2009</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Thirty-first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w w:val="97"/>
              </w:rPr>
              <w:t>February 1, 2010</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Thirty-second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August 1, 2010</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Thirty-third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July 1, 2012</w:t>
            </w:r>
          </w:p>
        </w:tc>
      </w:tr>
      <w:tr>
        <w:trPr>
          <w:trHeight w:val="284"/>
        </w:trPr>
        <w:tc>
          <w:tcPr>
            <w:tcW w:w="4020" w:type="dxa"/>
            <w:vAlign w:val="bottom"/>
            <w:gridSpan w:val="2"/>
          </w:tcPr>
          <w:p>
            <w:pPr>
              <w:spacing w:after="0"/>
              <w:rPr>
                <w:sz w:val="20"/>
                <w:szCs w:val="20"/>
                <w:color w:val="auto"/>
              </w:rPr>
            </w:pPr>
            <w:r>
              <w:rPr>
                <w:rFonts w:ascii="Arial" w:cs="Arial" w:eastAsia="Arial" w:hAnsi="Arial"/>
                <w:sz w:val="20"/>
                <w:szCs w:val="20"/>
                <w:color w:val="auto"/>
              </w:rPr>
              <w:t>Thirty-fourth Supplemental Indenture</w:t>
            </w:r>
          </w:p>
        </w:tc>
        <w:tc>
          <w:tcPr>
            <w:tcW w:w="3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20"/>
                <w:szCs w:val="20"/>
                <w:color w:val="auto"/>
              </w:rPr>
              <w:t>April 1, 2013</w:t>
            </w:r>
          </w:p>
        </w:tc>
      </w:tr>
      <w:tr>
        <w:trPr>
          <w:trHeight w:val="482"/>
        </w:trPr>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140" w:type="dxa"/>
            <w:vAlign w:val="bottom"/>
          </w:tcPr>
          <w:p>
            <w:pPr>
              <w:jc w:val="right"/>
              <w:ind w:right="2150"/>
              <w:spacing w:after="0"/>
              <w:rPr>
                <w:sz w:val="20"/>
                <w:szCs w:val="20"/>
                <w:color w:val="auto"/>
              </w:rPr>
            </w:pPr>
            <w:r>
              <w:rPr>
                <w:rFonts w:ascii="Arial" w:cs="Arial" w:eastAsia="Arial" w:hAnsi="Arial"/>
                <w:sz w:val="18"/>
                <w:szCs w:val="18"/>
                <w:color w:val="auto"/>
              </w:rPr>
              <w:t>3</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366" w:right="239" w:bottom="1440" w:gutter="0" w:footer="0" w:header="0"/>
        </w:sectPr>
      </w:pPr>
    </w:p>
    <w:bookmarkStart w:id="65" w:name="page66"/>
    <w:bookmarkEnd w:id="65"/>
    <w:p>
      <w:pPr>
        <w:spacing w:after="0"/>
        <w:rPr>
          <w:sz w:val="20"/>
          <w:szCs w:val="20"/>
          <w:color w:val="auto"/>
        </w:rPr>
      </w:pPr>
      <w:r>
        <w:rPr>
          <w:rFonts w:ascii="Arial" w:cs="Arial" w:eastAsia="Arial" w:hAnsi="Arial"/>
          <w:sz w:val="20"/>
          <w:szCs w:val="20"/>
          <w:color w:val="auto"/>
        </w:rPr>
        <w:t>which supplemental indentures were filed and recorded in various official records in the State of Minnesota; and</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has heretofore issued, in accordance with the provisions of the Mortgage, as heretofore supplemented, the following series of First Mortgage Bonds: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4100" w:type="dxa"/>
            <w:vAlign w:val="bottom"/>
            <w:gridSpan w:val="3"/>
          </w:tcPr>
          <w:p>
            <w:pPr>
              <w:jc w:val="center"/>
              <w:ind w:left="1421"/>
              <w:spacing w:after="0"/>
              <w:rPr>
                <w:sz w:val="20"/>
                <w:szCs w:val="20"/>
                <w:color w:val="auto"/>
              </w:rPr>
            </w:pPr>
            <w:r>
              <w:rPr>
                <w:rFonts w:ascii="Arial" w:cs="Arial" w:eastAsia="Arial" w:hAnsi="Arial"/>
                <w:sz w:val="20"/>
                <w:szCs w:val="20"/>
                <w:b w:val="1"/>
                <w:bCs w:val="1"/>
                <w:color w:val="auto"/>
                <w:w w:val="92"/>
              </w:rPr>
              <w:t>Principal</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20"/>
                <w:szCs w:val="20"/>
                <w:b w:val="1"/>
                <w:bCs w:val="1"/>
                <w:color w:val="auto"/>
                <w:w w:val="92"/>
              </w:rPr>
              <w:t>Amount</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r>
      <w:tr>
        <w:trPr>
          <w:trHeight w:val="212"/>
        </w:trPr>
        <w:tc>
          <w:tcPr>
            <w:tcW w:w="5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w w:val="86"/>
              </w:rPr>
              <w:t>Series</w:t>
            </w:r>
          </w:p>
        </w:tc>
        <w:tc>
          <w:tcPr>
            <w:tcW w:w="5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60" w:type="dxa"/>
            <w:vAlign w:val="bottom"/>
            <w:gridSpan w:val="2"/>
          </w:tcPr>
          <w:p>
            <w:pPr>
              <w:jc w:val="center"/>
              <w:ind w:right="920"/>
              <w:spacing w:after="0" w:line="212" w:lineRule="exact"/>
              <w:rPr>
                <w:sz w:val="20"/>
                <w:szCs w:val="20"/>
                <w:color w:val="auto"/>
              </w:rPr>
            </w:pPr>
            <w:r>
              <w:rPr>
                <w:rFonts w:ascii="Arial" w:cs="Arial" w:eastAsia="Arial" w:hAnsi="Arial"/>
                <w:sz w:val="20"/>
                <w:szCs w:val="20"/>
                <w:b w:val="1"/>
                <w:bCs w:val="1"/>
                <w:color w:val="auto"/>
                <w:w w:val="85"/>
              </w:rPr>
              <w:t>Issued</w:t>
            </w:r>
          </w:p>
        </w:tc>
        <w:tc>
          <w:tcPr>
            <w:tcW w:w="10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9"/>
              </w:rPr>
              <w:t>Outstanding</w:t>
            </w:r>
          </w:p>
        </w:tc>
      </w:tr>
      <w:tr>
        <w:trPr>
          <w:trHeight w:val="20"/>
        </w:trPr>
        <w:tc>
          <w:tcPr>
            <w:tcW w:w="500" w:type="dxa"/>
            <w:vAlign w:val="bottom"/>
            <w:shd w:val="clear" w:color="auto" w:fill="000000"/>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08"/>
        </w:trPr>
        <w:tc>
          <w:tcPr>
            <w:tcW w:w="5780" w:type="dxa"/>
            <w:vAlign w:val="bottom"/>
            <w:gridSpan w:val="3"/>
          </w:tcPr>
          <w:p>
            <w:pPr>
              <w:spacing w:after="0"/>
              <w:rPr>
                <w:sz w:val="20"/>
                <w:szCs w:val="20"/>
                <w:color w:val="auto"/>
              </w:rPr>
            </w:pPr>
            <w:r>
              <w:rPr>
                <w:rFonts w:ascii="Arial" w:cs="Arial" w:eastAsia="Arial" w:hAnsi="Arial"/>
                <w:sz w:val="20"/>
                <w:szCs w:val="20"/>
                <w:color w:val="auto"/>
              </w:rPr>
              <w:t>3-1/8% Series due 1975</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$26,000,000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3-1/8% Series due 1979</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4,000,000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3-5/8% Series due 1981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4-3/4% Series due 1987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6-1/2% Series due 1998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line="230" w:lineRule="exact"/>
              <w:rPr>
                <w:sz w:val="20"/>
                <w:szCs w:val="20"/>
                <w:color w:val="auto"/>
              </w:rPr>
            </w:pPr>
            <w:r>
              <w:rPr>
                <w:rFonts w:ascii="Arial" w:cs="Arial" w:eastAsia="Arial" w:hAnsi="Arial"/>
                <w:sz w:val="20"/>
                <w:szCs w:val="20"/>
                <w:color w:val="auto"/>
              </w:rPr>
              <w:t>8</w:t>
            </w:r>
            <w:r>
              <w:rPr>
                <w:rFonts w:ascii="MS PGothic" w:cs="MS PGothic" w:eastAsia="MS PGothic" w:hAnsi="MS PGothic"/>
                <w:sz w:val="20"/>
                <w:szCs w:val="20"/>
                <w:color w:val="auto"/>
              </w:rPr>
              <w:t>‑</w:t>
            </w:r>
            <w:r>
              <w:rPr>
                <w:rFonts w:ascii="Arial" w:cs="Arial" w:eastAsia="Arial" w:hAnsi="Arial"/>
                <w:sz w:val="20"/>
                <w:szCs w:val="20"/>
                <w:color w:val="auto"/>
              </w:rPr>
              <w:t>1/8% Series due 2001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23,000,000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line="230" w:lineRule="exact"/>
              <w:rPr>
                <w:sz w:val="20"/>
                <w:szCs w:val="20"/>
                <w:color w:val="auto"/>
              </w:rPr>
            </w:pPr>
            <w:r>
              <w:rPr>
                <w:rFonts w:ascii="Arial" w:cs="Arial" w:eastAsia="Arial" w:hAnsi="Arial"/>
                <w:sz w:val="20"/>
                <w:szCs w:val="20"/>
                <w:color w:val="auto"/>
              </w:rPr>
              <w:t>10</w:t>
            </w:r>
            <w:r>
              <w:rPr>
                <w:rFonts w:ascii="MS PGothic" w:cs="MS PGothic" w:eastAsia="MS PGothic" w:hAnsi="MS PGothic"/>
                <w:sz w:val="20"/>
                <w:szCs w:val="20"/>
                <w:color w:val="auto"/>
              </w:rPr>
              <w:t>‑</w:t>
            </w:r>
            <w:r>
              <w:rPr>
                <w:rFonts w:ascii="Arial" w:cs="Arial" w:eastAsia="Arial" w:hAnsi="Arial"/>
                <w:sz w:val="20"/>
                <w:szCs w:val="20"/>
                <w:color w:val="auto"/>
              </w:rPr>
              <w:t>1/2% Series due 2005</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8.70%</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2006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8.35%</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9-1/4% Series due 2008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Industrial Development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Industrial Development Series B</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Industrial Development Series C</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1,150,000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B</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13,500,000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C</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D</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3,600,000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7-3/4% Series due 1994</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7-3/8% Series due March 1, 1997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7-3/4% Series due June 1,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7-1/2% Series due August 1,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E</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 Series due March 1, 2008</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6-1/4% Series due July 1, 2003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7% Series due February 15,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6.68%</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November 15, 2007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Floating Rate Series due October 20, 2003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Collateral Series A</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255,000,000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780" w:type="dxa"/>
            <w:vAlign w:val="bottom"/>
            <w:gridSpan w:val="3"/>
          </w:tcPr>
          <w:p>
            <w:pPr>
              <w:spacing w:after="0"/>
              <w:rPr>
                <w:sz w:val="20"/>
                <w:szCs w:val="20"/>
                <w:color w:val="auto"/>
              </w:rPr>
            </w:pPr>
            <w:r>
              <w:rPr>
                <w:rFonts w:ascii="Arial" w:cs="Arial" w:eastAsia="Arial" w:hAnsi="Arial"/>
                <w:sz w:val="20"/>
                <w:szCs w:val="20"/>
                <w:color w:val="auto"/>
              </w:rPr>
              <w:t>Pollution Control Series F</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111,000,000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8"/>
              </w:rPr>
              <w:t>111,000,000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5.28%</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August 1, 2020</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35,000,000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5.69%</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March 1, 2036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50,000,000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5.99%</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February 1, 2027</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60,000,000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4.86%</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April 1, 2013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91"/>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6.02%</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May 1, 2023</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75,000,000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75,000,000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6.94%</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January 15, 2014</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18,000,000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7"/>
              </w:rPr>
              <w:t>None</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7.70%</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January 15, 2016</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20,000,000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20,000,000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8.17%</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January 15, 2019</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42,000,000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42,000,000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4.85%</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April 15, 2021</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15,000,000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15,000,000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5.10%</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April 15, 2025</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6.00%</w:t>
            </w:r>
          </w:p>
        </w:tc>
        <w:tc>
          <w:tcPr>
            <w:tcW w:w="524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4100" w:type="dxa"/>
            <w:vAlign w:val="bottom"/>
            <w:gridSpan w:val="3"/>
          </w:tcPr>
          <w:p>
            <w:pPr>
              <w:jc w:val="right"/>
              <w:ind w:right="540"/>
              <w:spacing w:after="0"/>
              <w:rPr>
                <w:sz w:val="20"/>
                <w:szCs w:val="20"/>
                <w:color w:val="auto"/>
              </w:rPr>
            </w:pPr>
            <w:r>
              <w:rPr>
                <w:rFonts w:ascii="Arial" w:cs="Arial" w:eastAsia="Arial" w:hAnsi="Arial"/>
                <w:sz w:val="20"/>
                <w:szCs w:val="20"/>
                <w:color w:val="auto"/>
              </w:rPr>
              <w:t>35,000,000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35,000,000</w:t>
            </w:r>
          </w:p>
        </w:tc>
      </w:tr>
    </w:tbl>
    <w:p>
      <w:pPr>
        <w:spacing w:after="0" w:line="200" w:lineRule="exact"/>
        <w:rPr>
          <w:sz w:val="20"/>
          <w:szCs w:val="20"/>
          <w:color w:val="auto"/>
        </w:rPr>
      </w:pPr>
    </w:p>
    <w:p>
      <w:pPr>
        <w:sectPr>
          <w:pgSz w:w="11900" w:h="16838" w:orient="portrait"/>
          <w:cols w:equalWidth="0" w:num="1">
            <w:col w:w="11400"/>
          </w:cols>
          <w:pgMar w:left="240" w:top="366" w:right="25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366" w:right="259" w:bottom="1440" w:gutter="0" w:footer="0" w:header="0"/>
          <w:type w:val="continuous"/>
        </w:sectPr>
      </w:pPr>
    </w:p>
    <w:bookmarkStart w:id="66" w:name="page67"/>
    <w:bookmarkEnd w:id="66"/>
    <w:tbl>
      <w:tblPr>
        <w:tblLayout w:type="fixed"/>
        <w:tblInd w:w="4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380" w:type="dxa"/>
            <w:vAlign w:val="bottom"/>
            <w:gridSpan w:val="3"/>
          </w:tcPr>
          <w:p>
            <w:pPr>
              <w:jc w:val="center"/>
              <w:ind w:left="1701"/>
              <w:spacing w:after="0"/>
              <w:rPr>
                <w:sz w:val="20"/>
                <w:szCs w:val="20"/>
                <w:color w:val="auto"/>
              </w:rPr>
            </w:pPr>
            <w:r>
              <w:rPr>
                <w:rFonts w:ascii="Arial" w:cs="Arial" w:eastAsia="Arial" w:hAnsi="Arial"/>
                <w:sz w:val="20"/>
                <w:szCs w:val="20"/>
                <w:b w:val="1"/>
                <w:bCs w:val="1"/>
                <w:color w:val="auto"/>
                <w:w w:val="92"/>
              </w:rPr>
              <w:t>Principal</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Principal</w:t>
            </w:r>
          </w:p>
        </w:tc>
      </w:tr>
      <w:tr>
        <w:trPr>
          <w:trHeight w:val="230"/>
        </w:trPr>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20"/>
                <w:szCs w:val="20"/>
                <w:b w:val="1"/>
                <w:bCs w:val="1"/>
                <w:color w:val="auto"/>
                <w:w w:val="92"/>
              </w:rPr>
              <w:t>Amount</w:t>
            </w:r>
          </w:p>
        </w:tc>
        <w:tc>
          <w:tcPr>
            <w:tcW w:w="1060" w:type="dxa"/>
            <w:vAlign w:val="bottom"/>
          </w:tcPr>
          <w:p>
            <w:pPr>
              <w:jc w:val="center"/>
              <w:spacing w:after="0"/>
              <w:rPr>
                <w:sz w:val="20"/>
                <w:szCs w:val="20"/>
                <w:color w:val="auto"/>
              </w:rPr>
            </w:pPr>
            <w:r>
              <w:rPr>
                <w:rFonts w:ascii="Arial" w:cs="Arial" w:eastAsia="Arial" w:hAnsi="Arial"/>
                <w:sz w:val="20"/>
                <w:szCs w:val="20"/>
                <w:b w:val="1"/>
                <w:bCs w:val="1"/>
                <w:color w:val="auto"/>
                <w:w w:val="92"/>
              </w:rPr>
              <w:t>Amount</w:t>
            </w:r>
          </w:p>
        </w:tc>
      </w:tr>
      <w:tr>
        <w:trPr>
          <w:trHeight w:val="212"/>
        </w:trPr>
        <w:tc>
          <w:tcPr>
            <w:tcW w:w="540" w:type="dxa"/>
            <w:vAlign w:val="bottom"/>
            <w:gridSpan w:val="2"/>
          </w:tcPr>
          <w:p>
            <w:pPr>
              <w:spacing w:after="0" w:line="212" w:lineRule="exact"/>
              <w:rPr>
                <w:sz w:val="20"/>
                <w:szCs w:val="20"/>
                <w:color w:val="auto"/>
              </w:rPr>
            </w:pPr>
            <w:r>
              <w:rPr>
                <w:rFonts w:ascii="Arial" w:cs="Arial" w:eastAsia="Arial" w:hAnsi="Arial"/>
                <w:sz w:val="20"/>
                <w:szCs w:val="20"/>
                <w:b w:val="1"/>
                <w:bCs w:val="1"/>
                <w:color w:val="auto"/>
                <w:w w:val="86"/>
              </w:rPr>
              <w:t>Series</w:t>
            </w:r>
          </w:p>
        </w:tc>
        <w:tc>
          <w:tcPr>
            <w:tcW w:w="49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60" w:type="dxa"/>
            <w:vAlign w:val="bottom"/>
            <w:gridSpan w:val="2"/>
          </w:tcPr>
          <w:p>
            <w:pPr>
              <w:jc w:val="center"/>
              <w:ind w:right="920"/>
              <w:spacing w:after="0" w:line="212" w:lineRule="exact"/>
              <w:rPr>
                <w:sz w:val="20"/>
                <w:szCs w:val="20"/>
                <w:color w:val="auto"/>
              </w:rPr>
            </w:pPr>
            <w:r>
              <w:rPr>
                <w:rFonts w:ascii="Arial" w:cs="Arial" w:eastAsia="Arial" w:hAnsi="Arial"/>
                <w:sz w:val="20"/>
                <w:szCs w:val="20"/>
                <w:b w:val="1"/>
                <w:bCs w:val="1"/>
                <w:color w:val="auto"/>
                <w:w w:val="85"/>
              </w:rPr>
              <w:t>Issued</w:t>
            </w:r>
          </w:p>
        </w:tc>
        <w:tc>
          <w:tcPr>
            <w:tcW w:w="1060" w:type="dxa"/>
            <w:vAlign w:val="bottom"/>
          </w:tcPr>
          <w:p>
            <w:pPr>
              <w:jc w:val="center"/>
              <w:spacing w:after="0" w:line="212" w:lineRule="exact"/>
              <w:rPr>
                <w:sz w:val="20"/>
                <w:szCs w:val="20"/>
                <w:color w:val="auto"/>
              </w:rPr>
            </w:pPr>
            <w:r>
              <w:rPr>
                <w:rFonts w:ascii="Arial" w:cs="Arial" w:eastAsia="Arial" w:hAnsi="Arial"/>
                <w:sz w:val="20"/>
                <w:szCs w:val="20"/>
                <w:b w:val="1"/>
                <w:bCs w:val="1"/>
                <w:color w:val="auto"/>
                <w:w w:val="89"/>
              </w:rPr>
              <w:t>Outstanding</w:t>
            </w:r>
          </w:p>
        </w:tc>
      </w:tr>
      <w:tr>
        <w:trPr>
          <w:trHeight w:val="20"/>
        </w:trPr>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08"/>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4.90%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October 15, 2025</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30,000,000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30,000,000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5.82%</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April 15, 2040</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45,000,000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3.20%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July 15, 2026</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75,000,000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75,000,000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4.08%</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July 15, 2042</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85,000,000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85,000,000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1.83%</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April 15, 2018</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50,000,000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50,000,000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3.30%</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October 15, 2028</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40,000,000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40,000,000</w:t>
            </w:r>
          </w:p>
        </w:tc>
      </w:tr>
      <w:tr>
        <w:trPr>
          <w:trHeight w:val="284"/>
        </w:trPr>
        <w:tc>
          <w:tcPr>
            <w:tcW w:w="540" w:type="dxa"/>
            <w:vAlign w:val="bottom"/>
            <w:gridSpan w:val="2"/>
          </w:tcPr>
          <w:p>
            <w:pPr>
              <w:spacing w:after="0"/>
              <w:rPr>
                <w:sz w:val="20"/>
                <w:szCs w:val="20"/>
                <w:color w:val="auto"/>
              </w:rPr>
            </w:pPr>
            <w:r>
              <w:rPr>
                <w:rFonts w:ascii="Arial" w:cs="Arial" w:eastAsia="Arial" w:hAnsi="Arial"/>
                <w:sz w:val="20"/>
                <w:szCs w:val="20"/>
                <w:color w:val="auto"/>
                <w:w w:val="91"/>
              </w:rPr>
              <w:t>4.21%</w:t>
            </w:r>
          </w:p>
        </w:tc>
        <w:tc>
          <w:tcPr>
            <w:tcW w:w="4960" w:type="dxa"/>
            <w:vAlign w:val="bottom"/>
          </w:tcPr>
          <w:p>
            <w:pPr>
              <w:ind w:left="20"/>
              <w:spacing w:after="0"/>
              <w:rPr>
                <w:sz w:val="20"/>
                <w:szCs w:val="20"/>
                <w:color w:val="auto"/>
              </w:rPr>
            </w:pPr>
            <w:r>
              <w:rPr>
                <w:rFonts w:ascii="Arial" w:cs="Arial" w:eastAsia="Arial" w:hAnsi="Arial"/>
                <w:sz w:val="20"/>
                <w:szCs w:val="20"/>
                <w:color w:val="auto"/>
              </w:rPr>
              <w:t>Series due October 15, 2043</w:t>
            </w:r>
          </w:p>
        </w:tc>
        <w:tc>
          <w:tcPr>
            <w:tcW w:w="4380" w:type="dxa"/>
            <w:vAlign w:val="bottom"/>
            <w:gridSpan w:val="3"/>
          </w:tcPr>
          <w:p>
            <w:pPr>
              <w:jc w:val="right"/>
              <w:ind w:right="540"/>
              <w:spacing w:after="0"/>
              <w:rPr>
                <w:sz w:val="20"/>
                <w:szCs w:val="20"/>
                <w:color w:val="auto"/>
              </w:rPr>
            </w:pPr>
            <w:r>
              <w:rPr>
                <w:rFonts w:ascii="Arial" w:cs="Arial" w:eastAsia="Arial" w:hAnsi="Arial"/>
                <w:sz w:val="20"/>
                <w:szCs w:val="20"/>
                <w:color w:val="auto"/>
              </w:rPr>
              <w:t>60,000,000</w:t>
            </w:r>
          </w:p>
        </w:tc>
        <w:tc>
          <w:tcPr>
            <w:tcW w:w="1060" w:type="dxa"/>
            <w:vAlign w:val="bottom"/>
          </w:tcPr>
          <w:p>
            <w:pPr>
              <w:jc w:val="center"/>
              <w:spacing w:after="0"/>
              <w:rPr>
                <w:sz w:val="20"/>
                <w:szCs w:val="20"/>
                <w:color w:val="auto"/>
              </w:rPr>
            </w:pPr>
            <w:r>
              <w:rPr>
                <w:rFonts w:ascii="Arial" w:cs="Arial" w:eastAsia="Arial" w:hAnsi="Arial"/>
                <w:sz w:val="20"/>
                <w:szCs w:val="20"/>
                <w:color w:val="auto"/>
                <w:w w:val="89"/>
              </w:rPr>
              <w:t>60,000,000</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which bonds are also hereinafter sometimes called bonds of the First through Forty-seventh Series, respectively; and</w:t>
      </w:r>
    </w:p>
    <w:p>
      <w:pPr>
        <w:spacing w:after="0" w:line="229"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210" w:lineRule="exact"/>
        <w:rPr>
          <w:sz w:val="20"/>
          <w:szCs w:val="20"/>
          <w:color w:val="auto"/>
        </w:rPr>
      </w:pPr>
    </w:p>
    <w:p>
      <w:pPr>
        <w:jc w:val="both"/>
        <w:ind w:firstLine="608"/>
        <w:spacing w:after="0" w:line="273" w:lineRule="auto"/>
        <w:rPr>
          <w:sz w:val="20"/>
          <w:szCs w:val="20"/>
          <w:color w:val="auto"/>
        </w:rPr>
      </w:pPr>
      <w:r>
        <w:rPr>
          <w:rFonts w:ascii="Arial" w:cs="Arial" w:eastAsia="Arial" w:hAnsi="Arial"/>
          <w:sz w:val="18"/>
          <w:szCs w:val="18"/>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183"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WHEREAS, the Company now desires to create two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205"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WHEREAS, the execution and delivery by the Company of this Thirty-fifth Supplemental Indenture, and the terms of the bonds of the Forty-eighth Series and the Forty-ninth Series, hereinafter referred to, have been duly authorized by the Board of Directors of the Company by appropriate resolutions of said Board of Directors;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1" w:right="239" w:bottom="1440" w:gutter="0" w:footer="0" w:header="0"/>
        </w:sectPr>
      </w:pPr>
    </w:p>
    <w:bookmarkStart w:id="67" w:name="page68"/>
    <w:bookmarkEnd w:id="67"/>
    <w:p>
      <w:pPr>
        <w:ind w:left="620"/>
        <w:spacing w:after="0"/>
        <w:rPr>
          <w:sz w:val="20"/>
          <w:szCs w:val="20"/>
          <w:color w:val="auto"/>
        </w:rPr>
      </w:pPr>
      <w:r>
        <w:rPr>
          <w:rFonts w:ascii="Arial" w:cs="Arial" w:eastAsia="Arial" w:hAnsi="Arial"/>
          <w:sz w:val="20"/>
          <w:szCs w:val="20"/>
          <w:color w:val="auto"/>
        </w:rPr>
        <w:t>NOW, THEREFORE, THIS INDENTURE WITNESSETH:</w:t>
      </w:r>
    </w:p>
    <w:p>
      <w:pPr>
        <w:spacing w:after="0" w:line="229" w:lineRule="exact"/>
        <w:rPr>
          <w:sz w:val="20"/>
          <w:szCs w:val="20"/>
          <w:color w:val="auto"/>
        </w:rPr>
      </w:pPr>
    </w:p>
    <w:p>
      <w:pPr>
        <w:jc w:val="both"/>
        <w:ind w:firstLine="608"/>
        <w:spacing w:after="0" w:line="268" w:lineRule="auto"/>
        <w:rPr>
          <w:sz w:val="20"/>
          <w:szCs w:val="20"/>
          <w:color w:val="auto"/>
        </w:rPr>
      </w:pPr>
      <w:r>
        <w:rPr>
          <w:rFonts w:ascii="Arial" w:cs="Arial" w:eastAsia="Arial" w:hAnsi="Arial"/>
          <w:sz w:val="18"/>
          <w:szCs w:val="18"/>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Mellon and Philip L. Watson,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Thirty-fifth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186"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208"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68" w:name="page69"/>
    <w:bookmarkEnd w:id="68"/>
    <w:p>
      <w:pPr>
        <w:jc w:val="both"/>
        <w:ind w:firstLine="608"/>
        <w:spacing w:after="0" w:line="269" w:lineRule="auto"/>
        <w:rPr>
          <w:sz w:val="20"/>
          <w:szCs w:val="20"/>
          <w:color w:val="auto"/>
        </w:rPr>
      </w:pPr>
      <w:r>
        <w:rPr>
          <w:rFonts w:ascii="Arial" w:cs="Arial" w:eastAsia="Arial" w:hAnsi="Arial"/>
          <w:sz w:val="18"/>
          <w:szCs w:val="18"/>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Thirty-fifth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Thirty-fifth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189" w:lineRule="exact"/>
        <w:rPr>
          <w:sz w:val="20"/>
          <w:szCs w:val="20"/>
          <w:color w:val="auto"/>
        </w:rPr>
      </w:pPr>
    </w:p>
    <w:p>
      <w:pPr>
        <w:jc w:val="both"/>
        <w:ind w:right="20" w:firstLine="608"/>
        <w:spacing w:after="0" w:line="250" w:lineRule="auto"/>
        <w:rPr>
          <w:sz w:val="20"/>
          <w:szCs w:val="20"/>
          <w:color w:val="auto"/>
        </w:rPr>
      </w:pPr>
      <w:r>
        <w:rPr>
          <w:rFonts w:ascii="Arial" w:cs="Arial" w:eastAsia="Arial" w:hAnsi="Arial"/>
          <w:sz w:val="20"/>
          <w:szCs w:val="20"/>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200" w:lineRule="exact"/>
        <w:rPr>
          <w:sz w:val="20"/>
          <w:szCs w:val="20"/>
          <w:color w:val="auto"/>
        </w:rPr>
      </w:pPr>
    </w:p>
    <w:p>
      <w:pPr>
        <w:jc w:val="both"/>
        <w:ind w:firstLine="608"/>
        <w:spacing w:after="0" w:line="316" w:lineRule="auto"/>
        <w:rPr>
          <w:sz w:val="20"/>
          <w:szCs w:val="20"/>
          <w:color w:val="auto"/>
        </w:rPr>
      </w:pPr>
      <w:r>
        <w:rPr>
          <w:rFonts w:ascii="Arial" w:cs="Arial" w:eastAsia="Arial" w:hAnsi="Arial"/>
          <w:sz w:val="18"/>
          <w:szCs w:val="18"/>
          <w:color w:val="auto"/>
        </w:rPr>
        <w:t>IN TRUST NEVERTHELESS, for the same purposes and upon the same terms, trusts and conditions and subject to and with the same provisos and covenants as are set forth in the Mortgage, as supplemented, this Thirty-fifth Supplemental Indenture being supplemental thereto.</w:t>
      </w:r>
    </w:p>
    <w:p>
      <w:pPr>
        <w:spacing w:after="0" w:line="144"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further covenants and agrees to and with the Trustees and their successors in said trust under the Mortgage as follows: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Forty-eighth Series of Bonds</w:t>
      </w:r>
    </w:p>
    <w:p>
      <w:pPr>
        <w:spacing w:after="0" w:line="213"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“3.69% Series due March 15, 2024” (herein sometimes referred to as the “Forty-eighth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Forty-eighth Series shall be dated as in Section 10 of the Mortgage provided, mature on March 15, 2024 (the “Forty-eighth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March 4, 2014 (computed on the basis of a 360-day year of twelve thirty-day months) at the rate of 3.69% per annum, payable semi-annually on March 15 and September 15 of each year, commencing September 15, 2014,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88"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Forty-eighth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Forty-eighth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188" w:lineRule="exact"/>
        <w:rPr>
          <w:sz w:val="20"/>
          <w:szCs w:val="20"/>
          <w:color w:val="auto"/>
        </w:rPr>
      </w:pPr>
    </w:p>
    <w:p>
      <w:pPr>
        <w:jc w:val="both"/>
        <w:ind w:firstLine="616"/>
        <w:spacing w:after="0" w:line="269" w:lineRule="auto"/>
        <w:tabs>
          <w:tab w:leader="none" w:pos="1013"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September 15, 2023 (six months prior to the Forty-eighth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Forty-eighth Series at 100% of the principal amount so prepaid, and the Make-Whole Amount determined for the Settlement Date specified by the Company in such notice with respect to such principal amount. The Company will give each registered owner of bonds of the Forty-eighth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Forty-eighth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Forty-eighth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92" w:lineRule="exact"/>
        <w:rPr>
          <w:sz w:val="20"/>
          <w:szCs w:val="20"/>
          <w:color w:val="auto"/>
        </w:rPr>
      </w:pPr>
    </w:p>
    <w:p>
      <w:pPr>
        <w:jc w:val="both"/>
        <w:ind w:firstLine="608"/>
        <w:spacing w:after="0" w:line="263" w:lineRule="auto"/>
        <w:rPr>
          <w:sz w:val="20"/>
          <w:szCs w:val="20"/>
          <w:color w:val="auto"/>
        </w:rPr>
      </w:pPr>
      <w:r>
        <w:rPr>
          <w:rFonts w:ascii="Arial" w:cs="Arial" w:eastAsia="Arial" w:hAnsi="Arial"/>
          <w:sz w:val="19"/>
          <w:szCs w:val="19"/>
          <w:color w:val="auto"/>
        </w:rPr>
        <w:t>At any time on or after September 15, 2023, the bonds of the Forty-eighth series will be redeemable at the option of the Company, in whole or in part, on not less than 30 nor more than 60 days’ notice prior to the Settlement Date, at a redemption price equal to 100% of the principal amount of the bonds of the Forty-eighth Series to be redeemed, plus accrued and unpaid interest thereon to the Settlement Date. The bonds of the Forty-eighth Series are not otherwise subject to voluntary or optional prepayment.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0" w:right="239" w:bottom="1440" w:gutter="0" w:footer="0" w:header="0"/>
        </w:sectPr>
      </w:pPr>
    </w:p>
    <w:bookmarkStart w:id="70" w:name="page71"/>
    <w:bookmarkEnd w:id="70"/>
    <w:p>
      <w:pPr>
        <w:jc w:val="both"/>
        <w:ind w:firstLine="656"/>
        <w:spacing w:after="0" w:line="248" w:lineRule="auto"/>
        <w:tabs>
          <w:tab w:leader="none" w:pos="1105"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Forty-eighth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Forty-eighth Series to be prepaid shall be allocated by the Company among all of the bonds of the Forty-eighth Series at the time outstanding in proportion, as nearly as practicable, to the respective unpaid principal amounts thereof not theretofore called for prepayment.</w:t>
      </w:r>
    </w:p>
    <w:p>
      <w:pPr>
        <w:spacing w:after="0" w:line="184" w:lineRule="exact"/>
        <w:rPr>
          <w:sz w:val="20"/>
          <w:szCs w:val="20"/>
          <w:color w:val="auto"/>
        </w:rPr>
      </w:pPr>
    </w:p>
    <w:p>
      <w:pPr>
        <w:jc w:val="both"/>
        <w:ind w:firstLine="656"/>
        <w:spacing w:after="0" w:line="269" w:lineRule="auto"/>
        <w:tabs>
          <w:tab w:leader="none" w:pos="1207"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Forty-eighth Series pursuant to this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Forty-eighth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18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35"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“Make-Whole Amount” means, with respect to any bond of the Forty-eighth Series, an amount equal to the excess, if any, of the Discounted Value of the Remaining Scheduled Payments with respect to the Called Principal of such bond of the Forty-eighth Series over the amount of such Called Principal, provided that the Make-Whole Amount may in no event be less than zero. For the purposes of determining the Make-Whole Amount, the following terms have the following meanings:</w:t>
      </w:r>
    </w:p>
    <w:p>
      <w:pPr>
        <w:spacing w:after="0" w:line="20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90"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Forty-eighth Series, the principal of such bond that is to be prepaid pursuant to subsection (I) of this section.</w:t>
      </w:r>
    </w:p>
    <w:p>
      <w:pPr>
        <w:spacing w:after="0" w:line="190"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Forty-eighth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Forty-eighth Series is payable) equal to the Reinvestment Yield with respect to such Called Principal.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0" w:right="239" w:bottom="1440" w:gutter="0" w:footer="0" w:header="0"/>
        </w:sectPr>
      </w:pPr>
    </w:p>
    <w:bookmarkStart w:id="71" w:name="page72"/>
    <w:bookmarkEnd w:id="71"/>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Forty-eighth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Forty-eighth Series.</w:t>
      </w:r>
    </w:p>
    <w:p>
      <w:pPr>
        <w:spacing w:after="0" w:line="194"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208"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Forty-eighth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Forty-eighth Series, then the amount of the next succeeding scheduled interest payment will be reduced by the amount of interest accrued to such Settlement Date and required to be paid on such Settlement Date pursuant to subsection (I) of this section.</w:t>
      </w:r>
    </w:p>
    <w:p>
      <w:pPr>
        <w:spacing w:after="0" w:line="210"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Forty-eighth Series, the date on which such Called Principal is to be prepaid pursuant to subsection (I) of this section.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41" w:lineRule="exact"/>
        <w:rPr>
          <w:sz w:val="20"/>
          <w:szCs w:val="20"/>
          <w:color w:val="auto"/>
        </w:rPr>
      </w:pPr>
    </w:p>
    <w:p>
      <w:pPr>
        <w:jc w:val="both"/>
        <w:ind w:firstLine="616"/>
        <w:spacing w:after="0" w:line="282" w:lineRule="auto"/>
        <w:tabs>
          <w:tab w:leader="none" w:pos="106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Forty-eighth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75"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Forty-eighth Series shall be transferable (subject to the provisions of Section 12 of the Mortgage) at the office or agency of the Company in the Borough of Manhattan, The City of New York. The Company shall not be required to make transfers or exchanges of bonds of the Forty-eighth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6" w:right="239" w:bottom="1440" w:gutter="0" w:footer="0" w:header="0"/>
        </w:sectPr>
      </w:pPr>
    </w:p>
    <w:bookmarkStart w:id="72" w:name="page73"/>
    <w:bookmarkEnd w:id="72"/>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Forty-eighth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Forty-eighth Series.</w:t>
      </w:r>
    </w:p>
    <w:p>
      <w:pPr>
        <w:spacing w:after="0" w:line="200"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Thirty-fifth Supplemental Indenture and upon compliance with the applicable provisions of the Mortgage and receipt of consideration therefor by the Company, there shall be an initial issue of bonds of the Forty-eighth Series for the aggregate principal amount of $60,000,000.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Forty-ninth Series of Bonds</w:t>
      </w:r>
    </w:p>
    <w:p>
      <w:pPr>
        <w:spacing w:after="0" w:line="213" w:lineRule="exact"/>
        <w:rPr>
          <w:sz w:val="20"/>
          <w:szCs w:val="20"/>
          <w:color w:val="auto"/>
        </w:rPr>
      </w:pPr>
    </w:p>
    <w:p>
      <w:pPr>
        <w:jc w:val="both"/>
        <w:ind w:firstLine="608"/>
        <w:spacing w:after="0" w:line="271" w:lineRule="auto"/>
        <w:rPr>
          <w:sz w:val="20"/>
          <w:szCs w:val="20"/>
          <w:color w:val="auto"/>
        </w:rPr>
      </w:pPr>
      <w:r>
        <w:rPr>
          <w:rFonts w:ascii="Arial" w:cs="Arial" w:eastAsia="Arial" w:hAnsi="Arial"/>
          <w:sz w:val="18"/>
          <w:szCs w:val="18"/>
          <w:color w:val="auto"/>
        </w:rPr>
        <w:t>SECTION 1. There shall be a series of bonds designated “4.95% Series due March 15, 2044” (herein sometimes referred to as the “Forty-ninth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Forty-ninth Series shall be dated as in Section 10 of the Mortgage provided, mature on March 15, 2044 (the “Forty-ninth Series Stated Maturity”), be issued as fully registered bonds in denominations of One Thousand Dollars and, at the option of the Company, in any multiple or multiples of One Thousand Dollars (the exercise of such option to be evidenced by the execution and delivery thereof) and bear interest from March 4, 2014 (computed on the basis of a 360-day year of twelve thirty-day months) at the rate of 4.95% per annum, payable semi-annually on March 15 and September 15 of each year, commencing September 15, 2014,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88"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Any payment of principal of or interest on any bond of the Forty-ninth Series that is due on a date other than a Business Day shall be made on the next succeeding Business Day without including the additional days elapsed in the computation of the interest payable on such next succeeding Business Day; provided that if the maturity date of any such bond of the Forty-ninth Series is a date other than a Business Day, the payment otherwise due on such maturity date shall be made on the next succeeding Business Day and shall include the additional days elapsed in the computation of interest payable on such next succeeding Business Day.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6" w:right="239" w:bottom="1440" w:gutter="0" w:footer="0" w:header="0"/>
        </w:sectPr>
      </w:pPr>
    </w:p>
    <w:bookmarkStart w:id="73" w:name="page74"/>
    <w:bookmarkEnd w:id="73"/>
    <w:p>
      <w:pPr>
        <w:jc w:val="both"/>
        <w:ind w:firstLine="616"/>
        <w:spacing w:after="0" w:line="269" w:lineRule="auto"/>
        <w:tabs>
          <w:tab w:leader="none" w:pos="1026"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Optional Prepayment. </w:t>
      </w:r>
      <w:r>
        <w:rPr>
          <w:rFonts w:ascii="Arial" w:cs="Arial" w:eastAsia="Arial" w:hAnsi="Arial"/>
          <w:sz w:val="18"/>
          <w:szCs w:val="18"/>
          <w:color w:val="auto"/>
        </w:rPr>
        <w:t>At any time prior to September 15, 2043 (six months prior to the Forty-ninth Series Stated Maturity)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at its option, upon notice as provided below, prepay at any time all, or from time to time any part of, the bonds of the Forty-ninth Series at 100% of the principal amount so prepaid, and the Make-Whole Amount determined for the Settlement Date specified by the Company in such notice with respect to such principal amount. The Company will give each registered owner of bonds of the Forty-ninth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Forty-ninth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Forty-ninth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w:t>
      </w:r>
    </w:p>
    <w:p>
      <w:pPr>
        <w:spacing w:after="0" w:line="192" w:lineRule="exact"/>
        <w:rPr>
          <w:sz w:val="20"/>
          <w:szCs w:val="20"/>
          <w:color w:val="auto"/>
        </w:rPr>
      </w:pPr>
    </w:p>
    <w:p>
      <w:pPr>
        <w:jc w:val="both"/>
        <w:ind w:firstLine="608"/>
        <w:spacing w:after="0" w:line="263" w:lineRule="auto"/>
        <w:rPr>
          <w:sz w:val="20"/>
          <w:szCs w:val="20"/>
          <w:color w:val="auto"/>
        </w:rPr>
      </w:pPr>
      <w:r>
        <w:rPr>
          <w:rFonts w:ascii="Arial" w:cs="Arial" w:eastAsia="Arial" w:hAnsi="Arial"/>
          <w:sz w:val="19"/>
          <w:szCs w:val="19"/>
          <w:color w:val="auto"/>
        </w:rPr>
        <w:t>At any time on or after September 15, 2043, the bonds of the Forty-ninth series will be redeemable at the option of the Company, in whole or in part, on not less than 30 nor more than 60 days’ notice prior to the Settlement Date, at a redemption price equal to 100% of the principal amount of the bonds of the Forty-ninth Series to be redeemed, plus accrued and unpaid interest thereon to the Settlement Date. The bonds of the Forty-ninth Series are not otherwise subject to voluntary or optional prepayment.</w:t>
      </w:r>
    </w:p>
    <w:p>
      <w:pPr>
        <w:spacing w:after="0" w:line="171" w:lineRule="exact"/>
        <w:rPr>
          <w:sz w:val="20"/>
          <w:szCs w:val="20"/>
          <w:color w:val="auto"/>
        </w:rPr>
      </w:pPr>
    </w:p>
    <w:p>
      <w:pPr>
        <w:jc w:val="both"/>
        <w:ind w:firstLine="656"/>
        <w:spacing w:after="0" w:line="248" w:lineRule="auto"/>
        <w:tabs>
          <w:tab w:leader="none" w:pos="1119"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 xml:space="preserve">Allocation of Partial Prepayments. </w:t>
      </w:r>
      <w:r>
        <w:rPr>
          <w:rFonts w:ascii="Arial" w:cs="Arial" w:eastAsia="Arial" w:hAnsi="Arial"/>
          <w:sz w:val="20"/>
          <w:szCs w:val="20"/>
          <w:color w:val="auto"/>
        </w:rPr>
        <w:t>In the case of each partial prepayment of the bonds of the Forty-ninth Series,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amount of the bonds of the Forty-ninth Series to be prepaid shall be allocated by the Company among all of the bonds of the Forty-ninth Series at the time outstanding in proportion, as nearly as practicable, to the respective unpaid principal amounts thereof not theretofore called for prepayment.</w:t>
      </w:r>
    </w:p>
    <w:p>
      <w:pPr>
        <w:spacing w:after="0" w:line="184" w:lineRule="exact"/>
        <w:rPr>
          <w:sz w:val="20"/>
          <w:szCs w:val="20"/>
          <w:color w:val="auto"/>
        </w:rPr>
      </w:pPr>
    </w:p>
    <w:p>
      <w:pPr>
        <w:jc w:val="both"/>
        <w:ind w:firstLine="616"/>
        <w:spacing w:after="0" w:line="269"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Maturity; Surrender, Etc. </w:t>
      </w:r>
      <w:r>
        <w:rPr>
          <w:rFonts w:ascii="Arial" w:cs="Arial" w:eastAsia="Arial" w:hAnsi="Arial"/>
          <w:sz w:val="18"/>
          <w:szCs w:val="18"/>
          <w:color w:val="auto"/>
        </w:rPr>
        <w:t>In the case of each notice of prepayment of bonds of the Forty-ninth Series pursuant to this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Forty-ninth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the Corporate Trustee before payment of such cash by the Corporate Trustee, for a substitute bond in the principal amount remaining unpaid.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0" w:right="239" w:bottom="1440" w:gutter="0" w:footer="0" w:header="0"/>
        </w:sectPr>
      </w:pPr>
    </w:p>
    <w:bookmarkStart w:id="74" w:name="page75"/>
    <w:bookmarkEnd w:id="74"/>
    <w:p>
      <w:pPr>
        <w:ind w:left="660"/>
        <w:spacing w:after="0"/>
        <w:tabs>
          <w:tab w:leader="none" w:pos="116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8"/>
          <w:szCs w:val="18"/>
          <w:b w:val="1"/>
          <w:bCs w:val="1"/>
          <w:color w:val="auto"/>
        </w:rPr>
        <w:t>Make-Whole Amount.</w:t>
      </w:r>
    </w:p>
    <w:p>
      <w:pPr>
        <w:spacing w:after="0" w:line="235" w:lineRule="exact"/>
        <w:rPr>
          <w:sz w:val="20"/>
          <w:szCs w:val="20"/>
          <w:color w:val="auto"/>
        </w:rPr>
      </w:pPr>
    </w:p>
    <w:p>
      <w:pPr>
        <w:jc w:val="both"/>
        <w:ind w:firstLine="608"/>
        <w:spacing w:after="0" w:line="246" w:lineRule="auto"/>
        <w:rPr>
          <w:sz w:val="20"/>
          <w:szCs w:val="20"/>
          <w:color w:val="auto"/>
        </w:rPr>
      </w:pPr>
      <w:r>
        <w:rPr>
          <w:rFonts w:ascii="Arial" w:cs="Arial" w:eastAsia="Arial" w:hAnsi="Arial"/>
          <w:sz w:val="20"/>
          <w:szCs w:val="20"/>
          <w:color w:val="auto"/>
        </w:rPr>
        <w:t>“Make-Whole Amount” means, with respect to any bond of the Forty-ninth Series, an amount equal to the excess, if any, of the Discounted Value of the Remaining Scheduled Payments with respect to the Called Principal of such bond of the Forty-ninth Series over the amount of such Called Principal, provided that the Make-Whole Amount may in no event be less than zero. For the purposes of determining the Make-Whole Amount, the following terms have the following meanings:</w:t>
      </w:r>
    </w:p>
    <w:p>
      <w:pPr>
        <w:spacing w:after="0" w:line="205"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“Business Day” means any day other than a Saturday, a Sunday or a day on which commercial banks in New York City are required or authorized to be closed.</w:t>
      </w:r>
    </w:p>
    <w:p>
      <w:pPr>
        <w:spacing w:after="0" w:line="190"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“Called Principal” means, with respect to any bond of the Forty-ninth Series, the principal of such bond that is to be prepaid pursuant to subsection (I) of this section.</w:t>
      </w:r>
    </w:p>
    <w:p>
      <w:pPr>
        <w:spacing w:after="0" w:line="190"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“Discounted Value” means, with respect to the Called Principal of any bond of the Forty-ninth Series,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of the Forty-ninth Series is payable) equal to the Reinvestment Yield with respect to such Called Principal.</w:t>
      </w:r>
    </w:p>
    <w:p>
      <w:pPr>
        <w:spacing w:after="0" w:line="208" w:lineRule="exact"/>
        <w:rPr>
          <w:sz w:val="20"/>
          <w:szCs w:val="20"/>
          <w:color w:val="auto"/>
        </w:rPr>
      </w:pPr>
    </w:p>
    <w:p>
      <w:pPr>
        <w:jc w:val="both"/>
        <w:ind w:firstLine="608"/>
        <w:spacing w:after="0" w:line="269" w:lineRule="auto"/>
        <w:rPr>
          <w:sz w:val="20"/>
          <w:szCs w:val="20"/>
          <w:color w:val="auto"/>
        </w:rPr>
      </w:pPr>
      <w:r>
        <w:rPr>
          <w:rFonts w:ascii="Arial" w:cs="Arial" w:eastAsia="Arial" w:hAnsi="Arial"/>
          <w:sz w:val="18"/>
          <w:szCs w:val="18"/>
          <w:color w:val="auto"/>
        </w:rPr>
        <w:t>“Reinvestment Yield” means, with respect to the Called Principal of any bond of the Forty-ninth Series, 0.5% over the yield to maturity implied by (i) the yields reported as of 10:00 a.m. (New York City time) on the second Business Day preceding the Settlement Date with respect to such Called Principal, on the display designated as “Page PX1” on the Bloomberg Financial Markets Service (or such other display on the Bloomberg Financial Markets Service having the same information as PX1 if PX1 is replaced by the Bloomberg Financial Markets Service) for the most recently issued actively traded on-the-run benchmark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most recently issued, actively traded on-the-run benchmark U.S. Treasury security with the maturity closest to and greater than such Remaining Average Life and (2) the most recently issued, actively traded on-the-run benchmark U.S. Treasury security with the maturity closest to and less than such Remaining Average Life. The Reinvestment Yield shall be rounded to the number of decimal places as appears in the interest rate of the applicable bond of the Forty-ninth Series.</w:t>
      </w:r>
    </w:p>
    <w:p>
      <w:pPr>
        <w:spacing w:after="0" w:line="194"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208"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“Remaining Scheduled Payments” means, with respect to the Called Principal of any Bond of the Forty-ninth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Forty-ninth Series, then the amount of the next succeeding scheduled interest payment will be reduced by the amount of interest accrued to such Settlement Date and required to be paid on such Settlement Date pursuant to subsection (I) of this section.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0" w:right="239" w:bottom="1440" w:gutter="0" w:footer="0" w:header="0"/>
        </w:sectPr>
      </w:pPr>
    </w:p>
    <w:bookmarkStart w:id="75" w:name="page76"/>
    <w:bookmarkEnd w:id="75"/>
    <w:p>
      <w:pPr>
        <w:ind w:firstLine="608"/>
        <w:spacing w:after="0" w:line="260" w:lineRule="auto"/>
        <w:rPr>
          <w:sz w:val="20"/>
          <w:szCs w:val="20"/>
          <w:color w:val="auto"/>
        </w:rPr>
      </w:pPr>
      <w:r>
        <w:rPr>
          <w:rFonts w:ascii="Arial" w:cs="Arial" w:eastAsia="Arial" w:hAnsi="Arial"/>
          <w:sz w:val="20"/>
          <w:szCs w:val="20"/>
          <w:color w:val="auto"/>
        </w:rPr>
        <w:t>“Settlement Date” means, with respect to the Called Principal of any Bond of the Forty-ninth Series, the date on which such Called Principal is to be prepaid pursuant to subsection (I) of this section.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9"/>
          <w:szCs w:val="19"/>
          <w:color w:val="auto"/>
        </w:rPr>
        <w:t>“Senior Financial Officer” means the chief financial officer, principal accounting officer, treasurer or comptroller of the Company.</w:t>
      </w:r>
    </w:p>
    <w:p>
      <w:pPr>
        <w:spacing w:after="0" w:line="241" w:lineRule="exact"/>
        <w:rPr>
          <w:sz w:val="20"/>
          <w:szCs w:val="20"/>
          <w:color w:val="auto"/>
        </w:rPr>
      </w:pPr>
    </w:p>
    <w:p>
      <w:pPr>
        <w:jc w:val="both"/>
        <w:ind w:firstLine="616"/>
        <w:spacing w:after="0" w:line="282" w:lineRule="auto"/>
        <w:tabs>
          <w:tab w:leader="none" w:pos="10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the option of the registered owner, any bonds of the Forty-ninth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unpaid principal amount of bonds of the same series of other authorized denominations.</w:t>
      </w:r>
    </w:p>
    <w:p>
      <w:pPr>
        <w:spacing w:after="0" w:line="175" w:lineRule="exact"/>
        <w:rPr>
          <w:sz w:val="20"/>
          <w:szCs w:val="20"/>
          <w:color w:val="auto"/>
        </w:rPr>
      </w:pPr>
    </w:p>
    <w:p>
      <w:pPr>
        <w:jc w:val="both"/>
        <w:ind w:firstLine="608"/>
        <w:spacing w:after="0" w:line="282" w:lineRule="auto"/>
        <w:rPr>
          <w:sz w:val="20"/>
          <w:szCs w:val="20"/>
          <w:color w:val="auto"/>
        </w:rPr>
      </w:pPr>
      <w:r>
        <w:rPr>
          <w:rFonts w:ascii="Arial" w:cs="Arial" w:eastAsia="Arial" w:hAnsi="Arial"/>
          <w:sz w:val="18"/>
          <w:szCs w:val="18"/>
          <w:color w:val="auto"/>
        </w:rPr>
        <w:t>Bonds of the Forty-ninth Series shall be transferable (subject to the provisions of Section 12 of the Mortgage) at the office or agency of the Company in the Borough of Manhattan, The City of New York. The Company shall not be required to make transfers or exchanges of bonds of the Forty-ninth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175"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Upon any exchange or transfer of bonds of the Forty-ninth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Forty-ninth Series.</w:t>
      </w:r>
    </w:p>
    <w:p>
      <w:pPr>
        <w:spacing w:after="0" w:line="200"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After the delivery of this Thirty-fifth Supplemental Indenture and upon compliance with the applicable provisions of the Mortgage and receipt of consideration therefor by the Company, there shall be an initial issue of bonds of the Forty-ninth Series for the aggregate principal amount of $40,000,000.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to Amendments</w:t>
      </w:r>
    </w:p>
    <w:p>
      <w:pPr>
        <w:spacing w:after="0" w:line="213" w:lineRule="exact"/>
        <w:rPr>
          <w:sz w:val="20"/>
          <w:szCs w:val="20"/>
          <w:color w:val="auto"/>
        </w:rPr>
      </w:pPr>
    </w:p>
    <w:p>
      <w:pPr>
        <w:jc w:val="both"/>
        <w:ind w:firstLine="608"/>
        <w:spacing w:after="0" w:line="27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Consent to Amendments</w:t>
      </w:r>
      <w:r>
        <w:rPr>
          <w:rFonts w:ascii="Arial" w:cs="Arial" w:eastAsia="Arial" w:hAnsi="Arial"/>
          <w:sz w:val="18"/>
          <w:szCs w:val="18"/>
          <w:color w:val="auto"/>
        </w:rPr>
        <w:t xml:space="preserve"> Each initial and future holder of bonds of the Forty-eighth Series and the Forty-ninth Series, by its acquisition of an interest in such bonds, irrevocably (a) consents to the amendments set forth in Article IV of the Thirty-first Supplemental Indenture, dated as of February 1, 2010, without any other or further action by any holder of such bonds, and (b) designates the Corporate Trustee, and its successors, as its proxy with irrevocable instructions to vote and deliver written consents on behalf of such holder in favor of such amendments at any bondholder meeting, in lieu of any bondholder meeting, in any consent solicitation or otherwise.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Reservation of Right to Amend Sections 35(a) and 101 of the Mortgage</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SECTION 1. The Company reserves the right, without any vote, consent or other action by the holders of bonds of the Forty-eighth</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Series, the Forty-ninth Series or any subsequent series, to amend the Mortgage, as herein or heretofore supplemented as follows:</w:t>
      </w:r>
    </w:p>
    <w:p>
      <w:pPr>
        <w:spacing w:after="0" w:line="225" w:lineRule="exact"/>
        <w:rPr>
          <w:sz w:val="20"/>
          <w:szCs w:val="20"/>
          <w:color w:val="auto"/>
        </w:rPr>
      </w:pPr>
    </w:p>
    <w:p>
      <w:pPr>
        <w:ind w:firstLine="1305"/>
        <w:spacing w:after="0" w:line="260" w:lineRule="auto"/>
        <w:tabs>
          <w:tab w:leader="none" w:pos="1629" w:val="left"/>
        </w:tabs>
        <w:numPr>
          <w:ilvl w:val="0"/>
          <w:numId w:val="42"/>
        </w:numPr>
        <w:rPr>
          <w:rFonts w:ascii="Arial" w:cs="Arial" w:eastAsia="Arial" w:hAnsi="Arial"/>
          <w:sz w:val="20"/>
          <w:szCs w:val="20"/>
          <w:color w:val="auto"/>
        </w:rPr>
      </w:pPr>
      <w:r>
        <w:rPr>
          <w:rFonts w:ascii="Arial" w:cs="Arial" w:eastAsia="Arial" w:hAnsi="Arial"/>
          <w:sz w:val="20"/>
          <w:szCs w:val="20"/>
          <w:color w:val="auto"/>
        </w:rPr>
        <w:t>By deleting from Section 35(a) the phrase “having its principal office and place of business in the Borough of Manhattan, The City of New York” and the word “such” at the location in said Section 35(a) at which such word first appears.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20"/>
          <w:szCs w:val="20"/>
          <w:color w:val="auto"/>
        </w:rPr>
        <w:t>(B) By adding the following at the end of the first sentence of Section 101:</w:t>
      </w:r>
    </w:p>
    <w:p>
      <w:pPr>
        <w:spacing w:after="0" w:line="229"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 provided however, that if all of the bonds at that time Outstanding are registered as to principal and interest or as to principal only, such notice shall be sufficiently given if mailed, postage prepaid to each such registered owner of bonds at his/her last address appearing on the registry books, on or before the date of on which the first publication of such notice would otherwise have been required.”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13"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20"/>
          <w:szCs w:val="20"/>
          <w:color w:val="auto"/>
        </w:rPr>
        <w:t>SECTION 1. Section 126 of the Mortgage, as heretofore amended, is hereby further amended by adding the words “and March 15, 2024 and March 15, 2044” after the words “and October 15, 2043.”</w:t>
      </w:r>
    </w:p>
    <w:p>
      <w:pPr>
        <w:spacing w:after="0" w:line="190" w:lineRule="exact"/>
        <w:rPr>
          <w:sz w:val="20"/>
          <w:szCs w:val="20"/>
          <w:color w:val="auto"/>
        </w:rPr>
      </w:pPr>
    </w:p>
    <w:p>
      <w:pPr>
        <w:jc w:val="both"/>
        <w:ind w:firstLine="608"/>
        <w:spacing w:after="0" w:line="250" w:lineRule="auto"/>
        <w:rPr>
          <w:sz w:val="20"/>
          <w:szCs w:val="20"/>
          <w:color w:val="auto"/>
        </w:rPr>
      </w:pPr>
      <w:r>
        <w:rPr>
          <w:rFonts w:ascii="Arial" w:cs="Arial" w:eastAsia="Arial" w:hAnsi="Arial"/>
          <w:sz w:val="20"/>
          <w:szCs w:val="20"/>
          <w:color w:val="auto"/>
        </w:rPr>
        <w:t>SECTION 2. Subject to the amendments provided for in this Thirty-fifth Supplemental Indenture, the terms defined in the Mortgage, as heretofore supplemented, shall, for all purposes of this Thirty-fifth Supplemental Indenture, have the meanings specified in the Mortgage, as heretofore supplemented.</w:t>
      </w:r>
    </w:p>
    <w:p>
      <w:pPr>
        <w:spacing w:after="0" w:line="200" w:lineRule="exact"/>
        <w:rPr>
          <w:sz w:val="20"/>
          <w:szCs w:val="20"/>
          <w:color w:val="auto"/>
        </w:rPr>
      </w:pPr>
    </w:p>
    <w:p>
      <w:pPr>
        <w:jc w:val="both"/>
        <w:ind w:firstLine="608"/>
        <w:spacing w:after="0" w:line="243" w:lineRule="auto"/>
        <w:rPr>
          <w:sz w:val="20"/>
          <w:szCs w:val="20"/>
          <w:color w:val="auto"/>
        </w:rPr>
      </w:pPr>
      <w:r>
        <w:rPr>
          <w:rFonts w:ascii="Arial" w:cs="Arial" w:eastAsia="Arial" w:hAnsi="Arial"/>
          <w:sz w:val="20"/>
          <w:szCs w:val="20"/>
          <w:color w:val="auto"/>
        </w:rPr>
        <w:t>SECTION 3. The holders of bonds of the Forty-eighth Series and the Forty-ninth Series consent that the Company may, but shall not be obligated to, fix a record date for the purpose of determining the holders of bonds of the Forty-eighth Series and the Forty-ninth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210" w:lineRule="exact"/>
        <w:rPr>
          <w:sz w:val="20"/>
          <w:szCs w:val="20"/>
          <w:color w:val="auto"/>
        </w:rPr>
      </w:pPr>
    </w:p>
    <w:p>
      <w:pPr>
        <w:jc w:val="both"/>
        <w:ind w:firstLine="608"/>
        <w:spacing w:after="0" w:line="287" w:lineRule="auto"/>
        <w:rPr>
          <w:sz w:val="20"/>
          <w:szCs w:val="20"/>
          <w:color w:val="auto"/>
        </w:rPr>
      </w:pPr>
      <w:r>
        <w:rPr>
          <w:rFonts w:ascii="Arial" w:cs="Arial" w:eastAsia="Arial" w:hAnsi="Arial"/>
          <w:sz w:val="19"/>
          <w:szCs w:val="19"/>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66" w:lineRule="exact"/>
        <w:rPr>
          <w:sz w:val="20"/>
          <w:szCs w:val="20"/>
          <w:color w:val="auto"/>
        </w:rPr>
      </w:pPr>
    </w:p>
    <w:p>
      <w:pPr>
        <w:jc w:val="both"/>
        <w:ind w:firstLine="608"/>
        <w:spacing w:after="0" w:line="260" w:lineRule="auto"/>
        <w:rPr>
          <w:sz w:val="20"/>
          <w:szCs w:val="20"/>
          <w:color w:val="auto"/>
        </w:rPr>
      </w:pPr>
      <w:r>
        <w:rPr>
          <w:rFonts w:ascii="Arial" w:cs="Arial" w:eastAsia="Arial" w:hAnsi="Arial"/>
          <w:sz w:val="19"/>
          <w:szCs w:val="19"/>
          <w:color w:val="auto"/>
        </w:rPr>
        <w:t>The Trustees shall not be responsible in any manner whatsoever for or in respect of the validity or sufficiency of this Thirty-fifth Supplemental Indenture or for or in respect of the recitals contained herein, all of which recitals are made by the Company solely. In general, each and every term and condition contained in Article XVII of the Mortgage shall apply to and form part of this Thirty-fifth Supplemental Indenture with the same force and effect as if the same were herein set forth in full with such omissions, variations and insertions, if any, as may be appropriate to make the same conform to the provisions of this Thirty-fifth Supplemental Indenture.</w:t>
      </w:r>
    </w:p>
    <w:p>
      <w:pPr>
        <w:spacing w:after="0" w:line="194" w:lineRule="exact"/>
        <w:rPr>
          <w:sz w:val="20"/>
          <w:szCs w:val="20"/>
          <w:color w:val="auto"/>
        </w:rPr>
      </w:pPr>
    </w:p>
    <w:p>
      <w:pPr>
        <w:jc w:val="both"/>
        <w:ind w:firstLine="608"/>
        <w:spacing w:after="0" w:line="244" w:lineRule="auto"/>
        <w:rPr>
          <w:sz w:val="20"/>
          <w:szCs w:val="20"/>
          <w:color w:val="auto"/>
        </w:rPr>
      </w:pPr>
      <w:r>
        <w:rPr>
          <w:rFonts w:ascii="Arial" w:cs="Arial" w:eastAsia="Arial" w:hAnsi="Arial"/>
          <w:sz w:val="20"/>
          <w:szCs w:val="20"/>
          <w:color w:val="auto"/>
        </w:rPr>
        <w:t>SECTION 5. Whenever in this Thirty-fifth Supplemental Indenture any party hereto is named or referred to, this shall, subject to the provisions of Articles XVI and XVII of the Mortgage, as heretofore supplemented, be deemed to include the successors or assigns of such party, and all the covenants and agreements in this Thirty-fifth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208" w:lineRule="exact"/>
        <w:rPr>
          <w:sz w:val="20"/>
          <w:szCs w:val="20"/>
          <w:color w:val="auto"/>
        </w:rPr>
      </w:pPr>
    </w:p>
    <w:p>
      <w:pPr>
        <w:jc w:val="both"/>
        <w:ind w:firstLine="608"/>
        <w:spacing w:after="0" w:line="259" w:lineRule="auto"/>
        <w:rPr>
          <w:sz w:val="20"/>
          <w:szCs w:val="20"/>
          <w:color w:val="auto"/>
        </w:rPr>
      </w:pPr>
      <w:r>
        <w:rPr>
          <w:rFonts w:ascii="Arial" w:cs="Arial" w:eastAsia="Arial" w:hAnsi="Arial"/>
          <w:sz w:val="19"/>
          <w:szCs w:val="19"/>
          <w:color w:val="auto"/>
        </w:rPr>
        <w:t>SECTION 6. Nothing in this Thirty-fifth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Thirty-fifth Supplemental Indenture or any covenant, condition, stipulation, promise or agreement hereof, and all the covenants, conditions, stipulations, promises and agreements in this Thirty-fifth Supplemental Indenture contained by and on behalf of the Company shall be for the sole and exclusive benefit of the parties hereto, and of the holders of the bonds and of the coupons Outstanding under the Mortgage.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77" w:name="page78"/>
    <w:bookmarkEnd w:id="77"/>
    <w:p>
      <w:pPr>
        <w:ind w:firstLine="608"/>
        <w:spacing w:after="0" w:line="260" w:lineRule="auto"/>
        <w:rPr>
          <w:sz w:val="20"/>
          <w:szCs w:val="20"/>
          <w:color w:val="auto"/>
        </w:rPr>
      </w:pPr>
      <w:r>
        <w:rPr>
          <w:rFonts w:ascii="Arial" w:cs="Arial" w:eastAsia="Arial" w:hAnsi="Arial"/>
          <w:sz w:val="20"/>
          <w:szCs w:val="20"/>
          <w:color w:val="auto"/>
        </w:rPr>
        <w:t>SECTION 7. This Thirty-fifth Supplemental Indenture shall be executed in several counterparts, each of which shall be an original and all of which shall constitute but one and the same instrument.</w:t>
      </w:r>
    </w:p>
    <w:p>
      <w:pPr>
        <w:spacing w:after="0" w:line="190" w:lineRule="exact"/>
        <w:rPr>
          <w:sz w:val="20"/>
          <w:szCs w:val="20"/>
          <w:color w:val="auto"/>
        </w:rPr>
      </w:pPr>
    </w:p>
    <w:p>
      <w:pPr>
        <w:ind w:firstLine="608"/>
        <w:spacing w:after="0" w:line="260" w:lineRule="auto"/>
        <w:rPr>
          <w:sz w:val="20"/>
          <w:szCs w:val="20"/>
          <w:color w:val="auto"/>
        </w:rPr>
      </w:pPr>
      <w:r>
        <w:rPr>
          <w:rFonts w:ascii="Arial" w:cs="Arial" w:eastAsia="Arial" w:hAnsi="Arial"/>
          <w:sz w:val="20"/>
          <w:szCs w:val="20"/>
          <w:color w:val="auto"/>
        </w:rPr>
        <w:t>SECTION 8. The Company, the mortgagor named herein, by its execution hereof acknowledges receipt of a full, true and complete copy of this Thirty-fifth Supplemental Indenture.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6" w:right="239" w:bottom="1440" w:gutter="0" w:footer="0" w:header="0"/>
        </w:sectPr>
      </w:pPr>
    </w:p>
    <w:bookmarkStart w:id="78" w:name="page79"/>
    <w:bookmarkEnd w:id="78"/>
    <w:p>
      <w:pPr>
        <w:jc w:val="both"/>
        <w:ind w:firstLine="648"/>
        <w:spacing w:after="0" w:line="276" w:lineRule="auto"/>
        <w:rPr>
          <w:sz w:val="20"/>
          <w:szCs w:val="20"/>
          <w:color w:val="auto"/>
        </w:rPr>
      </w:pPr>
      <w:r>
        <w:rPr>
          <w:rFonts w:ascii="Arial" w:cs="Arial" w:eastAsia="Arial" w:hAnsi="Arial"/>
          <w:sz w:val="18"/>
          <w:szCs w:val="18"/>
          <w:color w:val="auto"/>
        </w:rPr>
        <w:t>In witness whereof, ALLETE, Inc. has caused its corporate name to be hereunto affixed, and this instrument to be signed and sealed by its President, one of its Vice Presidents, or its Treasurer, and its corporate seal to be attested by its Secretary or one of its Assistant Secretaries for and in its behalf, all in the City of Duluth, Minnesota, and The Bank of New York Mellon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Philip L. Watson has hereunto set his hand and affixed his seal, all in The City of New York, as of the day and year first above written.</w:t>
      </w:r>
    </w:p>
    <w:p>
      <w:pPr>
        <w:spacing w:after="0" w:line="179"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ALLETE, Inc.</w:t>
      </w:r>
    </w:p>
    <w:p>
      <w:pPr>
        <w:spacing w:after="0" w:line="394" w:lineRule="exact"/>
        <w:rPr>
          <w:sz w:val="20"/>
          <w:szCs w:val="20"/>
          <w:color w:val="auto"/>
        </w:rPr>
      </w:pPr>
    </w:p>
    <w:p>
      <w:pPr>
        <w:ind w:left="3860"/>
        <w:spacing w:after="0"/>
        <w:tabs>
          <w:tab w:leader="none" w:pos="4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31750</wp:posOffset>
            </wp:positionV>
            <wp:extent cx="19812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Senior Vice President &amp; CFO</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Deborah A. Amberg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Deborah A. Amberg</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Senior Vice President, General Counsel</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Trustees’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6" w:right="239" w:bottom="1440" w:gutter="0" w:footer="0" w:header="0"/>
        </w:sectPr>
      </w:pPr>
    </w:p>
    <w:bookmarkStart w:id="79" w:name="page80"/>
    <w:bookmarkEnd w:id="79"/>
    <w:p>
      <w:pPr>
        <w:ind w:left="4500"/>
        <w:spacing w:after="0"/>
        <w:rPr>
          <w:sz w:val="20"/>
          <w:szCs w:val="20"/>
          <w:color w:val="auto"/>
        </w:rPr>
      </w:pPr>
      <w:r>
        <w:rPr>
          <w:rFonts w:ascii="Arial" w:cs="Arial" w:eastAsia="Arial" w:hAnsi="Arial"/>
          <w:sz w:val="20"/>
          <w:szCs w:val="20"/>
          <w:color w:val="auto"/>
        </w:rPr>
        <w:t>The Bank of New York Mellon,</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as Trustee</w:t>
      </w:r>
    </w:p>
    <w:p>
      <w:pPr>
        <w:spacing w:after="0" w:line="148"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tcPr>
          <w:p>
            <w:pPr>
              <w:ind w:left="40"/>
              <w:spacing w:after="0"/>
              <w:rPr>
                <w:sz w:val="20"/>
                <w:szCs w:val="20"/>
                <w:color w:val="auto"/>
              </w:rPr>
            </w:pPr>
            <w:r>
              <w:rPr>
                <w:rFonts w:ascii="Arial" w:cs="Arial" w:eastAsia="Arial" w:hAnsi="Arial"/>
                <w:sz w:val="18"/>
                <w:szCs w:val="18"/>
                <w:color w:val="auto"/>
              </w:rPr>
              <w:t>/s/ Laurence O'Brian</w:t>
            </w:r>
          </w:p>
        </w:tc>
      </w:tr>
      <w:tr>
        <w:trPr>
          <w:trHeight w:val="27"/>
        </w:trPr>
        <w:tc>
          <w:tcPr>
            <w:tcW w:w="6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3120" w:type="dxa"/>
            <w:vAlign w:val="bottom"/>
          </w:tcPr>
          <w:p>
            <w:pPr>
              <w:ind w:left="40"/>
              <w:spacing w:after="0"/>
              <w:rPr>
                <w:sz w:val="20"/>
                <w:szCs w:val="20"/>
                <w:color w:val="auto"/>
              </w:rPr>
            </w:pPr>
            <w:r>
              <w:rPr>
                <w:rFonts w:ascii="Arial" w:cs="Arial" w:eastAsia="Arial" w:hAnsi="Arial"/>
                <w:sz w:val="18"/>
                <w:szCs w:val="18"/>
                <w:color w:val="auto"/>
              </w:rPr>
              <w:t>Laurence O'Brian</w:t>
            </w:r>
          </w:p>
        </w:tc>
      </w:tr>
      <w:tr>
        <w:trPr>
          <w:trHeight w:val="270"/>
        </w:trPr>
        <w:tc>
          <w:tcPr>
            <w:tcW w:w="620" w:type="dxa"/>
            <w:vAlign w:val="bottom"/>
          </w:tcPr>
          <w:p>
            <w:pPr>
              <w:spacing w:after="0"/>
              <w:rPr>
                <w:sz w:val="23"/>
                <w:szCs w:val="23"/>
                <w:color w:val="auto"/>
              </w:rPr>
            </w:pPr>
          </w:p>
        </w:tc>
        <w:tc>
          <w:tcPr>
            <w:tcW w:w="31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6"/>
          <w:szCs w:val="16"/>
          <w:color w:val="auto"/>
        </w:rPr>
        <w:t>/s/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Francine Kincaid</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6100" w:type="dxa"/>
        <w:tblCellMar>
          <w:top w:w="0" w:type="dxa"/>
          <w:left w:w="0" w:type="dxa"/>
          <w:bottom w:w="0" w:type="dxa"/>
          <w:right w:w="0" w:type="dxa"/>
        </w:tblCellMar>
      </w:tblP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/s/ Philip L. Watson</w:t>
            </w:r>
          </w:p>
        </w:tc>
        <w:tc>
          <w:tcPr>
            <w:tcW w:w="1460" w:type="dxa"/>
            <w:vAlign w:val="bottom"/>
          </w:tcPr>
          <w:p>
            <w:pPr>
              <w:ind w:left="840"/>
              <w:spacing w:after="0"/>
              <w:rPr>
                <w:sz w:val="20"/>
                <w:szCs w:val="20"/>
                <w:color w:val="auto"/>
              </w:rPr>
            </w:pPr>
            <w:r>
              <w:rPr>
                <w:rFonts w:ascii="Arial" w:cs="Arial" w:eastAsia="Arial" w:hAnsi="Arial"/>
                <w:sz w:val="18"/>
                <w:szCs w:val="18"/>
                <w:color w:val="auto"/>
              </w:rPr>
              <w:t>L.S.</w:t>
            </w:r>
          </w:p>
        </w:tc>
      </w:tr>
      <w:tr>
        <w:trPr>
          <w:trHeight w:val="27"/>
        </w:trPr>
        <w:tc>
          <w:tcPr>
            <w:tcW w:w="2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ind w:left="20"/>
              <w:spacing w:after="0"/>
              <w:rPr>
                <w:sz w:val="20"/>
                <w:szCs w:val="20"/>
                <w:color w:val="auto"/>
              </w:rPr>
            </w:pPr>
            <w:r>
              <w:rPr>
                <w:rFonts w:ascii="Arial" w:cs="Arial" w:eastAsia="Arial" w:hAnsi="Arial"/>
                <w:sz w:val="18"/>
                <w:szCs w:val="18"/>
                <w:color w:val="auto"/>
              </w:rPr>
              <w:t>Philip L. Watson</w:t>
            </w:r>
          </w:p>
        </w:tc>
        <w:tc>
          <w:tcPr>
            <w:tcW w:w="14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Executed, sealed and delivered by The Bank of New</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York Mellon and Philip L. Watson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Thomas 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Thomas Hacker</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Arsala Kidwai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19812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4" w:lineRule="exact"/>
        <w:rPr>
          <w:sz w:val="20"/>
          <w:szCs w:val="20"/>
          <w:color w:val="auto"/>
        </w:rPr>
      </w:pPr>
    </w:p>
    <w:p>
      <w:pPr>
        <w:ind w:left="680"/>
        <w:spacing w:after="0"/>
        <w:rPr>
          <w:sz w:val="20"/>
          <w:szCs w:val="20"/>
          <w:color w:val="auto"/>
        </w:rPr>
      </w:pPr>
      <w:r>
        <w:rPr>
          <w:rFonts w:ascii="Arial" w:cs="Arial" w:eastAsia="Arial" w:hAnsi="Arial"/>
          <w:sz w:val="20"/>
          <w:szCs w:val="20"/>
          <w:color w:val="auto"/>
        </w:rPr>
        <w:t>Arsala Kidwai</w:t>
      </w:r>
    </w:p>
    <w:p>
      <w:pPr>
        <w:spacing w:after="0" w:line="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2019"/>
        <w:spacing w:after="0"/>
        <w:rPr>
          <w:sz w:val="20"/>
          <w:szCs w:val="20"/>
          <w:color w:val="auto"/>
        </w:rPr>
      </w:pPr>
      <w:r>
        <w:rPr>
          <w:rFonts w:ascii="Arial" w:cs="Arial" w:eastAsia="Arial" w:hAnsi="Arial"/>
          <w:sz w:val="20"/>
          <w:szCs w:val="20"/>
          <w:color w:val="auto"/>
        </w:rPr>
        <w:t>Thirty-fifth Supplemental Indenture dated as of March 1, 2014</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To Mortgage and Deed of Trust dated as of September 1, 1945</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Trustees’ Signature Page</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825" w:right="1440" w:bottom="1440" w:gutter="0" w:footer="0" w:header="0"/>
        </w:sectPr>
      </w:pPr>
    </w:p>
    <w:bookmarkStart w:id="80" w:name="page81"/>
    <w:bookmarkEnd w:id="80"/>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On this 26th day of February, 2014, the foregoing instrument was acknowledged before me by Mark A. Schober, Senior Vice President and Chief Financial Officer of ALLETE, Inc., a Minnesota corporation, on behalf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Jodi M.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19723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Jodi M. Nash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 Minnesota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Jan. 31, 2015</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STATE OF MINNESOTA )</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 SS</w:t>
      </w:r>
    </w:p>
    <w:p>
      <w:pPr>
        <w:spacing w:after="0"/>
        <w:rPr>
          <w:sz w:val="20"/>
          <w:szCs w:val="20"/>
          <w:color w:val="auto"/>
        </w:rPr>
      </w:pPr>
      <w:r>
        <w:rPr>
          <w:rFonts w:ascii="Arial" w:cs="Arial" w:eastAsia="Arial" w:hAnsi="Arial"/>
          <w:sz w:val="20"/>
          <w:szCs w:val="20"/>
          <w:color w:val="auto"/>
        </w:rPr>
        <w:t>COUNTY OF ST. LOUIS )</w:t>
      </w:r>
    </w:p>
    <w:p>
      <w:pPr>
        <w:spacing w:after="0" w:line="200" w:lineRule="exact"/>
        <w:rPr>
          <w:sz w:val="20"/>
          <w:szCs w:val="20"/>
          <w:color w:val="auto"/>
        </w:rPr>
      </w:pPr>
    </w:p>
    <w:p>
      <w:pPr>
        <w:spacing w:after="0" w:line="216" w:lineRule="exact"/>
        <w:rPr>
          <w:sz w:val="20"/>
          <w:szCs w:val="20"/>
          <w:color w:val="auto"/>
        </w:rPr>
      </w:pPr>
    </w:p>
    <w:p>
      <w:pPr>
        <w:ind w:right="540" w:firstLine="648"/>
        <w:spacing w:after="0" w:line="287" w:lineRule="auto"/>
        <w:rPr>
          <w:sz w:val="20"/>
          <w:szCs w:val="20"/>
          <w:color w:val="auto"/>
        </w:rPr>
      </w:pPr>
      <w:r>
        <w:rPr>
          <w:rFonts w:ascii="Arial" w:cs="Arial" w:eastAsia="Arial" w:hAnsi="Arial"/>
          <w:sz w:val="19"/>
          <w:szCs w:val="19"/>
          <w:color w:val="auto"/>
        </w:rPr>
        <w:t>On this 26th day of February, 2014, the foregoing instrument was acknowledged before me by Deborah A. Amberg, Senior Vice President, General Counsel and Secretary of ALLETE, Inc., a Minnesota corporation, on behalf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NOTARIAL STAMP OR SEAL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Jodi M.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19723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Jodi M. Nash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 Minnesota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Jan.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825" w:right="29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480" w:space="360"/>
            <w:col w:w="9580"/>
          </w:cols>
          <w:pgMar w:left="240" w:top="366" w:right="239" w:bottom="1440" w:gutter="0" w:footer="0" w:header="0"/>
        </w:sectPr>
      </w:pPr>
    </w:p>
    <w:p>
      <w:pPr>
        <w:ind w:left="2600"/>
        <w:spacing w:after="0"/>
        <w:rPr>
          <w:sz w:val="20"/>
          <w:szCs w:val="20"/>
          <w:color w:val="auto"/>
        </w:rPr>
      </w:pPr>
      <w:r>
        <w:rPr>
          <w:rFonts w:ascii="Arial" w:cs="Arial" w:eastAsia="Arial" w:hAnsi="Arial"/>
          <w:sz w:val="19"/>
          <w:szCs w:val="19"/>
          <w:color w:val="auto"/>
        </w:rPr>
        <w:t>) SS:</w:t>
      </w:r>
    </w:p>
    <w:p>
      <w:pPr>
        <w:sectPr>
          <w:pgSz w:w="11900" w:h="16838" w:orient="portrait"/>
          <w:cols w:equalWidth="0" w:num="1">
            <w:col w:w="11420"/>
          </w:cols>
          <w:pgMar w:left="240" w:top="366"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1660" w:space="360"/>
            <w:col w:w="9400"/>
          </w:cols>
          <w:pgMar w:left="240" w:top="366" w:right="239" w:bottom="1440" w:gutter="0" w:footer="0" w:header="0"/>
          <w:type w:val="continuous"/>
        </w:sectPr>
      </w:pPr>
    </w:p>
    <w:p>
      <w:pPr>
        <w:spacing w:after="0" w:line="9" w:lineRule="exact"/>
        <w:rPr>
          <w:sz w:val="20"/>
          <w:szCs w:val="20"/>
          <w:color w:val="auto"/>
        </w:rPr>
      </w:pPr>
    </w:p>
    <w:p>
      <w:pPr>
        <w:ind w:firstLine="608"/>
        <w:spacing w:after="0" w:line="316" w:lineRule="auto"/>
        <w:rPr>
          <w:sz w:val="20"/>
          <w:szCs w:val="20"/>
          <w:color w:val="auto"/>
        </w:rPr>
      </w:pPr>
      <w:r>
        <w:rPr>
          <w:rFonts w:ascii="Arial" w:cs="Arial" w:eastAsia="Arial" w:hAnsi="Arial"/>
          <w:sz w:val="18"/>
          <w:szCs w:val="18"/>
          <w:color w:val="auto"/>
        </w:rPr>
        <w:t>On this 26th day of February, 2014, the foregoing instrument was acknowledged before me by Laurance O'Brien and Francine Kincaid, the Vice President and Vice President, respectively, of The Bank of New York Mellon, the corporation named in the foregoing instrument.</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26th day of February, 2014.</w:t>
      </w:r>
    </w:p>
    <w:p>
      <w:pPr>
        <w:spacing w:after="0" w:line="38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Danny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31750</wp:posOffset>
            </wp:positionV>
            <wp:extent cx="2058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Notary Public, State of New York</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Danny Lee, Notary Public</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State of New York, NO. 01LE6161129</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Qualified in New York County</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Commission Expires February 20, 2015</w:t>
      </w:r>
    </w:p>
    <w:p>
      <w:pPr>
        <w:sectPr>
          <w:pgSz w:w="11900" w:h="16838" w:orient="portrait"/>
          <w:cols w:equalWidth="0" w:num="1">
            <w:col w:w="11420"/>
          </w:cols>
          <w:pgMar w:left="240" w:top="36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State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3" w:lineRule="exact"/>
        <w:rPr>
          <w:sz w:val="20"/>
          <w:szCs w:val="20"/>
          <w:color w:val="auto"/>
        </w:rPr>
      </w:pPr>
    </w:p>
    <w:p>
      <w:pPr>
        <w:sectPr>
          <w:pgSz w:w="11900" w:h="16838" w:orient="portrait"/>
          <w:cols w:equalWidth="0" w:num="2">
            <w:col w:w="1480" w:space="360"/>
            <w:col w:w="9580"/>
          </w:cols>
          <w:pgMar w:left="240" w:top="366" w:right="239" w:bottom="1440" w:gutter="0" w:footer="0" w:header="0"/>
          <w:type w:val="continuous"/>
        </w:sectPr>
      </w:pPr>
    </w:p>
    <w:p>
      <w:pPr>
        <w:ind w:left="2600"/>
        <w:spacing w:after="0"/>
        <w:rPr>
          <w:sz w:val="20"/>
          <w:szCs w:val="20"/>
          <w:color w:val="auto"/>
        </w:rPr>
      </w:pPr>
      <w:r>
        <w:rPr>
          <w:rFonts w:ascii="Arial" w:cs="Arial" w:eastAsia="Arial" w:hAnsi="Arial"/>
          <w:sz w:val="19"/>
          <w:szCs w:val="19"/>
          <w:color w:val="auto"/>
        </w:rPr>
        <w:t>) SS:</w:t>
      </w:r>
    </w:p>
    <w:p>
      <w:pPr>
        <w:sectPr>
          <w:pgSz w:w="11900" w:h="16838" w:orient="portrait"/>
          <w:cols w:equalWidth="0" w:num="1">
            <w:col w:w="11420"/>
          </w:cols>
          <w:pgMar w:left="240" w:top="366"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County of New York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2">
            <w:col w:w="1660" w:space="360"/>
            <w:col w:w="9400"/>
          </w:cols>
          <w:pgMar w:left="240" w:top="366" w:right="239" w:bottom="1440" w:gutter="0" w:footer="0" w:header="0"/>
          <w:type w:val="continuous"/>
        </w:sectPr>
      </w:pPr>
    </w:p>
    <w:p>
      <w:pPr>
        <w:spacing w:after="0" w:line="9" w:lineRule="exact"/>
        <w:rPr>
          <w:sz w:val="20"/>
          <w:szCs w:val="20"/>
          <w:color w:val="auto"/>
        </w:rPr>
      </w:pPr>
    </w:p>
    <w:p>
      <w:pPr>
        <w:ind w:firstLine="608"/>
        <w:spacing w:after="0" w:line="260" w:lineRule="auto"/>
        <w:rPr>
          <w:sz w:val="20"/>
          <w:szCs w:val="20"/>
          <w:color w:val="auto"/>
        </w:rPr>
      </w:pPr>
      <w:r>
        <w:rPr>
          <w:rFonts w:ascii="Arial" w:cs="Arial" w:eastAsia="Arial" w:hAnsi="Arial"/>
          <w:sz w:val="20"/>
          <w:szCs w:val="20"/>
          <w:color w:val="auto"/>
        </w:rPr>
        <w:t>On this 26th day of February, 2014, the foregoing instrument was acknowledged before me by Philip L. Watson, the person described in and who executed the foregoing instrument.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Given under my hand and notarial seal this 26th day of February, 2014.</w:t>
      </w:r>
    </w:p>
    <w:p>
      <w:pPr>
        <w:spacing w:after="0" w:line="38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Danny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19723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 State of New York</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Danny Lee, Notary Public</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State of New York, NO. 01LE6161129</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Qualified in New York County</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Commission Expires February 20, 2015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6" w:right="239" w:bottom="1440"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2014,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May 7, 2014</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Steven Q. DeVinck, of ALLETE, Inc. (ALLETE), certify that:</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2014,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May 7, 2014</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2014,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2014</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3764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2014</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31750</wp:posOffset>
            </wp:positionV>
            <wp:extent cx="37649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85" w:name="page86"/>
    <w:bookmarkEnd w:id="85"/>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$54,140</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99"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For the quarter ended March 31, 2014, BNI Coal, owner of Center Mine, received two significant and substantial (S&amp;S) citations under Section 104(a) of the Mine Safety Act with total penalties assessed on BNI with respect to these citations totaling $1,640. In addition, in 2013, BNI Coal had a S&amp;S citation under Section 104(a) of the Mine and Safety Act for which the Mine Safety and Health Administration (MSHA) had not assessed or proposed a penalty in 2013; during the quarter ended March 31, 2014, a penalty of $52,500 was proposed by the MSHA. For the quarter ended March 31, 2014,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86" w:name="page87"/>
    <w:bookmarkEnd w:id="86"/>
    <w:p>
      <w:pPr>
        <w:ind w:left="10600"/>
        <w:spacing w:after="0"/>
        <w:rPr>
          <w:sz w:val="20"/>
          <w:szCs w:val="20"/>
          <w:color w:val="auto"/>
        </w:rPr>
      </w:pPr>
      <w:r>
        <w:rPr>
          <w:rFonts w:ascii="Arial" w:cs="Arial" w:eastAsia="Arial" w:hAnsi="Arial"/>
          <w:sz w:val="15"/>
          <w:szCs w:val="15"/>
          <w:color w:val="auto"/>
        </w:rPr>
        <w:t>Exhibit 99</w:t>
      </w:r>
    </w:p>
    <w:p>
      <w:pPr>
        <w:sectPr>
          <w:pgSz w:w="11900" w:h="16838" w:orient="portrait"/>
          <w:cols w:equalWidth="0" w:num="1">
            <w:col w:w="11380"/>
          </w:cols>
          <w:pgMar w:left="240" w:top="846" w:right="279" w:bottom="1440" w:gutter="0" w:footer="0" w:header="0"/>
        </w:sectPr>
      </w:pPr>
    </w:p>
    <w:p>
      <w:pPr>
        <w:spacing w:after="0" w:line="8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May 7, 2014</w:t>
      </w:r>
    </w:p>
    <w:p>
      <w:pPr>
        <w:spacing w:after="0" w:line="96" w:lineRule="exact"/>
        <w:rPr>
          <w:sz w:val="20"/>
          <w:szCs w:val="20"/>
          <w:color w:val="auto"/>
        </w:rPr>
      </w:pPr>
    </w:p>
    <w:p>
      <w:pPr>
        <w:sectPr>
          <w:pgSz w:w="11900" w:h="16838" w:orient="portrait"/>
          <w:cols w:equalWidth="0" w:num="2">
            <w:col w:w="7940" w:space="720"/>
            <w:col w:w="2720"/>
          </w:cols>
          <w:pgMar w:left="240" w:top="846" w:right="279" w:bottom="1440" w:gutter="0" w:footer="0" w:header="0"/>
          <w:type w:val="continuous"/>
        </w:sectPr>
      </w:pPr>
    </w:p>
    <w:p>
      <w:pPr>
        <w:ind w:left="686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-76835</wp:posOffset>
            </wp:positionV>
            <wp:extent cx="1346200" cy="6172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6200"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00" w:space="660"/>
            <w:col w:w="2720"/>
          </w:cols>
          <w:pgMar w:left="240" w:top="846" w:right="279" w:bottom="1440" w:gutter="0" w:footer="0" w:header="0"/>
          <w:type w:val="continuous"/>
        </w:sectPr>
      </w:pPr>
    </w:p>
    <w:p>
      <w:pPr>
        <w:ind w:left="866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380"/>
          </w:cols>
          <w:pgMar w:left="240" w:top="846" w:right="279" w:bottom="1440" w:gutter="0" w:footer="0" w:header="0"/>
          <w:type w:val="continuous"/>
        </w:sectPr>
      </w:pPr>
    </w:p>
    <w:p>
      <w:pPr>
        <w:spacing w:after="0" w:line="340" w:lineRule="exact"/>
        <w:rPr>
          <w:sz w:val="20"/>
          <w:szCs w:val="20"/>
          <w:color w:val="auto"/>
        </w:rPr>
      </w:pPr>
    </w:p>
    <w:p>
      <w:pPr>
        <w:ind w:left="140"/>
        <w:spacing w:after="0"/>
        <w:rPr>
          <w:sz w:val="20"/>
          <w:szCs w:val="20"/>
          <w:color w:val="auto"/>
        </w:rPr>
      </w:pPr>
      <w:r>
        <w:rPr>
          <w:rFonts w:ascii="Arial" w:cs="Arial" w:eastAsia="Arial" w:hAnsi="Arial"/>
          <w:sz w:val="40"/>
          <w:szCs w:val="40"/>
          <w:b w:val="1"/>
          <w:bCs w:val="1"/>
          <w:i w:val="1"/>
          <w:iCs w:val="1"/>
          <w:color w:val="auto"/>
        </w:rPr>
        <w:t>NEWS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ALLETE reports first quarter results and reaffirms 2014 earnings guidance</w:t>
      </w:r>
    </w:p>
    <w:p>
      <w:pPr>
        <w:spacing w:after="0" w:line="21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DULUTH, Minn. - ALLETE, Inc. (NYSE:ALE) today reported its financial results for the first quarter of 2014. The company reported earnings per share of 80 cents compared with 83 cents in the same period a year ago. Included in this year’s results was $1.4 million after-tax, or three cents per share, of acquisition costs related to an ALLETE Clean Energy acquisition.</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Compared with the first quarter of 2013, net income rose by $1 million to $33.5 million. Operating revenue for the first quarter of 2014 was $296.5 million, up twelve percent from $263.8 million in 2013. Earnings per share for the first quarter of 2014 were diluted by six cents due to an increase in the amount of common shares outstanding.</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income at ALLETE’s Regulated Operations segment, which includes Minnesota Power, Superior, Water, Light and Power and the company’s investment in the American Transmission Company, was $33.9 million, an increase of $1.8 million or six percent over the first quarter of 2013. Unseasonably cold weather impacted electricity sales for the first quarter of 2014, which were three percent higher than the same period in 2013. Operating and maintenance, depreciation and interest expenses were also higher in 2014 compared with a year ago.</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ALLETE’s Investments and Other segment, which includes BNI Coal, ALLETE Properties, ALLETE Clean Energy, and miscellaneous corporate income and expense, recorded a net loss of $0.4 million during the period compared to net income of $0.4 million a year ago. The net loss included the $1.4 million after-tax costs for ALLETE Clean Energy’s acquisition of wind energy facilities in January 2014. Quarterly results for BNI Coal and ALLETE Properties were similar to a year ago and ALLETE Clean Energy’s wind facilities were accretive to earnings.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“Strong operating performances at our businesses contributed to ALLETE’s first quarter earnings results,” said ALLETE Chairman, President and CEO Al Hodnik. “We are comfortably on track to meet our full year earnings guidance of between $2.75 and $2.95 per share, excluding costs associated with the ALLETE Clean Energy acquisition.”</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The company will host a conference call and webcast at 10 a.m. Eastern time today to discuss details of its quarterly performance. Interested parties my listen live by calling (877) 303-5852, or by accessing the webcast at </w:t>
      </w:r>
      <w:r>
        <w:rPr>
          <w:rFonts w:ascii="Arial" w:cs="Arial" w:eastAsia="Arial" w:hAnsi="Arial"/>
          <w:sz w:val="18"/>
          <w:szCs w:val="18"/>
          <w:u w:val="single" w:color="auto"/>
          <w:color w:val="auto"/>
        </w:rPr>
        <w:t>www.allete.com</w:t>
      </w:r>
      <w:r>
        <w:rPr>
          <w:rFonts w:ascii="Arial" w:cs="Arial" w:eastAsia="Arial" w:hAnsi="Arial"/>
          <w:sz w:val="18"/>
          <w:szCs w:val="18"/>
          <w:color w:val="auto"/>
        </w:rPr>
        <w:t>. A replay of the call will be available through May 9, 2014 by dialing (855) 859-2056, pass code 30490699.</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ALLETE is an energy company headquartered in Duluth, Minn. In addition to its electric utilities, Minnesota Power and Superior Water, Light and Power, ALLETE owns BNI Coal in North Dakota, ALLETE Clean Energy, based in Duluth, and has an eight percent equity interest in the American Transmission Co. More information about ALLETE is available at </w:t>
      </w:r>
      <w:r>
        <w:rPr>
          <w:rFonts w:ascii="Arial" w:cs="Arial" w:eastAsia="Arial" w:hAnsi="Arial"/>
          <w:sz w:val="18"/>
          <w:szCs w:val="18"/>
          <w:u w:val="single" w:color="auto"/>
          <w:color w:val="auto"/>
        </w:rPr>
        <w:t>www.allete.com</w:t>
      </w:r>
      <w:r>
        <w:rPr>
          <w:rFonts w:ascii="Arial" w:cs="Arial" w:eastAsia="Arial" w:hAnsi="Arial"/>
          <w:sz w:val="18"/>
          <w:szCs w:val="18"/>
          <w:color w:val="auto"/>
        </w:rPr>
        <w:t>.</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846" w:right="27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454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6880" w:type="dxa"/>
            <w:vAlign w:val="bottom"/>
          </w:tcPr>
          <w:p>
            <w:pPr>
              <w:spacing w:after="0"/>
              <w:rPr>
                <w:sz w:val="23"/>
                <w:szCs w:val="23"/>
                <w:color w:val="auto"/>
              </w:rPr>
            </w:pP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3"/>
                <w:szCs w:val="23"/>
                <w:color w:val="auto"/>
              </w:rPr>
            </w:pPr>
          </w:p>
        </w:tc>
      </w:tr>
      <w:tr>
        <w:trPr>
          <w:trHeight w:val="270"/>
        </w:trPr>
        <w:tc>
          <w:tcPr>
            <w:tcW w:w="6880" w:type="dxa"/>
            <w:vAlign w:val="bottom"/>
          </w:tcPr>
          <w:p>
            <w:pPr>
              <w:spacing w:after="0"/>
              <w:rPr>
                <w:sz w:val="23"/>
                <w:szCs w:val="23"/>
                <w:color w:val="auto"/>
              </w:rPr>
            </w:pPr>
          </w:p>
        </w:tc>
        <w:tc>
          <w:tcPr>
            <w:tcW w:w="3640" w:type="dxa"/>
            <w:vAlign w:val="bottom"/>
          </w:tcPr>
          <w:p>
            <w:pPr>
              <w:jc w:val="right"/>
              <w:ind w:right="850"/>
              <w:spacing w:after="0"/>
              <w:rPr>
                <w:sz w:val="20"/>
                <w:szCs w:val="20"/>
                <w:color w:val="auto"/>
              </w:rPr>
            </w:pPr>
            <w:r>
              <w:rPr>
                <w:rFonts w:ascii="Arial" w:cs="Arial" w:eastAsia="Arial" w:hAnsi="Arial"/>
                <w:sz w:val="18"/>
                <w:szCs w:val="18"/>
                <w:b w:val="1"/>
                <w:bCs w:val="1"/>
                <w:color w:val="auto"/>
              </w:rPr>
              <w:t>2014</w:t>
            </w: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2013</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8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$296.5</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$263.8</w:t>
            </w:r>
          </w:p>
        </w:tc>
      </w:tr>
      <w:tr>
        <w:trPr>
          <w:trHeight w:val="237"/>
        </w:trPr>
        <w:tc>
          <w:tcPr>
            <w:tcW w:w="688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96.2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86.5</w:t>
            </w: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119.8</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104.7</w:t>
            </w: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32.2</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28.2</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248.2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219.4</w:t>
            </w:r>
          </w:p>
        </w:tc>
      </w:tr>
      <w:tr>
        <w:trPr>
          <w:trHeight w:val="243"/>
        </w:trPr>
        <w:tc>
          <w:tcPr>
            <w:tcW w:w="688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48.3</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44.4</w:t>
            </w:r>
          </w:p>
        </w:tc>
      </w:tr>
      <w:tr>
        <w:trPr>
          <w:trHeight w:val="237"/>
        </w:trPr>
        <w:tc>
          <w:tcPr>
            <w:tcW w:w="688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(12.8)</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(12.3)</w:t>
            </w: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5.1</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Other</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2.0</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2.7</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(5.7)</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(4.4)</w:t>
            </w:r>
          </w:p>
        </w:tc>
      </w:tr>
      <w:tr>
        <w:trPr>
          <w:trHeight w:val="237"/>
        </w:trPr>
        <w:tc>
          <w:tcPr>
            <w:tcW w:w="688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42.6</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40.0</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8.8</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7.5</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33.8</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32.5</w:t>
            </w:r>
          </w:p>
        </w:tc>
      </w:tr>
      <w:tr>
        <w:trPr>
          <w:trHeight w:val="237"/>
        </w:trPr>
        <w:tc>
          <w:tcPr>
            <w:tcW w:w="68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364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0.3</w:t>
            </w:r>
          </w:p>
        </w:tc>
        <w:tc>
          <w:tcPr>
            <w:tcW w:w="9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$33.5</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$32.5</w:t>
            </w:r>
          </w:p>
        </w:tc>
      </w:tr>
      <w:tr>
        <w:trPr>
          <w:trHeight w:val="237"/>
        </w:trPr>
        <w:tc>
          <w:tcPr>
            <w:tcW w:w="688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3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Basic</w:t>
            </w:r>
          </w:p>
        </w:tc>
        <w:tc>
          <w:tcPr>
            <w:tcW w:w="3640" w:type="dxa"/>
            <w:vAlign w:val="bottom"/>
          </w:tcPr>
          <w:p>
            <w:pPr>
              <w:jc w:val="right"/>
              <w:ind w:right="690"/>
              <w:spacing w:after="0"/>
              <w:rPr>
                <w:sz w:val="20"/>
                <w:szCs w:val="20"/>
                <w:color w:val="auto"/>
              </w:rPr>
            </w:pPr>
            <w:r>
              <w:rPr>
                <w:rFonts w:ascii="Arial" w:cs="Arial" w:eastAsia="Arial" w:hAnsi="Arial"/>
                <w:sz w:val="18"/>
                <w:szCs w:val="18"/>
                <w:color w:val="auto"/>
              </w:rPr>
              <w:t>41.4</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38.9</w:t>
            </w: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41.6</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39.0</w:t>
            </w:r>
          </w:p>
        </w:tc>
      </w:tr>
      <w:tr>
        <w:trPr>
          <w:trHeight w:val="237"/>
        </w:trPr>
        <w:tc>
          <w:tcPr>
            <w:tcW w:w="688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$0.81</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$0.83</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$0.80</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$0.83</w:t>
            </w: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88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$0.49</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$0.475</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Mar. 31,</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2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3820" w:type="dxa"/>
            <w:vAlign w:val="bottom"/>
          </w:tcPr>
          <w:p>
            <w:pPr>
              <w:spacing w:after="0"/>
              <w:rPr>
                <w:sz w:val="23"/>
                <w:szCs w:val="23"/>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382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$208.5</w:t>
            </w:r>
          </w:p>
        </w:tc>
        <w:tc>
          <w:tcPr>
            <w:tcW w:w="840" w:type="dxa"/>
            <w:vAlign w:val="bottom"/>
          </w:tcPr>
          <w:p>
            <w:pPr>
              <w:jc w:val="right"/>
              <w:spacing w:after="0"/>
              <w:rPr>
                <w:sz w:val="20"/>
                <w:szCs w:val="20"/>
                <w:color w:val="auto"/>
              </w:rPr>
            </w:pPr>
            <w:r>
              <w:rPr>
                <w:rFonts w:ascii="Arial" w:cs="Arial" w:eastAsia="Arial" w:hAnsi="Arial"/>
                <w:sz w:val="18"/>
                <w:szCs w:val="18"/>
                <w:color w:val="auto"/>
              </w:rPr>
              <w:t>$230.2</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2,905.1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2,576.5</w:t>
            </w:r>
          </w:p>
        </w:tc>
        <w:tc>
          <w:tcPr>
            <w:tcW w:w="382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494.4</w:t>
            </w:r>
          </w:p>
        </w:tc>
        <w:tc>
          <w:tcPr>
            <w:tcW w:w="840" w:type="dxa"/>
            <w:vAlign w:val="bottom"/>
          </w:tcPr>
          <w:p>
            <w:pPr>
              <w:jc w:val="right"/>
              <w:spacing w:after="0"/>
              <w:rPr>
                <w:sz w:val="20"/>
                <w:szCs w:val="20"/>
                <w:color w:val="auto"/>
              </w:rPr>
            </w:pPr>
            <w:r>
              <w:rPr>
                <w:rFonts w:ascii="Arial" w:cs="Arial" w:eastAsia="Arial" w:hAnsi="Arial"/>
                <w:sz w:val="18"/>
                <w:szCs w:val="18"/>
                <w:color w:val="auto"/>
              </w:rPr>
              <w:t>479.1</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r>
      <w:tr>
        <w:trPr>
          <w:trHeight w:val="297"/>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114.6</w:t>
            </w:r>
          </w:p>
        </w:tc>
        <w:tc>
          <w:tcPr>
            <w:tcW w:w="382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400" w:type="dxa"/>
            <w:vAlign w:val="bottom"/>
          </w:tcPr>
          <w:p>
            <w:pPr>
              <w:jc w:val="right"/>
              <w:spacing w:after="0"/>
              <w:rPr>
                <w:sz w:val="20"/>
                <w:szCs w:val="20"/>
                <w:color w:val="auto"/>
              </w:rPr>
            </w:pPr>
            <w:r>
              <w:rPr>
                <w:rFonts w:ascii="Arial" w:cs="Arial" w:eastAsia="Arial" w:hAnsi="Arial"/>
                <w:sz w:val="18"/>
                <w:szCs w:val="18"/>
                <w:color w:val="auto"/>
              </w:rPr>
              <w:t>117.2</w:t>
            </w:r>
          </w:p>
        </w:tc>
        <w:tc>
          <w:tcPr>
            <w:tcW w:w="84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189"/>
        </w:trPr>
        <w:tc>
          <w:tcPr>
            <w:tcW w:w="3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Pr>
          <w:p>
            <w:pPr>
              <w:ind w:left="260"/>
              <w:spacing w:after="0" w:line="189" w:lineRule="exact"/>
              <w:rPr>
                <w:sz w:val="20"/>
                <w:szCs w:val="20"/>
                <w:color w:val="auto"/>
              </w:rPr>
            </w:pPr>
            <w:r>
              <w:rPr>
                <w:rFonts w:ascii="Arial" w:cs="Arial" w:eastAsia="Arial" w:hAnsi="Arial"/>
                <w:sz w:val="18"/>
                <w:szCs w:val="18"/>
                <w:color w:val="auto"/>
              </w:rPr>
              <w:t>Postretirement Benefit Plans</w:t>
            </w: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38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1,407.4</w:t>
            </w:r>
          </w:p>
        </w:tc>
        <w:tc>
          <w:tcPr>
            <w:tcW w:w="840" w:type="dxa"/>
            <w:vAlign w:val="bottom"/>
          </w:tcPr>
          <w:p>
            <w:pPr>
              <w:jc w:val="right"/>
              <w:spacing w:after="0"/>
              <w:rPr>
                <w:sz w:val="20"/>
                <w:szCs w:val="20"/>
                <w:color w:val="auto"/>
              </w:rPr>
            </w:pPr>
            <w:r>
              <w:rPr>
                <w:rFonts w:ascii="Arial" w:cs="Arial" w:eastAsia="Arial" w:hAnsi="Arial"/>
                <w:sz w:val="18"/>
                <w:szCs w:val="18"/>
                <w:color w:val="auto"/>
              </w:rPr>
              <w:t>1,342.9</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$3,749.2</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$3,476.8</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$3,476.8</w:t>
            </w:r>
          </w:p>
        </w:tc>
      </w:tr>
      <w:tr>
        <w:trPr>
          <w:trHeight w:val="20"/>
        </w:trPr>
        <w:tc>
          <w:tcPr>
            <w:tcW w:w="30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448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980" w:type="dxa"/>
            <w:vAlign w:val="bottom"/>
          </w:tcPr>
          <w:p>
            <w:pPr>
              <w:spacing w:after="0"/>
              <w:rPr>
                <w:sz w:val="20"/>
                <w:szCs w:val="20"/>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48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980" w:type="dxa"/>
            <w:vAlign w:val="bottom"/>
          </w:tcPr>
          <w:p>
            <w:pPr>
              <w:spacing w:after="0"/>
              <w:rPr>
                <w:sz w:val="23"/>
                <w:szCs w:val="23"/>
                <w:color w:val="auto"/>
              </w:rPr>
            </w:pPr>
          </w:p>
        </w:tc>
      </w:tr>
      <w:tr>
        <w:trPr>
          <w:trHeight w:val="270"/>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4480" w:type="dxa"/>
            <w:vAlign w:val="bottom"/>
          </w:tcPr>
          <w:p>
            <w:pPr>
              <w:jc w:val="right"/>
              <w:ind w:right="1130"/>
              <w:spacing w:after="0"/>
              <w:rPr>
                <w:sz w:val="20"/>
                <w:szCs w:val="20"/>
                <w:color w:val="auto"/>
              </w:rPr>
            </w:pPr>
            <w:r>
              <w:rPr>
                <w:rFonts w:ascii="Arial" w:cs="Arial" w:eastAsia="Arial" w:hAnsi="Arial"/>
                <w:sz w:val="18"/>
                <w:szCs w:val="18"/>
                <w:b w:val="1"/>
                <w:bCs w:val="1"/>
                <w:color w:val="auto"/>
              </w:rPr>
              <w:t>2014</w:t>
            </w:r>
          </w:p>
        </w:tc>
        <w:tc>
          <w:tcPr>
            <w:tcW w:w="980" w:type="dxa"/>
            <w:vAlign w:val="bottom"/>
          </w:tcPr>
          <w:p>
            <w:pPr>
              <w:jc w:val="right"/>
              <w:ind w:right="51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Millions</w:t>
            </w:r>
          </w:p>
        </w:tc>
        <w:tc>
          <w:tcPr>
            <w:tcW w:w="4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$33.9</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$32.1</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4480" w:type="dxa"/>
            <w:vAlign w:val="bottom"/>
          </w:tcPr>
          <w:p>
            <w:pPr>
              <w:jc w:val="right"/>
              <w:ind w:right="790"/>
              <w:spacing w:after="0"/>
              <w:rPr>
                <w:sz w:val="20"/>
                <w:szCs w:val="20"/>
                <w:color w:val="auto"/>
              </w:rPr>
            </w:pPr>
            <w:r>
              <w:rPr>
                <w:rFonts w:ascii="Arial" w:cs="Arial" w:eastAsia="Arial" w:hAnsi="Arial"/>
                <w:sz w:val="18"/>
                <w:szCs w:val="18"/>
                <w:color w:val="auto"/>
              </w:rPr>
              <w:t>(0.4)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$33.5</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$32.5</w:t>
            </w: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44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$0.80</w:t>
            </w: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$0.83</w:t>
            </w: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88"/>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4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4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rPr>
              <w:t>High</w:t>
            </w:r>
          </w:p>
        </w:tc>
        <w:tc>
          <w:tcPr>
            <w:tcW w:w="4480" w:type="dxa"/>
            <w:vAlign w:val="bottom"/>
          </w:tcPr>
          <w:p>
            <w:pPr>
              <w:jc w:val="right"/>
              <w:ind w:right="790"/>
              <w:spacing w:after="0"/>
              <w:rPr>
                <w:sz w:val="20"/>
                <w:szCs w:val="20"/>
                <w:color w:val="auto"/>
              </w:rPr>
            </w:pPr>
            <w:r>
              <w:rPr>
                <w:rFonts w:ascii="Arial" w:cs="Arial" w:eastAsia="Arial" w:hAnsi="Arial"/>
                <w:sz w:val="18"/>
                <w:szCs w:val="18"/>
                <w:color w:val="auto"/>
              </w:rPr>
              <w:t>$52.73</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$49.50</w:t>
            </w: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$47.96</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$41.39</w:t>
            </w: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rPr>
              <w:t>Close</w:t>
            </w:r>
          </w:p>
        </w:tc>
        <w:tc>
          <w:tcPr>
            <w:tcW w:w="4480" w:type="dxa"/>
            <w:vAlign w:val="bottom"/>
          </w:tcPr>
          <w:p>
            <w:pPr>
              <w:jc w:val="right"/>
              <w:ind w:right="790"/>
              <w:spacing w:after="0"/>
              <w:rPr>
                <w:sz w:val="20"/>
                <w:szCs w:val="20"/>
                <w:color w:val="auto"/>
              </w:rPr>
            </w:pPr>
            <w:r>
              <w:rPr>
                <w:rFonts w:ascii="Arial" w:cs="Arial" w:eastAsia="Arial" w:hAnsi="Arial"/>
                <w:sz w:val="18"/>
                <w:szCs w:val="18"/>
                <w:color w:val="auto"/>
              </w:rPr>
              <w:t>$52.42</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$49.02</w:t>
            </w: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$33.11</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$31.07</w:t>
            </w:r>
          </w:p>
        </w:tc>
      </w:tr>
      <w:tr>
        <w:trPr>
          <w:trHeight w:val="594"/>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4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Millions</w:t>
            </w:r>
          </w:p>
        </w:tc>
        <w:tc>
          <w:tcPr>
            <w:tcW w:w="4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4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4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398</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354</w:t>
            </w:r>
          </w:p>
        </w:tc>
      </w:tr>
      <w:tr>
        <w:trPr>
          <w:trHeight w:val="243"/>
        </w:trPr>
        <w:tc>
          <w:tcPr>
            <w:tcW w:w="59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480" w:type="dxa"/>
            <w:vAlign w:val="bottom"/>
          </w:tcPr>
          <w:p>
            <w:pPr>
              <w:jc w:val="right"/>
              <w:ind w:right="790"/>
              <w:spacing w:after="0"/>
              <w:rPr>
                <w:sz w:val="20"/>
                <w:szCs w:val="20"/>
                <w:color w:val="auto"/>
              </w:rPr>
            </w:pPr>
            <w:r>
              <w:rPr>
                <w:rFonts w:ascii="Arial" w:cs="Arial" w:eastAsia="Arial" w:hAnsi="Arial"/>
                <w:sz w:val="18"/>
                <w:szCs w:val="18"/>
                <w:color w:val="auto"/>
              </w:rPr>
              <w:t>395</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377</w:t>
            </w: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242</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274</w:t>
            </w:r>
          </w:p>
        </w:tc>
      </w:tr>
      <w:tr>
        <w:trPr>
          <w:trHeight w:val="243"/>
        </w:trPr>
        <w:tc>
          <w:tcPr>
            <w:tcW w:w="59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4480" w:type="dxa"/>
            <w:vAlign w:val="bottom"/>
          </w:tcPr>
          <w:p>
            <w:pPr>
              <w:jc w:val="right"/>
              <w:ind w:right="790"/>
              <w:spacing w:after="0"/>
              <w:rPr>
                <w:sz w:val="20"/>
                <w:szCs w:val="20"/>
                <w:color w:val="auto"/>
              </w:rPr>
            </w:pPr>
            <w:r>
              <w:rPr>
                <w:rFonts w:ascii="Arial" w:cs="Arial" w:eastAsia="Arial" w:hAnsi="Arial"/>
                <w:sz w:val="18"/>
                <w:szCs w:val="18"/>
                <w:color w:val="auto"/>
              </w:rPr>
              <w:t>1,816</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1,845</w:t>
            </w: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2,851</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2,850</w:t>
            </w: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480" w:type="dxa"/>
            <w:vAlign w:val="bottom"/>
          </w:tcPr>
          <w:p>
            <w:pPr>
              <w:jc w:val="right"/>
              <w:ind w:right="790"/>
              <w:spacing w:after="0"/>
              <w:rPr>
                <w:sz w:val="20"/>
                <w:szCs w:val="20"/>
                <w:color w:val="auto"/>
              </w:rPr>
            </w:pPr>
            <w:r>
              <w:rPr>
                <w:rFonts w:ascii="Arial" w:cs="Arial" w:eastAsia="Arial" w:hAnsi="Arial"/>
                <w:sz w:val="18"/>
                <w:szCs w:val="18"/>
                <w:color w:val="auto"/>
              </w:rPr>
              <w:t>700</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591</w:t>
            </w: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3,551</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3,441</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4480" w:type="dxa"/>
            <w:vAlign w:val="bottom"/>
          </w:tcPr>
          <w:p>
            <w:pPr>
              <w:jc w:val="right"/>
              <w:ind w:right="790"/>
              <w:spacing w:after="0"/>
              <w:rPr>
                <w:sz w:val="20"/>
                <w:szCs w:val="20"/>
                <w:color w:val="auto"/>
              </w:rPr>
            </w:pPr>
            <w:r>
              <w:rPr>
                <w:rFonts w:ascii="Arial" w:cs="Arial" w:eastAsia="Arial" w:hAnsi="Arial"/>
                <w:sz w:val="18"/>
                <w:szCs w:val="18"/>
                <w:color w:val="auto"/>
              </w:rPr>
              <w:t>34</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31</w:t>
            </w: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3,585</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3,472</w:t>
            </w:r>
          </w:p>
        </w:tc>
      </w:tr>
      <w:tr>
        <w:trPr>
          <w:trHeight w:val="588"/>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4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Millions</w:t>
            </w:r>
          </w:p>
        </w:tc>
        <w:tc>
          <w:tcPr>
            <w:tcW w:w="4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4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4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$37.3</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$33.1</w:t>
            </w:r>
          </w:p>
        </w:tc>
      </w:tr>
      <w:tr>
        <w:trPr>
          <w:trHeight w:val="243"/>
        </w:trPr>
        <w:tc>
          <w:tcPr>
            <w:tcW w:w="596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480" w:type="dxa"/>
            <w:vAlign w:val="bottom"/>
          </w:tcPr>
          <w:p>
            <w:pPr>
              <w:jc w:val="right"/>
              <w:ind w:right="790"/>
              <w:spacing w:after="0"/>
              <w:rPr>
                <w:sz w:val="20"/>
                <w:szCs w:val="20"/>
                <w:color w:val="auto"/>
              </w:rPr>
            </w:pPr>
            <w:r>
              <w:rPr>
                <w:rFonts w:ascii="Arial" w:cs="Arial" w:eastAsia="Arial" w:hAnsi="Arial"/>
                <w:sz w:val="18"/>
                <w:szCs w:val="18"/>
                <w:color w:val="auto"/>
              </w:rPr>
              <w:t>32.8</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31.3</w:t>
            </w: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16.5</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16.5</w:t>
            </w:r>
          </w:p>
        </w:tc>
      </w:tr>
      <w:tr>
        <w:trPr>
          <w:trHeight w:val="243"/>
        </w:trPr>
        <w:tc>
          <w:tcPr>
            <w:tcW w:w="596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4480" w:type="dxa"/>
            <w:vAlign w:val="bottom"/>
          </w:tcPr>
          <w:p>
            <w:pPr>
              <w:jc w:val="right"/>
              <w:ind w:right="790"/>
              <w:spacing w:after="0"/>
              <w:rPr>
                <w:sz w:val="20"/>
                <w:szCs w:val="20"/>
                <w:color w:val="auto"/>
              </w:rPr>
            </w:pPr>
            <w:r>
              <w:rPr>
                <w:rFonts w:ascii="Arial" w:cs="Arial" w:eastAsia="Arial" w:hAnsi="Arial"/>
                <w:sz w:val="18"/>
                <w:szCs w:val="18"/>
                <w:color w:val="auto"/>
              </w:rPr>
              <w:t>104.4</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102.2</w:t>
            </w: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Municipals</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191.0</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183.1</w:t>
            </w: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480" w:type="dxa"/>
            <w:vAlign w:val="bottom"/>
          </w:tcPr>
          <w:p>
            <w:pPr>
              <w:jc w:val="right"/>
              <w:ind w:right="790"/>
              <w:spacing w:after="0"/>
              <w:rPr>
                <w:sz w:val="20"/>
                <w:szCs w:val="20"/>
                <w:color w:val="auto"/>
              </w:rPr>
            </w:pPr>
            <w:r>
              <w:rPr>
                <w:rFonts w:ascii="Arial" w:cs="Arial" w:eastAsia="Arial" w:hAnsi="Arial"/>
                <w:sz w:val="18"/>
                <w:szCs w:val="18"/>
                <w:color w:val="auto"/>
              </w:rPr>
              <w:t>29.5</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22.3</w:t>
            </w:r>
          </w:p>
        </w:tc>
      </w:tr>
      <w:tr>
        <w:trPr>
          <w:trHeight w:val="27"/>
        </w:trPr>
        <w:tc>
          <w:tcPr>
            <w:tcW w:w="59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44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43.7</w:t>
            </w:r>
          </w:p>
        </w:tc>
        <w:tc>
          <w:tcPr>
            <w:tcW w:w="9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36.0</w:t>
            </w:r>
          </w:p>
        </w:tc>
      </w:tr>
      <w:tr>
        <w:trPr>
          <w:trHeight w:val="237"/>
        </w:trPr>
        <w:tc>
          <w:tcPr>
            <w:tcW w:w="5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44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$264.2</w:t>
            </w: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$241.4</w:t>
            </w:r>
          </w:p>
        </w:tc>
      </w:tr>
      <w:tr>
        <w:trPr>
          <w:trHeight w:val="27"/>
        </w:trPr>
        <w:tc>
          <w:tcPr>
            <w:tcW w:w="59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decimal"/>
      <w:start w:val="31"/>
    </w:lvl>
  </w:abstractNum>
  <w:abstractNum w:abstractNumId="16">
    <w:nsid w:val="7C3DBD3D"/>
    <w:multiLevelType w:val="hybridMultilevel"/>
    <w:lvl w:ilvl="0">
      <w:lvlJc w:val="left"/>
      <w:lvlText w:val="1"/>
      <w:numFmt w:val="bullet"/>
      <w:start w:val="1"/>
    </w:lvl>
  </w:abstractNum>
  <w:abstractNum w:abstractNumId="17">
    <w:nsid w:val="737B8DDC"/>
    <w:multiLevelType w:val="hybridMultilevel"/>
    <w:lvl w:ilvl="0">
      <w:lvlJc w:val="left"/>
      <w:lvlText w:val="4"/>
      <w:numFmt w:val="bullet"/>
      <w:start w:val="1"/>
    </w:lvl>
  </w:abstractNum>
  <w:abstractNum w:abstractNumId="18">
    <w:nsid w:val="6CEAF087"/>
    <w:multiLevelType w:val="hybridMultilevel"/>
    <w:lvl w:ilvl="0">
      <w:lvlJc w:val="left"/>
      <w:lvlText w:val="%1"/>
      <w:numFmt w:val="decimal"/>
      <w:start w:val="10"/>
    </w:lvl>
  </w:abstractNum>
  <w:abstractNum w:abstractNumId="19">
    <w:nsid w:val="22221A70"/>
    <w:multiLevelType w:val="hybridMultilevel"/>
    <w:lvl w:ilvl="0">
      <w:lvlJc w:val="left"/>
      <w:lvlText w:val="%1"/>
      <w:numFmt w:val="decimal"/>
      <w:start w:val="32"/>
    </w:lvl>
  </w:abstractNum>
  <w:abstractNum w:abstractNumId="20">
    <w:nsid w:val="4516DDE9"/>
    <w:multiLevelType w:val="hybridMultilevel"/>
    <w:lvl w:ilvl="0">
      <w:lvlJc w:val="left"/>
      <w:lvlText w:val="%1"/>
      <w:numFmt w:val="decimal"/>
      <w:start w:val="99"/>
    </w:lvl>
  </w:abstractNum>
  <w:abstractNum w:abstractNumId="21">
    <w:nsid w:val="3006C83E"/>
    <w:multiLevelType w:val="hybridMultilevel"/>
    <w:lvl w:ilvl="0">
      <w:lvlJc w:val="left"/>
      <w:lvlText w:val="&amp;"/>
      <w:numFmt w:val="bullet"/>
      <w:start w:val="1"/>
    </w:lvl>
  </w:abstractNum>
  <w:abstractNum w:abstractNumId="22">
    <w:nsid w:val="614FD4A1"/>
    <w:multiLevelType w:val="hybridMultilevel"/>
    <w:lvl w:ilvl="0">
      <w:lvlJc w:val="left"/>
      <w:lvlText w:val="%1."/>
      <w:numFmt w:val="upperLetter"/>
      <w:start w:val="9"/>
    </w:lvl>
    <w:lvl w:ilvl="1">
      <w:lvlJc w:val="left"/>
      <w:lvlText w:val="%2."/>
      <w:numFmt w:val="decimal"/>
      <w:start w:val="1"/>
    </w:lvl>
  </w:abstractNum>
  <w:abstractNum w:abstractNumId="23">
    <w:nsid w:val="419AC241"/>
    <w:multiLevelType w:val="hybridMultilevel"/>
    <w:lvl w:ilvl="0">
      <w:lvlJc w:val="left"/>
      <w:lvlText w:val="%1."/>
      <w:numFmt w:val="decimal"/>
      <w:start w:val="4"/>
    </w:lvl>
  </w:abstractNum>
  <w:abstractNum w:abstractNumId="24">
    <w:nsid w:val="5577F8E1"/>
    <w:multiLevelType w:val="hybridMultilevel"/>
    <w:lvl w:ilvl="0">
      <w:lvlJc w:val="left"/>
      <w:lvlText w:val="%1"/>
      <w:numFmt w:val="upperLetter"/>
      <w:start w:val="1"/>
    </w:lvl>
    <w:lvl w:ilvl="1">
      <w:lvlJc w:val="left"/>
      <w:lvlText w:val="%2."/>
      <w:numFmt w:val="decimal"/>
      <w:start w:val="5"/>
    </w:lvl>
  </w:abstractNum>
  <w:abstractNum w:abstractNumId="25">
    <w:nsid w:val="440BADFC"/>
    <w:multiLevelType w:val="hybridMultilevel"/>
    <w:lvl w:ilvl="0">
      <w:lvlJc w:val="left"/>
      <w:lvlText w:val="%1."/>
      <w:numFmt w:val="upperLetter"/>
      <w:start w:val="35"/>
    </w:lvl>
    <w:lvl w:ilvl="1">
      <w:lvlJc w:val="left"/>
      <w:lvlText w:val="%2"/>
      <w:numFmt w:val="decimal"/>
      <w:start w:val="1"/>
    </w:lvl>
  </w:abstractNum>
  <w:abstractNum w:abstractNumId="26">
    <w:nsid w:val="5072367"/>
    <w:multiLevelType w:val="hybridMultilevel"/>
    <w:lvl w:ilvl="0">
      <w:lvlJc w:val="left"/>
      <w:lvlText w:val="%1."/>
      <w:numFmt w:val="upperLetter"/>
      <w:start w:val="6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6"/>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5"/>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5"/>
    </w:lvl>
  </w:abstractNum>
  <w:abstractNum w:abstractNumId="33">
    <w:nsid w:val="51EAD36B"/>
    <w:multiLevelType w:val="hybridMultilevel"/>
    <w:lvl w:ilvl="0">
      <w:lvlJc w:val="left"/>
      <w:lvlText w:val="(%1)"/>
      <w:numFmt w:val="upperLetter"/>
      <w:start w:val="9"/>
    </w:lvl>
  </w:abstractNum>
  <w:abstractNum w:abstractNumId="34">
    <w:nsid w:val="2D517796"/>
    <w:multiLevelType w:val="hybridMultilevel"/>
    <w:lvl w:ilvl="0">
      <w:lvlJc w:val="left"/>
      <w:lvlText w:val="(%1)"/>
      <w:numFmt w:val="upperLetter"/>
      <w:start w:val="35"/>
    </w:lvl>
  </w:abstractNum>
  <w:abstractNum w:abstractNumId="35">
    <w:nsid w:val="580BD78F"/>
    <w:multiLevelType w:val="hybridMultilevel"/>
    <w:lvl w:ilvl="0">
      <w:lvlJc w:val="left"/>
      <w:lvlText w:val="(%1)"/>
      <w:numFmt w:val="upperLetter"/>
      <w:start w:val="61"/>
    </w:lvl>
  </w:abstractNum>
  <w:abstractNum w:abstractNumId="36">
    <w:nsid w:val="153EA438"/>
    <w:multiLevelType w:val="hybridMultilevel"/>
    <w:lvl w:ilvl="0">
      <w:lvlJc w:val="left"/>
      <w:lvlText w:val="(%1)"/>
      <w:numFmt w:val="upperLetter"/>
      <w:start w:val="22"/>
    </w:lvl>
  </w:abstractNum>
  <w:abstractNum w:abstractNumId="37">
    <w:nsid w:val="3855585C"/>
    <w:multiLevelType w:val="hybridMultilevel"/>
    <w:lvl w:ilvl="0">
      <w:lvlJc w:val="left"/>
      <w:lvlText w:val="(%1)"/>
      <w:numFmt w:val="upperLetter"/>
      <w:start w:val="9"/>
    </w:lvl>
  </w:abstractNum>
  <w:abstractNum w:abstractNumId="38">
    <w:nsid w:val="70A64E2A"/>
    <w:multiLevelType w:val="hybridMultilevel"/>
    <w:lvl w:ilvl="0">
      <w:lvlJc w:val="left"/>
      <w:lvlText w:val="(%1)"/>
      <w:numFmt w:val="upperLetter"/>
      <w:start w:val="35"/>
    </w:lvl>
  </w:abstractNum>
  <w:abstractNum w:abstractNumId="39">
    <w:nsid w:val="6A2342EC"/>
    <w:multiLevelType w:val="hybridMultilevel"/>
    <w:lvl w:ilvl="0">
      <w:lvlJc w:val="left"/>
      <w:lvlText w:val="(%1)"/>
      <w:numFmt w:val="upperLetter"/>
      <w:start w:val="61"/>
    </w:lvl>
  </w:abstractNum>
  <w:abstractNum w:abstractNumId="40">
    <w:nsid w:val="2A487CB0"/>
    <w:multiLevelType w:val="hybridMultilevel"/>
    <w:lvl w:ilvl="0">
      <w:lvlJc w:val="left"/>
      <w:lvlText w:val="(%1)"/>
      <w:numFmt w:val="upperLetter"/>
      <w:start w:val="22"/>
    </w:lvl>
  </w:abstractNum>
  <w:abstractNum w:abstractNumId="41">
    <w:nsid w:val="1D4ED43B"/>
    <w:multiLevelType w:val="hybridMultilevel"/>
    <w:lvl w:ilvl="0">
      <w:lvlJc w:val="left"/>
      <w:lvlText w:val="(%1)"/>
      <w:numFmt w:val="upp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2019-12-05T12:07:46Z</dcterms:created>
  <dcterms:modified xsi:type="dcterms:W3CDTF">2019-12-05T12:07:46Z</dcterms:modified>
</cp:coreProperties>
</file>