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right="4300" w:firstLine="35"/>
        <w:spacing w:after="0" w:line="360" w:lineRule="auto"/>
        <w:tabs>
          <w:tab w:leader="none" w:pos="716"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2018</w:t>
      </w: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1148" w:right="239" w:bottom="1440" w:gutter="0" w:footer="0" w:header="0"/>
        </w:sectPr>
      </w:pPr>
    </w:p>
    <w:p>
      <w:pPr>
        <w:spacing w:after="0" w:line="25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114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148"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1148"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148" w:right="239" w:bottom="1440" w:gutter="0" w:footer="0" w:header="0"/>
          <w:type w:val="continuous"/>
        </w:sectPr>
      </w:pPr>
    </w:p>
    <w:p>
      <w:pPr>
        <w:spacing w:after="0" w:line="289" w:lineRule="exact"/>
        <w:rPr>
          <w:sz w:val="24"/>
          <w:szCs w:val="24"/>
          <w:color w:val="auto"/>
        </w:rPr>
      </w:pPr>
    </w:p>
    <w:p>
      <w:pPr>
        <w:ind w:left="130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jc w:val="right"/>
        <w:ind w:righ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ind w:left="200"/>
        <w:spacing w:after="0" w:line="207" w:lineRule="exact"/>
        <w:tabs>
          <w:tab w:leader="none" w:pos="160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tabs>
          <w:tab w:leader="none" w:pos="224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3020" w:space="80"/>
            <w:col w:w="180" w:space="380"/>
            <w:col w:w="2940" w:space="180"/>
            <w:col w:w="4640"/>
          </w:cols>
          <w:pgMar w:left="240" w:top="1148" w:right="239" w:bottom="1440" w:gutter="0" w:footer="0" w:header="0"/>
          <w:type w:val="continuous"/>
        </w:sectPr>
      </w:pPr>
    </w:p>
    <w:p>
      <w:pPr>
        <w:spacing w:after="0" w:line="14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51,424,535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September 30, 2018</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1"/>
          </w:tcPr>
          <w:p>
            <w:pPr>
              <w:ind w:left="2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840" w:type="dxa"/>
            <w:vAlign w:val="bottom"/>
            <w:gridSpan w:val="5"/>
          </w:tcPr>
          <w:p>
            <w:pPr>
              <w:ind w:left="4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20" w:type="dxa"/>
            <w:vAlign w:val="bottom"/>
            <w:gridSpan w:val="50"/>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380" w:type="dxa"/>
            <w:vAlign w:val="bottom"/>
            <w:gridSpan w:val="45"/>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30"/>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Financial Statements - Unaudited</w:t>
              </w:r>
            </w:hyperlink>
          </w:p>
        </w:tc>
        <w:tc>
          <w:tcPr>
            <w:tcW w:w="5940" w:type="dxa"/>
            <w:vAlign w:val="bottom"/>
            <w:tcBorders>
              <w:bottom w:val="single" w:sz="8" w:color="CCEEFF"/>
            </w:tcBorders>
            <w:gridSpan w:val="1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Note 2. Investments</w:t>
              </w:r>
            </w:hyperlink>
          </w:p>
        </w:tc>
        <w:tc>
          <w:tcPr>
            <w:tcW w:w="7440" w:type="dxa"/>
            <w:vAlign w:val="bottom"/>
            <w:tcBorders>
              <w:bottom w:val="single" w:sz="8" w:color="CCEEFF"/>
            </w:tcBorders>
            <w:gridSpan w:val="28"/>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3. Acquisitions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4"/>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Note 5. Fair Value</w:t>
              </w:r>
            </w:hyperlink>
          </w:p>
        </w:tc>
        <w:tc>
          <w:tcPr>
            <w:tcW w:w="6040" w:type="dxa"/>
            <w:vAlign w:val="bottom"/>
            <w:tcBorders>
              <w:top w:val="single" w:sz="8" w:color="CCEEFF"/>
            </w:tcBorders>
            <w:gridSpan w:val="1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Note 6. Regulatory Matters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960" w:type="dxa"/>
            <w:vAlign w:val="bottom"/>
            <w:tcBorders>
              <w:top w:val="single" w:sz="8" w:color="0000EE"/>
            </w:tcBorders>
            <w:gridSpan w:val="16"/>
          </w:tcPr>
          <w:p>
            <w:pPr>
              <w:spacing w:after="0" w:line="202"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Note 7. Investment in ATC</w:t>
              </w:r>
            </w:hyperlink>
          </w:p>
        </w:tc>
        <w:tc>
          <w:tcPr>
            <w:tcW w:w="6920" w:type="dxa"/>
            <w:vAlign w:val="bottom"/>
            <w:tcBorders>
              <w:top w:val="single" w:sz="8" w:color="CCEEFF"/>
            </w:tcBorders>
            <w:gridSpan w:val="2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7"/>
            <w:shd w:val="clear" w:color="auto" w:fill="CCEEFF"/>
          </w:tcPr>
          <w:p>
            <w:pPr>
              <w:spacing w:after="0" w:line="202"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Note 8. Short-Term and Long-Term Debt</w:t>
              </w:r>
            </w:hyperlink>
          </w:p>
        </w:tc>
        <w:tc>
          <w:tcPr>
            <w:tcW w:w="592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Note 9. Income Tax Expense</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Note 10. Reclassifications out of Accumulated Other Comprehensive Loss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360" w:type="dxa"/>
            <w:vAlign w:val="bottom"/>
            <w:tcBorders>
              <w:top w:val="single" w:sz="8" w:color="0000EE"/>
            </w:tcBorders>
            <w:gridSpan w:val="36"/>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Note 11. Earnings Per Share and Common Stock</w:t>
              </w:r>
            </w:hyperlink>
          </w:p>
        </w:tc>
        <w:tc>
          <w:tcPr>
            <w:tcW w:w="35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5"/>
            <w:shd w:val="clear" w:color="auto" w:fill="CCEEFF"/>
          </w:tcPr>
          <w:p>
            <w:pPr>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Note 12. Pension and Other Postretirement Benefit Plans</w:t>
              </w:r>
            </w:hyperlink>
          </w:p>
        </w:tc>
        <w:tc>
          <w:tcPr>
            <w:tcW w:w="478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Note 13. Commitments, Guarantees and Contingencies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Note 14. Business Segments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9340" w:type="dxa"/>
            <w:vAlign w:val="bottom"/>
            <w:gridSpan w:val="42"/>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Comparison of Quarters Ended</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Comparison of the Nine Months Ended</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Critical Accounting Policies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Outlook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Liquidity and Capital Resources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Other</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3.</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2"/>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4.</w:t>
              </w:r>
            </w:hyperlink>
          </w:p>
        </w:tc>
        <w:tc>
          <w:tcPr>
            <w:tcW w:w="520" w:type="dxa"/>
            <w:vAlign w:val="bottom"/>
            <w:tcBorders>
              <w:top w:val="single" w:sz="8" w:color="CCEEFF"/>
            </w:tcBorders>
            <w:gridSpan w:val="2"/>
          </w:tcPr>
          <w:p>
            <w:pPr>
              <w:spacing w:after="0"/>
              <w:rPr>
                <w:sz w:val="17"/>
                <w:szCs w:val="17"/>
                <w:color w:val="auto"/>
              </w:rPr>
            </w:pPr>
          </w:p>
        </w:tc>
        <w:tc>
          <w:tcPr>
            <w:tcW w:w="4300" w:type="dxa"/>
            <w:vAlign w:val="bottom"/>
            <w:tcBorders>
              <w:top w:val="single" w:sz="8" w:color="0000EE"/>
            </w:tcBorders>
            <w:gridSpan w:val="35"/>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5040" w:type="dxa"/>
            <w:vAlign w:val="bottom"/>
            <w:tcBorders>
              <w:top w:val="single" w:sz="8" w:color="CCEEFF"/>
            </w:tcBorders>
            <w:gridSpan w:val="7"/>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Part II.</w:t>
              </w:r>
            </w:hyperlink>
          </w:p>
        </w:tc>
        <w:tc>
          <w:tcPr>
            <w:tcW w:w="10380" w:type="dxa"/>
            <w:vAlign w:val="bottom"/>
            <w:gridSpan w:val="45"/>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9340" w:type="dxa"/>
            <w:vAlign w:val="bottom"/>
            <w:gridSpan w:val="42"/>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9340" w:type="dxa"/>
            <w:vAlign w:val="bottom"/>
            <w:gridSpan w:val="42"/>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400" w:type="dxa"/>
            <w:vAlign w:val="bottom"/>
          </w:tcPr>
          <w:p>
            <w:pPr>
              <w:spacing w:after="0"/>
              <w:rPr>
                <w:sz w:val="17"/>
                <w:szCs w:val="17"/>
                <w:color w:val="auto"/>
              </w:rPr>
            </w:pPr>
          </w:p>
        </w:tc>
        <w:tc>
          <w:tcPr>
            <w:tcW w:w="9340" w:type="dxa"/>
            <w:vAlign w:val="bottom"/>
            <w:gridSpan w:val="42"/>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3.</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23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Defaults Upon Senior Securities</w:t>
              </w:r>
            </w:hyperlink>
          </w:p>
        </w:tc>
        <w:tc>
          <w:tcPr>
            <w:tcW w:w="7020" w:type="dxa"/>
            <w:vAlign w:val="bottom"/>
            <w:tcBorders>
              <w:bottom w:val="single" w:sz="8" w:color="CCEEFF"/>
            </w:tcBorders>
            <w:gridSpan w:val="2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4.</w:t>
              </w:r>
            </w:hyperlink>
          </w:p>
        </w:tc>
        <w:tc>
          <w:tcPr>
            <w:tcW w:w="9340" w:type="dxa"/>
            <w:vAlign w:val="bottom"/>
            <w:gridSpan w:val="42"/>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5.</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2"/>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6.</w:t>
              </w:r>
            </w:hyperlink>
          </w:p>
        </w:tc>
        <w:tc>
          <w:tcPr>
            <w:tcW w:w="520" w:type="dxa"/>
            <w:vAlign w:val="bottom"/>
            <w:tcBorders>
              <w:top w:val="single" w:sz="8" w:color="CCEEFF"/>
            </w:tcBorders>
            <w:gridSpan w:val="2"/>
          </w:tcPr>
          <w:p>
            <w:pPr>
              <w:spacing w:after="0"/>
              <w:rPr>
                <w:sz w:val="17"/>
                <w:szCs w:val="17"/>
                <w:color w:val="auto"/>
              </w:rPr>
            </w:pPr>
          </w:p>
        </w:tc>
        <w:tc>
          <w:tcPr>
            <w:tcW w:w="130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8040" w:type="dxa"/>
            <w:vAlign w:val="bottom"/>
            <w:tcBorders>
              <w:top w:val="single" w:sz="8" w:color="CCEEFF"/>
            </w:tcBorders>
            <w:gridSpan w:val="3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Blanchard</w:t>
            </w:r>
          </w:p>
        </w:tc>
        <w:tc>
          <w:tcPr>
            <w:tcW w:w="8180" w:type="dxa"/>
            <w:vAlign w:val="bottom"/>
            <w:gridSpan w:val="2"/>
          </w:tcPr>
          <w:p>
            <w:pPr>
              <w:spacing w:after="0"/>
              <w:rPr>
                <w:sz w:val="20"/>
                <w:szCs w:val="20"/>
                <w:color w:val="auto"/>
              </w:rPr>
            </w:pPr>
            <w:r>
              <w:rPr>
                <w:rFonts w:ascii="Arial" w:cs="Arial" w:eastAsia="Arial" w:hAnsi="Arial"/>
                <w:sz w:val="18"/>
                <w:szCs w:val="18"/>
                <w:color w:val="auto"/>
              </w:rPr>
              <w:t>Blanchard Solar Energy Facility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CIP</w:t>
            </w:r>
          </w:p>
        </w:tc>
        <w:tc>
          <w:tcPr>
            <w:tcW w:w="8180" w:type="dxa"/>
            <w:vAlign w:val="bottom"/>
            <w:gridSpan w:val="2"/>
          </w:tcPr>
          <w:p>
            <w:pPr>
              <w:spacing w:after="0"/>
              <w:rPr>
                <w:sz w:val="20"/>
                <w:szCs w:val="20"/>
                <w:color w:val="auto"/>
              </w:rPr>
            </w:pPr>
            <w:r>
              <w:rPr>
                <w:rFonts w:ascii="Arial" w:cs="Arial" w:eastAsia="Arial" w:hAnsi="Arial"/>
                <w:sz w:val="18"/>
                <w:szCs w:val="18"/>
                <w:color w:val="auto"/>
              </w:rPr>
              <w:t>Conservation Improvement Program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Energy-Intensive Trade-Exposed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ERP Iron Ore,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1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1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Hibbard</w:t>
            </w:r>
          </w:p>
        </w:tc>
        <w:tc>
          <w:tcPr>
            <w:tcW w:w="8180" w:type="dxa"/>
            <w:vAlign w:val="bottom"/>
            <w:gridSpan w:val="2"/>
          </w:tcPr>
          <w:p>
            <w:pPr>
              <w:spacing w:after="0"/>
              <w:rPr>
                <w:sz w:val="20"/>
                <w:szCs w:val="20"/>
                <w:color w:val="auto"/>
              </w:rPr>
            </w:pPr>
            <w:r>
              <w:rPr>
                <w:rFonts w:ascii="Arial" w:cs="Arial" w:eastAsia="Arial" w:hAnsi="Arial"/>
                <w:sz w:val="18"/>
                <w:szCs w:val="18"/>
                <w:color w:val="auto"/>
              </w:rPr>
              <w:t>Hibbard Renewable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Husky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Husky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18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2018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MMTP</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NTEC</w:t>
            </w:r>
          </w:p>
        </w:tc>
        <w:tc>
          <w:tcPr>
            <w:tcW w:w="818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TCJA</w:t>
            </w:r>
          </w:p>
        </w:tc>
        <w:tc>
          <w:tcPr>
            <w:tcW w:w="8180" w:type="dxa"/>
            <w:vAlign w:val="bottom"/>
            <w:gridSpan w:val="2"/>
          </w:tcPr>
          <w:p>
            <w:pPr>
              <w:spacing w:after="0"/>
              <w:rPr>
                <w:sz w:val="20"/>
                <w:szCs w:val="20"/>
                <w:color w:val="auto"/>
              </w:rPr>
            </w:pPr>
            <w:r>
              <w:rPr>
                <w:rFonts w:ascii="Arial" w:cs="Arial" w:eastAsia="Arial" w:hAnsi="Arial"/>
                <w:sz w:val="18"/>
                <w:szCs w:val="18"/>
                <w:color w:val="auto"/>
              </w:rPr>
              <w:t>Tax Cuts and Job Act of 2017 (Public Law 115-97)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gridSpan w:val="2"/>
          </w:tcPr>
          <w:p>
            <w:pPr>
              <w:spacing w:after="0"/>
              <w:rPr>
                <w:sz w:val="20"/>
                <w:szCs w:val="20"/>
                <w:color w:val="auto"/>
              </w:rPr>
            </w:pPr>
            <w:r>
              <w:rPr>
                <w:rFonts w:ascii="Arial" w:cs="Arial" w:eastAsia="Arial" w:hAnsi="Arial"/>
                <w:sz w:val="18"/>
                <w:szCs w:val="18"/>
                <w:color w:val="auto"/>
              </w:rPr>
              <w:t>Tonka Equipment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gridSpan w:val="2"/>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WTG</w:t>
            </w:r>
          </w:p>
        </w:tc>
        <w:tc>
          <w:tcPr>
            <w:tcW w:w="818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2018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ALLETE’s 2017 Form 10-K, and in Part II, Item 1A. Risk Factors in this Form 10</w:t>
      </w:r>
      <w:r>
        <w:rPr>
          <w:rFonts w:ascii="MS PGothic" w:cs="MS PGothic" w:eastAsia="MS PGothic" w:hAnsi="MS PGothic"/>
          <w:sz w:val="17"/>
          <w:szCs w:val="17"/>
          <w:color w:val="auto"/>
        </w:rPr>
        <w:t>‑</w:t>
      </w:r>
      <w:r>
        <w:rPr>
          <w:rFonts w:ascii="Arial" w:cs="Arial" w:eastAsia="Arial" w:hAnsi="Arial"/>
          <w:sz w:val="17"/>
          <w:szCs w:val="17"/>
          <w:color w:val="auto"/>
        </w:rPr>
        <w:t>Q.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rPr>
              <w:t>ALLETE</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9"/>
              </w:rPr>
              <w:t>CONSOLIDATED BALANCE SHEET</w:t>
            </w: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Unaudited</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822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$128.0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$2.6 and $2.1)</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129.4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135.1</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154.8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27.2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439.4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3,846.5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3,822.4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370.6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126.0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118.7</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224.7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225.9</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104.4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$5,163.3</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$5,080.0</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$131.8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$136.3</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15.5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144.9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83.2</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402.7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1,461.7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1,439.2</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231.3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512.3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532.0</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173.6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265.6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267.1</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3,047.2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3,011.8</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6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w w:val="93"/>
              </w:rPr>
              <w:t>Common Stock Without Par Value, 80.0 Shares Authorized, 51.4 and 51.1 Shares Issued and Outstanding</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1,421.1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1,401.4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722.3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689.4</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2,116.1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2,068.2</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$5,163.3</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$5,080.0</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220" w:type="dxa"/>
            <w:vAlign w:val="bottom"/>
          </w:tcPr>
          <w:p>
            <w:pPr>
              <w:jc w:val="center"/>
              <w:ind w:left="311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9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9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20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500" w:type="dxa"/>
            <w:vAlign w:val="bottom"/>
          </w:tcPr>
          <w:p>
            <w:pPr>
              <w:spacing w:after="0"/>
              <w:rPr>
                <w:sz w:val="23"/>
                <w:szCs w:val="23"/>
                <w:color w:val="auto"/>
              </w:rPr>
            </w:pPr>
          </w:p>
        </w:tc>
        <w:tc>
          <w:tcPr>
            <w:tcW w:w="27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Contracts with Customers – Utility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$261.3</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$277.6</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$789.3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$824.1</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Non-utility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80.7</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79.0</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243.1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6.0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Revenue</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348.0</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362.5</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1,050.3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1,081.4</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103.2</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93.5</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17.9</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18.9</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53.1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38.7</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36.0</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80.3</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81.1</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253.6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251.4</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51.5</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50.9</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14.1</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43.8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304.7</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294.5</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913.1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887.8</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43.3</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68.0</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137.2</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193.6</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780" w:type="dxa"/>
            <w:vAlign w:val="bottom"/>
          </w:tcPr>
          <w:p>
            <w:pPr>
              <w:jc w:val="right"/>
              <w:ind w:right="110"/>
              <w:spacing w:after="0"/>
              <w:rPr>
                <w:sz w:val="20"/>
                <w:szCs w:val="20"/>
                <w:color w:val="auto"/>
              </w:rPr>
            </w:pPr>
            <w:r>
              <w:rPr>
                <w:rFonts w:ascii="Arial" w:cs="Arial" w:eastAsia="Arial" w:hAnsi="Arial"/>
                <w:sz w:val="18"/>
                <w:szCs w:val="18"/>
                <w:color w:val="auto"/>
              </w:rPr>
              <w:t>(17.6)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(16.6)</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(51.6)</w:t>
            </w:r>
          </w:p>
        </w:tc>
        <w:tc>
          <w:tcPr>
            <w:tcW w:w="88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Other Expense</w:t>
            </w:r>
          </w:p>
        </w:tc>
        <w:tc>
          <w:tcPr>
            <w:tcW w:w="2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31.1</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59.1</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104.3</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165.4</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$30.7</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$44.9</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$113.0</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$130.8</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Basic</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51.4</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51.0</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51.3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51.6</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51.2</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$0.59</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$0.88</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$2.20</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$0.59</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$0.88</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$0.56</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$0.535</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2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060" w:type="dxa"/>
            <w:vAlign w:val="bottom"/>
          </w:tcPr>
          <w:p>
            <w:pPr>
              <w:spacing w:after="0"/>
              <w:rPr>
                <w:sz w:val="23"/>
                <w:szCs w:val="23"/>
                <w:color w:val="auto"/>
              </w:rPr>
            </w:pPr>
          </w:p>
        </w:tc>
        <w:tc>
          <w:tcPr>
            <w:tcW w:w="32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060" w:type="dxa"/>
            <w:vAlign w:val="bottom"/>
          </w:tcPr>
          <w:p>
            <w:pPr>
              <w:spacing w:after="0"/>
              <w:rPr>
                <w:sz w:val="23"/>
                <w:szCs w:val="23"/>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$44.9</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$113.0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 (Loss) on Securities</w:t>
            </w:r>
          </w:p>
        </w:tc>
        <w:tc>
          <w:tcPr>
            <w:tcW w:w="2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 $0.1, $– and $0.6</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$0.1, $0.1, $0.3 and $0.4</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6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2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0.3</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0.9</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$45.3</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$113.9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r>
      <w:tr>
        <w:trPr>
          <w:trHeight w:val="20"/>
        </w:trPr>
        <w:tc>
          <w:tcPr>
            <w:tcW w:w="60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70"/>
        </w:trPr>
        <w:tc>
          <w:tcPr>
            <w:tcW w:w="8820" w:type="dxa"/>
            <w:vAlign w:val="bottom"/>
          </w:tcPr>
          <w:p>
            <w:pPr>
              <w:spacing w:after="0"/>
              <w:rPr>
                <w:sz w:val="23"/>
                <w:szCs w:val="23"/>
                <w:color w:val="auto"/>
              </w:rPr>
            </w:pPr>
          </w:p>
        </w:tc>
        <w:tc>
          <w:tcPr>
            <w:tcW w:w="26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September 30,</w:t>
            </w:r>
          </w:p>
        </w:tc>
      </w:tr>
      <w:tr>
        <w:trPr>
          <w:trHeight w:val="270"/>
        </w:trPr>
        <w:tc>
          <w:tcPr>
            <w:tcW w:w="8820" w:type="dxa"/>
            <w:vAlign w:val="bottom"/>
          </w:tcPr>
          <w:p>
            <w:pPr>
              <w:spacing w:after="0"/>
              <w:rPr>
                <w:sz w:val="23"/>
                <w:szCs w:val="23"/>
                <w:color w:val="auto"/>
              </w:rPr>
            </w:pPr>
          </w:p>
        </w:tc>
        <w:tc>
          <w:tcPr>
            <w:tcW w:w="16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2017</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$113.0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$130.8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(1.3)</w:t>
            </w:r>
          </w:p>
        </w:tc>
        <w:tc>
          <w:tcPr>
            <w:tcW w:w="9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149.3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PSAs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(17.9)</w:t>
            </w:r>
          </w:p>
        </w:tc>
        <w:tc>
          <w:tcPr>
            <w:tcW w:w="92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7.8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(9.1)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34.3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5.1</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6.4</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7.6</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Provision for Interim Rate Refund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13.0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Provision for Tax Reform Refund</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9.2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3.9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(12.6)</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5.7</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9.9</w:t>
            </w: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21.2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(15.0)</w:t>
            </w:r>
          </w:p>
        </w:tc>
        <w:tc>
          <w:tcPr>
            <w:tcW w:w="9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7.2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1.7</w:t>
            </w:r>
          </w:p>
        </w:tc>
        <w:tc>
          <w:tcPr>
            <w:tcW w:w="92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298.1</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307.2</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9.3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(12.5)</w:t>
            </w: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Acquisitions of Subsidiaries – Net of Cash and Restricted Cash Acquired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(5.0)</w:t>
            </w:r>
          </w:p>
        </w:tc>
        <w:tc>
          <w:tcPr>
            <w:tcW w:w="92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(201.0)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Investing Activities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1.4</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3.3</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(207.8)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14.6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72.7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131.5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(59.5)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(86.2)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(0.5)</w:t>
            </w: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Financing Activities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(58.9)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(74.3)</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31.4</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81.2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110.1</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$141.5</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$119.5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05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1052"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Accumulated</w:t>
            </w:r>
          </w:p>
        </w:tc>
        <w:tc>
          <w:tcPr>
            <w:tcW w:w="11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3"/>
              </w:rPr>
              <w:t>Total Shareholders’</w:t>
            </w:r>
          </w:p>
        </w:tc>
        <w:tc>
          <w:tcPr>
            <w:tcW w:w="1400" w:type="dxa"/>
            <w:vAlign w:val="bottom"/>
          </w:tcPr>
          <w:p>
            <w:pPr>
              <w:jc w:val="right"/>
              <w:ind w:right="332"/>
              <w:spacing w:after="0"/>
              <w:rPr>
                <w:sz w:val="20"/>
                <w:szCs w:val="20"/>
                <w:color w:val="auto"/>
              </w:rPr>
            </w:pPr>
            <w:r>
              <w:rPr>
                <w:rFonts w:ascii="Arial" w:cs="Arial" w:eastAsia="Arial" w:hAnsi="Arial"/>
                <w:sz w:val="16"/>
                <w:szCs w:val="16"/>
                <w:b w:val="1"/>
                <w:bCs w:val="1"/>
                <w:color w:val="auto"/>
              </w:rPr>
              <w:t>Retained</w:t>
            </w: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Comprehensive</w:t>
            </w: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Common</w:t>
            </w:r>
          </w:p>
        </w:tc>
      </w:tr>
      <w:tr>
        <w:trPr>
          <w:trHeight w:val="210"/>
        </w:trPr>
        <w:tc>
          <w:tcPr>
            <w:tcW w:w="5800" w:type="dxa"/>
            <w:vAlign w:val="bottom"/>
          </w:tcPr>
          <w:p>
            <w:pPr>
              <w:spacing w:after="0"/>
              <w:rPr>
                <w:sz w:val="18"/>
                <w:szCs w:val="18"/>
                <w:color w:val="auto"/>
              </w:rPr>
            </w:pPr>
          </w:p>
        </w:tc>
        <w:tc>
          <w:tcPr>
            <w:tcW w:w="1460" w:type="dxa"/>
            <w:vAlign w:val="bottom"/>
          </w:tcPr>
          <w:p>
            <w:pPr>
              <w:jc w:val="right"/>
              <w:ind w:right="411"/>
              <w:spacing w:after="0"/>
              <w:rPr>
                <w:sz w:val="20"/>
                <w:szCs w:val="20"/>
                <w:color w:val="auto"/>
              </w:rPr>
            </w:pPr>
            <w:r>
              <w:rPr>
                <w:rFonts w:ascii="Arial" w:cs="Arial" w:eastAsia="Arial" w:hAnsi="Arial"/>
                <w:sz w:val="16"/>
                <w:szCs w:val="16"/>
                <w:b w:val="1"/>
                <w:bCs w:val="1"/>
                <w:color w:val="auto"/>
              </w:rPr>
              <w:t>Equity</w:t>
            </w:r>
          </w:p>
        </w:tc>
        <w:tc>
          <w:tcPr>
            <w:tcW w:w="1400" w:type="dxa"/>
            <w:vAlign w:val="bottom"/>
          </w:tcPr>
          <w:p>
            <w:pPr>
              <w:jc w:val="right"/>
              <w:ind w:right="312"/>
              <w:spacing w:after="0"/>
              <w:rPr>
                <w:sz w:val="20"/>
                <w:szCs w:val="20"/>
                <w:color w:val="auto"/>
              </w:rPr>
            </w:pPr>
            <w:r>
              <w:rPr>
                <w:rFonts w:ascii="Arial" w:cs="Arial" w:eastAsia="Arial" w:hAnsi="Arial"/>
                <w:sz w:val="16"/>
                <w:szCs w:val="16"/>
                <w:b w:val="1"/>
                <w:bCs w:val="1"/>
                <w:color w:val="auto"/>
              </w:rPr>
              <w:t>Earnings</w:t>
            </w: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85"/>
              </w:rPr>
              <w:t>Loss</w:t>
            </w: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Stock</w:t>
            </w:r>
          </w:p>
        </w:tc>
      </w:tr>
      <w:tr>
        <w:trPr>
          <w:trHeight w:val="33"/>
        </w:trPr>
        <w:tc>
          <w:tcPr>
            <w:tcW w:w="5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$2,068.2</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$689.4</w:t>
            </w:r>
          </w:p>
        </w:tc>
        <w:tc>
          <w:tcPr>
            <w:tcW w:w="16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$(22.6)</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$1,401.4</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 xml:space="preserve">Adjustments to Opening Balance – Net of Income Taxes </w:t>
            </w:r>
            <w:r>
              <w:rPr>
                <w:rFonts w:ascii="Arial" w:cs="Arial" w:eastAsia="Arial" w:hAnsi="Arial"/>
                <w:sz w:val="16"/>
                <w:szCs w:val="16"/>
                <w:i w:val="1"/>
                <w:iCs w:val="1"/>
                <w:color w:val="auto"/>
              </w:rPr>
              <w:t>(a)</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6.1</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2,068.7</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695.5</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(28.2)</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113.0</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113.0</w:t>
            </w: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 Net of Income Taxes</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Debt Securities</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1.0</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113.9</w:t>
            </w:r>
          </w:p>
        </w:tc>
        <w:tc>
          <w:tcPr>
            <w:tcW w:w="1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19.7</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19.7</w:t>
            </w: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(86.2)</w:t>
            </w: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(86.2)</w:t>
            </w: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September 30, 2018</w:t>
            </w:r>
          </w:p>
        </w:tc>
        <w:tc>
          <w:tcPr>
            <w:tcW w:w="14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$2,116.1</w:t>
            </w:r>
          </w:p>
        </w:tc>
        <w:tc>
          <w:tcPr>
            <w:tcW w:w="14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$722.3</w:t>
            </w:r>
          </w:p>
        </w:tc>
        <w:tc>
          <w:tcPr>
            <w:tcW w:w="160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rPr>
              <w:t>$(27.3)</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impacts associated with the adoption of accounting standards concerning Financial Instruments, Revenue from Contracts with Customers and the Reclassification of Certain Tax Effects from Accumulated Other Comprehensive Income. (See Note 1. Operations and Significant Accounting Policies.)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2017,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nine months ended September 30, 2018, are not necessarily indicative of results that may be expected for any other interim period or for the year ending December 31, 2018. For further information, refer to the Consolidated Financial Statements and notes included in our 2017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cash amounts included in Prepayments and Other on the Consolidated Balance Sheet include collateral deposits required under an ALLETE Clean Energy loan agreement and U.S. Water Service’s standby letters of credit. The restricted cash amounts included in Other Non-Current Assets represent collateral deposits required under an ALLETE Clean Energy loan agreement and PSAs, and deposits from a SWL&amp;P customer in aid of future capital expenditures. The following table provides a reconciliation of cash, cash equivalents and restricted cash reported within the Consolidated Balance Sheet that aggregate to the amount presented in the Consolidated Statement of Cash Flows. During the first quarter of 2018, the Company updated the presentation of its Consolidated Statement of Cash Flows to include restricted cash with cash and cash equivalents when reconciling the beginning-of-period and end-of-period total amounts shown on the Consolidated Statement of Cash Flows. (See </w:t>
      </w:r>
      <w:r>
        <w:rPr>
          <w:rFonts w:ascii="Arial" w:cs="Arial" w:eastAsia="Arial" w:hAnsi="Arial"/>
          <w:sz w:val="16"/>
          <w:szCs w:val="16"/>
          <w:i w:val="1"/>
          <w:iCs w:val="1"/>
          <w:color w:val="auto"/>
        </w:rPr>
        <w:t>Recently Adopted Pronouncements - Statement of Cash Flows: Restricted Cash</w:t>
      </w:r>
      <w:r>
        <w:rPr>
          <w:rFonts w:ascii="Arial" w:cs="Arial" w:eastAsia="Arial" w:hAnsi="Arial"/>
          <w:sz w:val="16"/>
          <w:szCs w:val="16"/>
          <w:color w:val="auto"/>
        </w:rPr>
        <w:t>.)</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$128.0</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$98.9</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8.7</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Cash, Cash Equivalents and Restricted Cash on the Consolidated</w:t>
            </w:r>
          </w:p>
        </w:tc>
        <w:tc>
          <w:tcPr>
            <w:tcW w:w="17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$141.5</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$110.1</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$119.5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U.S. Water Services and ALLETE Clean Energy segments,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422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42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7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220" w:type="dxa"/>
            <w:vAlign w:val="bottom"/>
          </w:tcPr>
          <w:p>
            <w:pPr>
              <w:jc w:val="right"/>
              <w:ind w:right="170"/>
              <w:spacing w:after="0"/>
              <w:rPr>
                <w:sz w:val="20"/>
                <w:szCs w:val="20"/>
                <w:color w:val="auto"/>
              </w:rPr>
            </w:pPr>
            <w:r>
              <w:rPr>
                <w:rFonts w:ascii="Arial" w:cs="Arial" w:eastAsia="Arial" w:hAnsi="Arial"/>
                <w:sz w:val="18"/>
                <w:szCs w:val="18"/>
                <w:color w:val="auto"/>
              </w:rPr>
              <w:t>44.0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5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of Wind Energy Facility </w:t>
            </w:r>
            <w:r>
              <w:rPr>
                <w:rFonts w:ascii="Arial" w:cs="Arial" w:eastAsia="Arial" w:hAnsi="Arial"/>
                <w:sz w:val="16"/>
                <w:szCs w:val="16"/>
                <w:i w:val="1"/>
                <w:iCs w:val="1"/>
                <w:color w:val="auto"/>
              </w:rPr>
              <w:t>(b)</w:t>
            </w:r>
          </w:p>
        </w:tc>
        <w:tc>
          <w:tcPr>
            <w:tcW w:w="4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66.7</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422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Progress</w:t>
            </w:r>
          </w:p>
        </w:tc>
        <w:tc>
          <w:tcPr>
            <w:tcW w:w="4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220" w:type="dxa"/>
            <w:vAlign w:val="bottom"/>
          </w:tcPr>
          <w:p>
            <w:pPr>
              <w:jc w:val="right"/>
              <w:ind w:right="170"/>
              <w:spacing w:after="0"/>
              <w:rPr>
                <w:sz w:val="20"/>
                <w:szCs w:val="20"/>
                <w:color w:val="auto"/>
              </w:rPr>
            </w:pPr>
            <w:r>
              <w:rPr>
                <w:rFonts w:ascii="Arial" w:cs="Arial" w:eastAsia="Arial" w:hAnsi="Arial"/>
                <w:sz w:val="18"/>
                <w:szCs w:val="18"/>
                <w:color w:val="auto"/>
              </w:rPr>
              <w:t>9.0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5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Obsolescence</w:t>
            </w:r>
          </w:p>
        </w:tc>
        <w:tc>
          <w:tcPr>
            <w:tcW w:w="4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Inventories – Net</w:t>
            </w:r>
          </w:p>
        </w:tc>
        <w:tc>
          <w:tcPr>
            <w:tcW w:w="4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$154.8</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57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On February 28, 2018, Montana-Dakota Utilities exercised its option to purchase the Thunder Spirit II wind energy facility upon completion, resulting in a reclassification of the project costs from Property, Plant and Equipment – Net to Inventories – Net as ALLETE Clean Energy will not own the facility upon completion.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20"/>
          </w:cols>
          <w:pgMar w:left="240" w:top="104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768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62.9</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37"/>
        </w:trPr>
        <w:tc>
          <w:tcPr>
            <w:tcW w:w="7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2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$104.4</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w:t>
            </w:r>
          </w:p>
        </w:tc>
      </w:tr>
      <w:tr>
        <w:trPr>
          <w:trHeight w:val="27"/>
        </w:trPr>
        <w:tc>
          <w:tcPr>
            <w:tcW w:w="7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right="2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30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6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(b)</w:t>
            </w:r>
          </w:p>
        </w:tc>
        <w:tc>
          <w:tcPr>
            <w:tcW w:w="4300" w:type="dxa"/>
            <w:vAlign w:val="bottom"/>
          </w:tcPr>
          <w:p>
            <w:pPr>
              <w:jc w:val="right"/>
              <w:ind w:right="150"/>
              <w:spacing w:after="0"/>
              <w:rPr>
                <w:sz w:val="20"/>
                <w:szCs w:val="20"/>
                <w:color w:val="auto"/>
              </w:rPr>
            </w:pPr>
            <w:r>
              <w:rPr>
                <w:rFonts w:ascii="Arial" w:cs="Arial" w:eastAsia="Arial" w:hAnsi="Arial"/>
                <w:sz w:val="18"/>
                <w:szCs w:val="18"/>
                <w:color w:val="auto"/>
              </w:rPr>
              <w:t>22.7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430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(d)</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w:t>
            </w:r>
          </w:p>
        </w:tc>
        <w:tc>
          <w:tcPr>
            <w:tcW w:w="4300" w:type="dxa"/>
            <w:vAlign w:val="bottom"/>
          </w:tcPr>
          <w:p>
            <w:pPr>
              <w:jc w:val="right"/>
              <w:ind w:right="150"/>
              <w:spacing w:after="0"/>
              <w:rPr>
                <w:sz w:val="20"/>
                <w:szCs w:val="20"/>
                <w:color w:val="auto"/>
              </w:rPr>
            </w:pPr>
            <w:r>
              <w:rPr>
                <w:rFonts w:ascii="Arial" w:cs="Arial" w:eastAsia="Arial" w:hAnsi="Arial"/>
                <w:sz w:val="18"/>
                <w:szCs w:val="18"/>
                <w:color w:val="auto"/>
              </w:rPr>
              <w:t>55.2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6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0"/>
        </w:trPr>
        <w:tc>
          <w:tcPr>
            <w:tcW w:w="566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52"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is expected to be refunded to Minnesota Power’s regulated retail customers in the first quarter of 2019 and includes $20.8 million of discounts provided to EITE customers that will be offset against interim rate refunds as of September 30, 2018 ($8.6 million as of December 31, 2017). (See Note 6. Regulatory Matters.)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include deposits received as a result of entering into contracts with our customers prior to completing our performance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is expected to be refunded to Minnesota Power customers in the first quarter of 2019 and SWL&amp;P customers in 2019 pending the outcome of SWL&amp;P’s rate filing with the PSCW. (See Note 6. Regulatory Matters.)</w:t>
      </w: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$138.3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PSAs</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80.0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47.3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0"/>
        </w:trPr>
        <w:tc>
          <w:tcPr>
            <w:tcW w:w="55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62" w:lineRule="exact"/>
        <w:rPr>
          <w:rFonts w:ascii="Arial" w:cs="Arial" w:eastAsia="Arial" w:hAnsi="Arial"/>
          <w:sz w:val="14"/>
          <w:szCs w:val="14"/>
          <w:i w:val="1"/>
          <w:iCs w:val="1"/>
          <w:color w:val="auto"/>
        </w:rPr>
      </w:pPr>
    </w:p>
    <w:p>
      <w:pPr>
        <w:ind w:left="4380"/>
        <w:spacing w:after="0"/>
        <w:rPr>
          <w:rFonts w:ascii="Arial" w:cs="Arial" w:eastAsia="Arial" w:hAnsi="Arial"/>
          <w:sz w:val="14"/>
          <w:szCs w:val="14"/>
          <w:i w:val="1"/>
          <w:iCs w:val="1"/>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 Net of Amounts Capitalized</w:t>
            </w:r>
          </w:p>
        </w:tc>
        <w:tc>
          <w:tcPr>
            <w:tcW w:w="2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$52.9</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2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2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$(14.4)</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$46.3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$15.4</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8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Plans</w:t>
            </w:r>
          </w:p>
        </w:tc>
        <w:tc>
          <w:tcPr>
            <w:tcW w:w="2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0"/>
        </w:trPr>
        <w:tc>
          <w:tcPr>
            <w:tcW w:w="82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310"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On February 28, 2018, Montana-Dakota Utilities exercised its option to purchase the Thunder Spirit II wind energy facility upon completion, resulting in a reclassification of the project costs from Property, Plant and Equipment – Net to Inventories – Net as ALLETE Clean Energy will not own the facility upon completion.</w:t>
      </w:r>
    </w:p>
    <w:p>
      <w:pPr>
        <w:spacing w:after="0" w:line="14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by customers in the production of paper and pulp.</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U.S. Water Services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Other businesses.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adjustments to revenue recognized by ALLETE Clean Energy for the amortization of differences between contract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estimated market prices for PSAs that were assumed during the acquisition of various wind energy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upon transfer of control of promised goods or services to our customers in an amount that reflects the 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16 non-affiliated municipal customers in Minnesota under long-term wholesale electric contracts. All wholesale electric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termination clause requiring a three-year notice to terminate. These contracts have termination dates ranging from 2019 through at least 2032, with a majority of contracts effective through at least 2024. Performance obligations with these customers are satisfied at the time energy is delivered to an agreed upon municipal substation or meter.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includes sales recognized from contracts with customers in the taconite mining, iron concentrate, paper, pulp and secondary wood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and other industries. Industrial sales accounted for approximately 50 percent of total regulated utility kWh sales for the nine months ended September 30, 2018. Within industrial revenue, Minnesota Power has 9 Large Power Customer contracts, each serving requirements of 10 MW or more of customer load. These contracts automatically renew past the contract term unless a four-year advanced written notice is given. Large Power Customer contracts have earliest termination dates ranging from 2022 through 2026.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$70 million per annum through 2019, $50 million in 2020 and 2021, $30 million in 2022 and $40 million for aggregate years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Other Power Suppliers </w:t>
      </w:r>
      <w:r>
        <w:rPr>
          <w:rFonts w:ascii="Arial" w:cs="Arial" w:eastAsia="Arial" w:hAnsi="Arial"/>
          <w:sz w:val="17"/>
          <w:szCs w:val="17"/>
          <w:color w:val="auto"/>
        </w:rPr>
        <w:t>includes the sale of energy under long-term PSAs with two customers as well as MISO market and liquidation sales. Expiration dates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PSAs range from 2020 through 2026. Performance obligations with these customers are satisfied at the time energy is delivered to an agreed upon delivery point defined in the contract (generally the MISO pricing node). Based on current contracts with two customers, we expect to recognize minimum revenue for fixed contract components of approximately $10 million per annum through 2019. Other power supplier contracts that extend beyond 2020 contain variable pricing components that prevent us from estimating future minimum revenue, and therefore are not included.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includes all remaining individually immaterial revenue streams for Minnesota Power and SWL&amp;P, and is comprised of steam sales to paper</w:t>
      </w:r>
      <w:r>
        <w:rPr>
          <w:rFonts w:ascii="Arial" w:cs="Arial" w:eastAsia="Arial" w:hAnsi="Arial"/>
          <w:sz w:val="18"/>
          <w:szCs w:val="18"/>
          <w:i w:val="1"/>
          <w:iCs w:val="1"/>
          <w:color w:val="auto"/>
        </w:rPr>
        <w:t xml:space="preserve"> </w:t>
      </w:r>
      <w:r>
        <w:rPr>
          <w:rFonts w:ascii="Arial" w:cs="Arial" w:eastAsia="Arial" w:hAnsi="Arial"/>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Alternative Programs </w:t>
      </w:r>
      <w:r>
        <w:rPr>
          <w:rFonts w:ascii="Arial" w:cs="Arial" w:eastAsia="Arial" w:hAnsi="Arial"/>
          <w:sz w:val="18"/>
          <w:szCs w:val="18"/>
          <w:color w:val="auto"/>
        </w:rPr>
        <w:t>includes revenue that is driven by factors outside of our regulated entities’ control or as a result of the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such as CIP financial incentives. This revenue is 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Long-term PSA </w:t>
      </w:r>
      <w:r>
        <w:rPr>
          <w:rFonts w:ascii="Arial" w:cs="Arial" w:eastAsia="Arial" w:hAnsi="Arial"/>
          <w:sz w:val="16"/>
          <w:szCs w:val="16"/>
          <w:color w:val="auto"/>
        </w:rPr>
        <w:t>revenue includes all sales recognized under long-term contracts for production, curtailment, capacity and associated renewable energy credits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ALLETE Clean Energy wind energy facilities. Expiration dates of these PSAs range from 2018 through 2032.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adjustments to revenue recognized by ALLETE Clean Energy for the amortization of differences between contract prices and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Water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Point-in-time </w:t>
      </w:r>
      <w:r>
        <w:rPr>
          <w:rFonts w:ascii="Arial" w:cs="Arial" w:eastAsia="Arial" w:hAnsi="Arial"/>
          <w:sz w:val="18"/>
          <w:szCs w:val="18"/>
          <w:color w:val="auto"/>
        </w:rPr>
        <w:t>revenue is recognized for purchases by customers for chemicals, consumable equipment (e.g., filters, pumps and valves) or related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repair services as the customer’s usage and needs change over time. These goods and services are purchased on an as-needed basis by customers and therefore revenue can be variable. Products are shipped to the customer in accordance with the terms of the purchase order, and performance obligations are satisfied at the time of shipment of goods or when services are rendered to the customer.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Contract </w:t>
      </w:r>
      <w:r>
        <w:rPr>
          <w:rFonts w:ascii="Arial" w:cs="Arial" w:eastAsia="Arial" w:hAnsi="Arial"/>
          <w:sz w:val="18"/>
          <w:szCs w:val="18"/>
          <w:color w:val="auto"/>
        </w:rPr>
        <w:t>includes monthly revenue from contracts with customers to provide chemicals, consumable equipment and services to meet customer needs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 period. As agreed with the customer, a fixed amount is invoiced based on the goods and services to be provided under the contract. The duration of these contracts generally range in length from three months to five years and automatically renew. A 30-day notice is required to terminate such contracts without penalty after contract execution. Performance obligations are satisfied during the period as goods and service are delivered in accordance with the terms of the contract.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Project </w:t>
      </w:r>
      <w:r>
        <w:rPr>
          <w:rFonts w:ascii="Arial" w:cs="Arial" w:eastAsia="Arial" w:hAnsi="Arial"/>
          <w:sz w:val="18"/>
          <w:szCs w:val="18"/>
          <w:color w:val="auto"/>
        </w:rPr>
        <w:t>includes the sale of equipment and other components assembled to create a water treatment system for a customer. These projects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contracts at an agreed upon price to meet a customer's specifications and typically take less than one year to complete. In general, progress payments are received throughout the project period and are recorded as contract liabilities until performance obligations are satisfied at the time the equipment and other components are delivered to the customer’s 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79" w:lineRule="exact"/>
        <w:rPr>
          <w:sz w:val="20"/>
          <w:szCs w:val="20"/>
          <w:color w:val="auto"/>
        </w:rPr>
      </w:pPr>
    </w:p>
    <w:p>
      <w:pPr>
        <w:jc w:val="both"/>
        <w:ind w:right="20"/>
        <w:spacing w:after="0" w:line="232" w:lineRule="exact"/>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revenue from BNI Energy unrelated to coal, the sale of real estate from ALLETE Properties, and non</w:t>
      </w:r>
      <w:r>
        <w:rPr>
          <w:rFonts w:ascii="MS PGothic" w:cs="MS PGothic" w:eastAsia="MS PGothic" w:hAnsi="MS PGothic"/>
          <w:sz w:val="17"/>
          <w:szCs w:val="17"/>
          <w:color w:val="auto"/>
        </w:rPr>
        <w:t>‑</w:t>
      </w:r>
      <w:r>
        <w:rPr>
          <w:rFonts w:ascii="Arial" w:cs="Arial" w:eastAsia="Arial" w:hAnsi="Arial"/>
          <w:sz w:val="17"/>
          <w:szCs w:val="17"/>
          <w:color w:val="auto"/>
        </w:rPr>
        <w:t>rate base steam generation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sold for use during production of paper and pulp. Performance obligations are satisfied when control transfers to the customer</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terms and conditions vary across our businesses. Aside from taconite-producing Large Power Customers, payment terms generally require payment to be made within 15 to 30 days from the end of the period that the service has been rendered or goods provided.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customer receives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From the Costs to Obtain a Contract with a Customer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September 30, 2018, we have $31.1 million of assets recognized for costs incurred to obtain contracts with our customers ($31.6 million as of December 31, 2017).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For the nine months ended September 30, 2018, and 2017, we recognized $1.9 million of non-cash amortization.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Reclassification of Certain Tax Effects from Accumulated Other Comprehensive Income. </w:t>
      </w:r>
      <w:r>
        <w:rPr>
          <w:rFonts w:ascii="Arial" w:cs="Arial" w:eastAsia="Arial" w:hAnsi="Arial"/>
          <w:sz w:val="17"/>
          <w:szCs w:val="17"/>
          <w:color w:val="auto"/>
        </w:rPr>
        <w:t>In February 2018, the FASB issued an update allowing for a one-time reclassification from accumulated other comprehensive income to retained earnings for stranded tax effects resulting from the enactment of the TCJA. With the enactment of the new federal tax rates in 2017, entities were required to adjust deferred tax assets and liabilities to reflect the lower federal rate with the effect of this reduction impacting income from continuing operations in the period of enactment, even in instances where the related income tax effects of items were originally recognized in other comprehensive income. As such, companies were left with stranded tax effects in accumulated other comprehensive income that did not reflect the appropriate tax rate. This guidance is effective in the first quarter of 2019 with early adoption permitted. The Company elected to early adopt this guidance in the first quarter of 2018 which resulted in a reduction of $5.7 million to Accumulated Other Comprehensive Loss and a corresponding increase to Retained Earnings for the reclassification of the stranded income tax effects.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Improving the Presentation of Net Periodic Pension Cost and Net Periodic Postretirement Benefit Cost. </w:t>
      </w:r>
      <w:r>
        <w:rPr>
          <w:rFonts w:ascii="Arial" w:cs="Arial" w:eastAsia="Arial" w:hAnsi="Arial"/>
          <w:sz w:val="17"/>
          <w:szCs w:val="17"/>
          <w:color w:val="auto"/>
        </w:rPr>
        <w:t>In March 2017, the FASB issued an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update to improve the presentation of net periodic pension and postretirement benefit costs. Under the guidance, an entity is required to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on a prospective basis. The other components of net periodic expense must be presented separately from the line item that includes the service cost and must be excluded from the operating income subtotal. The Company adopted the guidance in the first quarter of 2018 and retrospectively adjusted the presentation of the service cost component and the other components of net periodic costs in the Consolidated Statement of Income. The retrospective adjustments for the quarter and nine months ended September 30, 2017, were as follows: Operating and Maintenance increased $1.1 million and $3.2 million, respectively, Cost of Sales – Non-utility decreased $0.1 million and $0.2 million, respectively, resulting in an increase of $1.0 million and $3.0 million, respectively to Other Income (Expense) – Other. There was no impact to net income as a result of adoption.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 In 2016, the FASB issued an accounting standard update which requires entities to measure equity investments at fair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any changes in fair value in net income unless the investments qualify for the practicability exception. The practicability exception will be available for equity investments that do not have readily determinable fair values. The update was adopted by the Company in the first quarter of 2018 which resulted in a cumulative-effect transition adjustment reducing Retained Earnings by $0.1 million, including the tax effect, for the previously unrealized loss on available-for-sale equity securities in Accumulated Other Comprehensive Loss as of December 31, 2017.</w:t>
      </w:r>
    </w:p>
    <w:p>
      <w:pPr>
        <w:spacing w:after="0" w:line="17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Classification of Certain Cash Receipts and Cash Payments. </w:t>
      </w:r>
      <w:r>
        <w:rPr>
          <w:rFonts w:ascii="Arial" w:cs="Arial" w:eastAsia="Arial" w:hAnsi="Arial"/>
          <w:sz w:val="17"/>
          <w:szCs w:val="17"/>
          <w:color w:val="auto"/>
        </w:rPr>
        <w:t>In 2016, the FASB issued an accounting standard update which addressed the following eight</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cash flow issues: debt prepayment or debt extinguishment costs; settlement of zero</w:t>
      </w:r>
      <w:r>
        <w:rPr>
          <w:rFonts w:ascii="MS PGothic" w:cs="MS PGothic" w:eastAsia="MS PGothic" w:hAnsi="MS PGothic"/>
          <w:sz w:val="17"/>
          <w:szCs w:val="17"/>
          <w:color w:val="auto"/>
        </w:rPr>
        <w:t>‑</w:t>
      </w:r>
      <w:r>
        <w:rPr>
          <w:rFonts w:ascii="Arial" w:cs="Arial" w:eastAsia="Arial" w:hAnsi="Arial"/>
          <w:sz w:val="17"/>
          <w:szCs w:val="17"/>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of this update were adopted by the Company in the first quarter of 2018. There was no impact to the Consolidated Statement of Cash Flows as a result of adoption.</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Statement of Cash Flows: Restricted Cash. </w:t>
      </w:r>
      <w:r>
        <w:rPr>
          <w:rFonts w:ascii="Arial" w:cs="Arial" w:eastAsia="Arial" w:hAnsi="Arial"/>
          <w:sz w:val="16"/>
          <w:szCs w:val="16"/>
          <w:color w:val="auto"/>
        </w:rPr>
        <w:t>In 2016, the FASB issued an accounting standard update related to the presentation of restricted cash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guidance update was adopted by the Company in the first quarter of 2018 and was applied retrospectively to the periods presented in the Consolidated Statement of Cash Flows which resulted in a net increase in cash from financing activities of $4.3 million for the nine months ended September 30, 2017. Additional disclosure, including a reconciliation of the beginning-of-period and end-of-period cash on hand to the statement of cash flows, is included in this note. (See </w:t>
      </w:r>
      <w:r>
        <w:rPr>
          <w:rFonts w:ascii="Arial" w:cs="Arial" w:eastAsia="Arial" w:hAnsi="Arial"/>
          <w:sz w:val="16"/>
          <w:szCs w:val="16"/>
          <w:i w:val="1"/>
          <w:iCs w:val="1"/>
          <w:color w:val="auto"/>
        </w:rPr>
        <w:t>Cash, Cash Equivalents and Restricted Cash</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2014, the FASB issued amended revenue recognition guidance that clarifies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to in exchange for those goods or services. The guidance requires expanded disclosures relating to the nature, amount, timing, and uncertainty of revenue and cash flows arising from contracts with customers. Additionally, qualitative and quantitative disclosures regarding customer contracts, significant judgments and changes in those judgments, and the assets recognized from the costs to obtain or fulfill a contract are required. The Company adopted this accounting guidance in the first quarter of 2018 and elected to apply the modified retrospective method of adoption to all contracts as of the date of initial application. The financial impact to the consolidated financial statements as a result of adoption of the new standard is immaterial. Based on the nature of the contracts with our customers and our related performance obligations which transfer control, a $0.5 million after-tax cumulative</w:t>
      </w:r>
      <w:r>
        <w:rPr>
          <w:rFonts w:ascii="MS PGothic" w:cs="MS PGothic" w:eastAsia="MS PGothic" w:hAnsi="MS PGothic"/>
          <w:sz w:val="17"/>
          <w:szCs w:val="17"/>
          <w:color w:val="auto"/>
        </w:rPr>
        <w:t>‑</w:t>
      </w:r>
      <w:r>
        <w:rPr>
          <w:rFonts w:ascii="Arial" w:cs="Arial" w:eastAsia="Arial" w:hAnsi="Arial"/>
          <w:sz w:val="17"/>
          <w:szCs w:val="17"/>
          <w:color w:val="auto"/>
        </w:rPr>
        <w:t xml:space="preserve">effect transition adjustment was made to increase the opening balance of Retained Earnings. We have included additional disclosures in the notes to the consolidated financial statements including additional information on the Company’s revenue streams and related performance obligations required to be satisfied in order to recognize revenue. (See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practical expedients were used by the Company as part of the adoption of the new revenue recognition guidance:</w:t>
      </w:r>
    </w:p>
    <w:p>
      <w:pPr>
        <w:spacing w:after="0" w:line="23"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have a right to consideration from our customers in an amount that corresponds directly with the value to such customer for performance completed to date; therefore, we may recognize revenue in the amount to which we have a right to invoice.</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as at contract inception we expect that the period between when we transfer a promised good or service to a customer and when the customer pays for that good or service will be one year or less.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applicable, we adopted this guidance using the portfolio approach in which contracts that have similar characteristics were reviewed as a portfolio. The effects on the financial statements of applying this guidance to the portfolio would not differ materially from applying the guidance to each individual contract.</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 the incremental costs of obtaining a contract as an expense when incurred if the amortization period of the asset that would otherwise have been recognized is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Simplifying the Test for Goodwill Impairmen</w:t>
      </w:r>
      <w:r>
        <w:rPr>
          <w:rFonts w:ascii="Arial" w:cs="Arial" w:eastAsia="Arial" w:hAnsi="Arial"/>
          <w:sz w:val="18"/>
          <w:szCs w:val="18"/>
          <w:color w:val="auto"/>
        </w:rPr>
        <w:t>t. 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2016, the FASB issued an accounting standard update which revises the existing guidance for leases. Under the revised guidance, lessees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new guidance. As of September 30, 2018, the Company has reviewed substantially all of its leases for its regulated businesses, completing the preliminary evaluations of the impact of this guidance. Our review and analysis of the Company’s energy infrastructure and related services and corporate and other businesses is nearly complete as well. Based on our preliminary assessment, we expect to recognize right-of-use assets and lease liabilities of approximately $65 million at adoption, which represents the discounted future minimum operating lease payments. The Company plans to adopt and implement the new guidance, utilizing the additional optional transition method and package of practical expedients, by recognizing a cumulative effect adjustment to retained earnings on the Consolidated Balance Sheet, if necessary, in the period of adoption. Management continues to evaluate the need for additional qualitative and quantitative disclosures to meet the requirements of the new standard following adoption. The revised guidance is effective for the Company beginning in the first quarter of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Under SEC Staff Accounting Bulletin 118 (SAB 118), which was issued in December 2017, companies are allowed up to one year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the required analyses and accounting for the TCJA. SAB 118 requires companies to disclose which tax positions are considered complete, which tax positions are considered provisional and which tax provisions reflect prior law. At December 31, 2017, we were reasonably able to estimate the effects of the TCJA, and therefore recorded provisional amounts associated with the changes under the TCJA. The provisional amounts incorporated assumptions made based upon the Company’s interpretation of the TCJA. On August 21, 2018, the Internal Revenue Service provided initial guidance for handling changes surrounding the executive compensation deduction, which resulted in recording additional income tax expense of $0.9 million in the third quarter of 2018. The full-year additional income tax expense related to this guidance is expected to be $1.1 million. As the Company receives additional clarification and implementation guidance, any additional adjustments would be included in income from operations as an adjustment to income tax expense. The accounting for the TCJA is still considered provisional while we complete our analysis.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color w:val="auto"/>
        </w:rPr>
        <w:t>In the third quarter of 2018, we recognized a $4.4 million reduction in revenue for MISO rates that were billed in 2017</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expected to be credited to customers in 2019. We have evaluated the effect of this out-of-period adjustment on the quarter and nine months ended September 30, 2018, as well as on the previous interim and annual periods in which they should have been recognized, and concluded that this adjustment is not material to any of the periods affected.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September 30, 2018,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21.0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54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310"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2018, the aggregate amount of available-for-sale corporate and governmental debt securities maturing in one year or less was $1.8 million, in one year to less than three years was $3.5 million, in three years to less than five years was $1.9 million and in five or more years was $1.1 million.</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We account for our available-for-sale securities portfolio in accordance with the guidance for certain investments in debt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Our available-for-sale securities portfolio consisted primarily of securities held in other postretirement plans to fund employee benefits. Gross realized and unrealized gains and losses on our available-for-sale securities were immaterial for the quarter and nine months ended September 30, 2018, and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acquisition is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 was not significant to the results of the Company for the nine months ended September 30, 2018, and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Tonka Water. </w:t>
      </w:r>
      <w:r>
        <w:rPr>
          <w:rFonts w:ascii="Arial" w:cs="Arial" w:eastAsia="Arial" w:hAnsi="Arial"/>
          <w:sz w:val="18"/>
          <w:szCs w:val="18"/>
          <w:color w:val="auto"/>
        </w:rPr>
        <w:t>In September 2017, U.S. Water Services acquired 100 percent of Tonka Water. Total consideration for the transaction was $19.2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working capital adjustment. Consideration of $19.0 million was paid in cash on the acquisition date and a working capital adjustment of $0.2 million was paid in the fourth quarter of 2017. Tonka Water is a supplier of municipal and industrial water treatment systems that expands U.S. Water Services’ geographic and customer markets.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104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2018, is reflected in the following table.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6"/>
                <w:szCs w:val="16"/>
                <w:i w:val="1"/>
                <w:iCs w:val="1"/>
                <w:color w:val="auto"/>
              </w:rPr>
              <w:t>(a)</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6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Liabilities Assumed</w:t>
            </w:r>
          </w:p>
        </w:tc>
        <w:tc>
          <w:tcPr>
            <w:tcW w:w="4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Identifiable Assets Acquired</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0"/>
        </w:trPr>
        <w:tc>
          <w:tcPr>
            <w:tcW w:w="684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Recognized goodwill is attributable to the assembled workforce and anticipated synergies. For tax purposes, the purchase price allocation resulted in $4.1 million of deductible goodwill.</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2017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carrying amount of goodwill was $148.5 million as of September 30, 2018, and $148.3 million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Balances of intangible assets, net, excluding goodwill as of September 30, 2018,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300" w:type="dxa"/>
            <w:vAlign w:val="bottom"/>
          </w:tcPr>
          <w:p>
            <w:pPr>
              <w:spacing w:after="0"/>
              <w:rPr>
                <w:sz w:val="20"/>
                <w:szCs w:val="20"/>
                <w:color w:val="auto"/>
              </w:rPr>
            </w:pPr>
          </w:p>
        </w:tc>
        <w:tc>
          <w:tcPr>
            <w:tcW w:w="2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Additions</w:t>
            </w: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Amortization</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3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2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$54.7</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3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61.0</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2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4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$77.6</w:t>
            </w:r>
          </w:p>
        </w:tc>
        <w:tc>
          <w:tcPr>
            <w:tcW w:w="1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$2.7</w:t>
            </w: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43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land easements and trade names with finite lives.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19 years, and developed technology and other have remaining useful lives ranging from less than 1 year to approximately 10 years (weighted average of approximately 6 years). The weighted average remaining useful life of all definite-lived intangible assets as of September 30, 2018, is approximately 18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4. GOODWILL AND INTANGIBLE ASSETS (Continued)</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Amortization expense for intangible assets was $1.4 million and $4.1 million for the quarter and nine months ended September 30, 2018, respectively ($1.3 million and $4.1 million for the quarter and nine months ended September 30, 2017, respectively). Accumulated amortization was $18.9 million as of September 30, 2018 ($14.8 million as of December 31, 2017). The estimated amortization expense for definite-lived intangible assets for the remainder of 2018 is $1.5 million. Estimated annual amortization expense for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is $5.3 million in 2019, $4.9 million in 2020, $4.9 million in 2021, $4.6 million in 2022 and $38.4 million thereafter.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2017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2018, and December 31, 2017.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446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September 30, 2018</w:t>
            </w:r>
          </w:p>
        </w:tc>
        <w:tc>
          <w:tcPr>
            <w:tcW w:w="78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$8.3</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$14.2</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$8.3</w:t>
            </w: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1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(b)</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6"/>
                <w:szCs w:val="16"/>
                <w:i w:val="1"/>
                <w:iCs w:val="1"/>
                <w:color w:val="auto"/>
              </w:rPr>
              <w:t>(c)</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6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$14.2</w:t>
            </w:r>
          </w:p>
        </w:tc>
        <w:tc>
          <w:tcPr>
            <w:tcW w:w="11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$(12.2)</w:t>
            </w:r>
          </w:p>
        </w:tc>
        <w:tc>
          <w:tcPr>
            <w:tcW w:w="12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$(5.7)</w:t>
            </w: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7"/>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104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9"/>
        </w:trPr>
        <w:tc>
          <w:tcPr>
            <w:tcW w:w="6160" w:type="dxa"/>
            <w:vAlign w:val="bottom"/>
          </w:tcPr>
          <w:p>
            <w:pPr>
              <w:spacing w:after="0"/>
              <w:rPr>
                <w:sz w:val="24"/>
                <w:szCs w:val="24"/>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2017</w:t>
            </w:r>
          </w:p>
        </w:tc>
        <w:tc>
          <w:tcPr>
            <w:tcW w:w="800" w:type="dxa"/>
            <w:vAlign w:val="bottom"/>
          </w:tcPr>
          <w:p>
            <w:pPr>
              <w:spacing w:after="0"/>
              <w:rPr>
                <w:sz w:val="24"/>
                <w:szCs w:val="24"/>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$(9.3)</w:t>
            </w:r>
          </w:p>
        </w:tc>
        <w:tc>
          <w:tcPr>
            <w:tcW w:w="13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$(5.4)</w:t>
            </w: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7"/>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3 liability in the preceding tables is the result of the 2015 acquisition of U.S. Water Services. Changes in the U.S. Water Services Contingent Consideration can result from modifications to the shareholder agreement, changes in discount rates, timing of milestones that trigger payment, or the timing and amount of earnings estimates. The following table provides a reconciliation of the beginning and ending balances of the U.S. Water Services Contingent Consideration measured at fair value using Level 3 measurements as of September 30, 2018. Management analyzes the fair value of the contingent liability on a quarterly basis and makes adjustments as appropriate.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4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66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67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4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670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2018, and the year ended December 31, 2017, there were no transfers in or out of Levels 1, 2 or 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September 30, 2018</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$1,527.9</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$1,557.6</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2017</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$1,513.3</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$1,627.6</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land inventory, and property, plant and equipment are measured at fair value when there is an indicator of impairment and recorded at fair value only when an impairment is recognized. For the quarter and nine months ended September 30, 2018, and the year ended December 31, 2017, there were no triggering events or indicators of impairment for these non-financial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104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Regulatory matters are summarized in Note 4. Regulatory Matters to our Consolidated Financial Statements in our 2017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MPUC, Minnesota Power also recognizes revenue under cost recovery riders for transmission, renewable, and environmental investments and expenditures. (See </w:t>
      </w:r>
      <w:r>
        <w:rPr>
          <w:rFonts w:ascii="Arial" w:cs="Arial" w:eastAsia="Arial" w:hAnsi="Arial"/>
          <w:sz w:val="18"/>
          <w:szCs w:val="18"/>
          <w:i w:val="1"/>
          <w:iCs w:val="1"/>
          <w:color w:val="auto"/>
        </w:rPr>
        <w:t>Transmission Cost Recovery Rider, Renewable Cost Recovery Rider</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Revenue from cost recovery riders was $29.1 million and $81.2 million for the quarter and nine months ended September 30, 2018, respectively ($23.1 million and $71.7 million for the quarter and nine months ended September 30, 2017, respectively).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in January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Minnesota Power filed an additional request to further reduce its requested interim rate increase. In an April 2017 order, the MPUC approved Minnesota Power’s updated retail rate request resulting in a reduction in the annual interim rate increase to $32.2 million beginning in May 2017. As a result of working with intervenors and further developments as the rate review progressed, Minnesota Power’s final rate request was adjusted to approximately $49 million on an annualized basis. In an order dated March 12, 2018, the MPUC affirmed determinations made at a hearing on January 18, 2018,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are fully offset by the recognition of a corresponding reserve. Minnesota Power has recorded a reserve for an interim rate refund of $57.5 million as of September 30, 2018 ($32.3 million as of December 31, 2017). The MPUC also disallowed Minnesota Power’s regulatory asset for deferred fuel adjustment clause costs due to the anticipated adoption of a forward-looking fuel adjustment clause methodology resulting in a $19.5 million pre-tax charge to Fuel, Purchased Power and Gas – Utility in the fourth quarter of 2017.</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in the fourth quarter of 2017.</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 2018, Minnesota Power filed a petition with the MPUC requesting reconsideration of certain decisions in the MPUC’s order dated March 12, 2018, collectively representing approximately $20 million to $25 million in additional revenue on an annualized basis. Minnesota Power’s petition included requesting reconsideration of the allowed return on common equity, recovery of the prepaid pension asset in rate base, certain disallowed expenses, and certain transmission revenue adjustments.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Energy-Intensive Trade-Exposed Customer Rates. </w:t>
      </w:r>
      <w:r>
        <w:rPr>
          <w:rFonts w:ascii="Arial" w:cs="Arial" w:eastAsia="Arial" w:hAnsi="Arial"/>
          <w:sz w:val="18"/>
          <w:szCs w:val="18"/>
          <w:color w:val="auto"/>
        </w:rPr>
        <w:t>An EITE customer ratemaking law was enacted in 2015, which established a Minnesota energy policy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April 2017 order; collection of the discount was subject to the MPUC’s review of Minnesota Power’s compliance filing implementing approval of a recovery mechanism, with the subsequent order issued in October 2017 that modified the April 2017 order. During 2017, Minnesota Power provided discounts of $8.6 million that were recorded as a regulatory asset.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10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2017, Minnesota Power informed its EITE customers that it had suspended the EITE discount due to a concern that it was not revenue and cash flow neutral to Minnesota Power based on an MPUC decision at a hearing in September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discounts provided to EITE customers will offset interim rate refund reserves for non-EITE customers. Minnesota Power provided $4.1 million and $12.2 million of discounts to EITE customers during the quarter and nine months ended September 30, 2018, respectively ($2.7 million and $8.6 million for the quarter and nine months ended September 30, 2017, respectively).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contracts with SWL&amp;P and another municipal customer are effective through at least November 30, 2021, and through June 30, 2019, respectively. Under the agreement with SWL&amp;P, no termination notice has been given. The other municipal customer provided termination notice for its contract in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contracts with 14 municipal customers are effective through varying dates ranging from 2024 through 2029. No termination notices may be given prior to three years before maturity. These contracts include fixed capacity charges through 2018; beginning in 2019, the capacity charge will be determined using a cost-based formula methodology with limits on the annual change from the previous year’s capacity charge.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for certain transmission investments and expenditures. In a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order, the MPUC approved Minnesota Power’s updated customer billing rates allowing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bill factor filings.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for investments and expenditures related to Bison. The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rider allows Minnesota Power to charge retail customers on a current basis for the costs of certain renewable investments plus a return on the capital invested. Updated customer billing rates for the renewable cost recovery rider were provisionally approved by the MPUC in an order dated July 30, 2018, subject to further review by the MPUC.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December 2017 order, the MPUC modified a November 2016 order to allow Minnesota Power to account for North Dakota investment tax credits based on the long-standing regulatory precedents of stand-alone allocation methodology of accounting for income taxes. As a result of the favorable regulatory outcome, Minnesota Power recorded a reduction in its regulatory liability and an increase in Operating Revenue of $14.3 million in the third quarter of 2017. The North Dakota investment tax credits previously recorded were reestablished as income tax credits in Corporate and Other, resulting in a $7.9 million increase to net income in the third quarter of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10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Minnesota Power has an approved environmental improvement rider for investments and expenditures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of the Boswell Unit 4 mercury emissions reduction plan completed in 2015. Updated customer billing rates for the environmental improvement rider were provisionally approved by the MPUC in an order dated June 20, 2018, subject to further review by the MPUC.</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Adjustment Clause Reform</w:t>
      </w:r>
      <w:r>
        <w:rPr>
          <w:rFonts w:ascii="Arial" w:cs="Arial" w:eastAsia="Arial" w:hAnsi="Arial"/>
          <w:sz w:val="18"/>
          <w:szCs w:val="18"/>
          <w:color w:val="auto"/>
        </w:rPr>
        <w:t>. In a December 2017 order, the MPUC adopted a program to implement certain procedural reforms to the Minnesota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fuel adjustment clause (FAC) for fuel and purchased power. The order will change the method of accounting for all Minnesota electric utilities to a monthly budgeted, forward-looking FAC with an annual prudence review and true-up to actual allowed costs. The MPUC is seeking input from Minnesota electric utilities and other stakeholders on the implementation and transition accounting needed to adopt the change. At a hearing on September 20, 2018, the MPUC deferred the implementation date to January 1,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Tax Cuts and Jobs Act of 2017</w:t>
      </w:r>
      <w:r>
        <w:rPr>
          <w:rFonts w:ascii="Arial" w:cs="Arial" w:eastAsia="Arial" w:hAnsi="Arial"/>
          <w:sz w:val="18"/>
          <w:szCs w:val="18"/>
          <w:color w:val="auto"/>
        </w:rPr>
        <w:t>. In December 2017, the MPUC opened a docket to review the effects of the TCJA on electric and natural gas rates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including the legislation’s impact on tax rates and utilities’ deferred income tax assets and liabilities. On March 2, 2018, Minnesota Power submitted an initial filing to the MPUC regarding the impacts of the TCJA on Minnesota Power. As part of Minnesota Power’s rate case, in an order dated May 29, 2018, the MPUC directed Minnesota Power to utilize the benefits of the lower federal income tax rate enacted as part of the TCJA to offset an increase in depreciation expense, effective January 1, 2018, resulting from the reduction in the depreciable lives of Boswell Unit 3, Unit 4 and common facilities to 2035 that would have otherwise resulted in an increase in customer rates. The impact of the TCJA on Minnesota Power’s deferred income tax assets and liabilities was not addressed in the rate case order.</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 hearing on August 9, 2018, the MPUC determined the regulatory treatment for the impact of the TCJA on Minnesota Power’s deferred income tax assets and liabilities. The MPUC authorized Minnesota Power to amortize the income tax benefits from the remeasurement of deferred income tax assets and liabilities resulting from the TCJA primarily over the life of the related property, plant and equipment with the remainder amortized over a 10 year period. The MPUC directed Minnesota Power to begin refunding these income tax benefits as a monthly bill credit at the same time it implements final rates in its 2016 general rate case. Additionally, Minnesota Power customers will receive a one-time bill credit in 2019 for the income tax benefits amortized from January 1, 2018, through the date when final rates become effective.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On January 10, 2018, the PSCW opened a docket to review the effects of the TCJA and directed Wisconsin utilities to defer its impacts until further direction was provided by the PSCW. On February 9, 2018, SWL&amp;P filed comments with the PSCW regarding the impacts of the TCJA on SWL&amp;P. In this filing, SWL&amp;P proposed deferring the benefits of the TCJA and incorporating any deferred refunds or credits into its next general rate case. In an order dated May 24, 2018, the PSCW directed SWL&amp;P to refund the benefits of the lower federal income tax rates enacted as part of the TCJA on customer bills beginning in July 2018. Any changes in deferred income taxes will be adjusted as part of SWL&amp;P’s rate filing. (See </w:t>
      </w:r>
      <w:r>
        <w:rPr>
          <w:rFonts w:ascii="Arial" w:cs="Arial" w:eastAsia="Arial" w:hAnsi="Arial"/>
          <w:sz w:val="16"/>
          <w:szCs w:val="16"/>
          <w:i w:val="1"/>
          <w:iCs w:val="1"/>
          <w:color w:val="auto"/>
        </w:rPr>
        <w:t>2018 Wisconsin General Rate Case.</w:t>
      </w:r>
      <w:r>
        <w:rPr>
          <w:rFonts w:ascii="Arial" w:cs="Arial" w:eastAsia="Arial" w:hAnsi="Arial"/>
          <w:sz w:val="16"/>
          <w:szCs w:val="16"/>
          <w:color w:val="auto"/>
        </w:rPr>
        <w: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August 2017 that allows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 On an annualized basis, SWL&amp;P expects to collect additional revenue of $2.5 million under the 2017 PSCW retail rate order.</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2018 Wisconsin General Rate Case. </w:t>
      </w:r>
      <w:r>
        <w:rPr>
          <w:rFonts w:ascii="Arial" w:cs="Arial" w:eastAsia="Arial" w:hAnsi="Arial"/>
          <w:sz w:val="16"/>
          <w:szCs w:val="16"/>
          <w:color w:val="auto"/>
        </w:rPr>
        <w:t>On May 25, 2018, SWL&amp;P filed a rate increase request with the PSCW requesting an average increase of 2.7 percent for</w:t>
      </w:r>
      <w:r>
        <w:rPr>
          <w:rFonts w:ascii="Arial" w:cs="Arial" w:eastAsia="Arial" w:hAnsi="Arial"/>
          <w:sz w:val="16"/>
          <w:szCs w:val="16"/>
          <w:i w:val="1"/>
          <w:iCs w:val="1"/>
          <w:color w:val="auto"/>
        </w:rPr>
        <w:t xml:space="preserve"> </w:t>
      </w:r>
      <w:r>
        <w:rPr>
          <w:rFonts w:ascii="Arial" w:cs="Arial" w:eastAsia="Arial" w:hAnsi="Arial"/>
          <w:sz w:val="16"/>
          <w:szCs w:val="16"/>
          <w:color w:val="auto"/>
        </w:rPr>
        <w:t>retail customers (2.0 percent increase in electric rates; 2.3 percent increase in natural gas rates; and 8.3 percent increase in water rates). The filing seeks an overall return on equity of 10.5 percent and a 55.41 percent equity ratio. On an annualized basis, the filing requested additional revenue of approximately $2.4 million. SWL&amp;P anticipates new rates will go into effect in the first quarter of 2019. We cannot predict the level of rates that may be approved by the PSCW.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0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2015, Minnesota Power filed its 2015 IRP with the MPUC, which included an analysis of a variety of existing and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energy resource alternatives and a projection of customer cost impact by class. The 2015 IRP also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the next decade.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2016, Minnesota Power announced Boswell Units 1 and 2 will be retired, which is expected to occur in the fourth quarter of 2018.</w:t>
      </w:r>
    </w:p>
    <w:p>
      <w:pPr>
        <w:spacing w:after="0" w:line="16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July 2017, Minnesota Power submitted a resource package to the MPUC requesting approval of PPAs for the output of a 250 MW wind energy facility and a 10 MW solar energy facility as well as approval of a 250 MW natural gas energy PPA. These agreements are subject to MPUC approval of the construction of NTEC, a 525 MW to 550 MW combined-cycle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 September 2017 order, the MPUC approved Minnesota Power’s request that approval for the natural gas energy PPA be decided through a contested case process. On July 2, 2018, an administrative law judge issued a recommendation that the MPUC deny approval of the NTEC agreements; the recommendation is not binding on the MPUC. On July 23, 2018, Minnesota Power filed exceptions to the administrative law judge’s recommendation. At a hearing on October 29, 2018, the MPUC approved Minnesota Power’s request for approval of the NTEC agreements. Separately, the MPUC required a baseload retirement evaluation in Minnesota Power’s next IRP filing analyzing its existing fleet including potential early retirement scenarios of Boswell Units 3 and 4, including a securitization plan. The MPUC also approved Minnesota Power’s request to extend the next IRP filing deadline until October 1, 2020.</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18, 2018, Minnesota Power filed a separate petition for approval of the PPA for the output of the 10 MW solar energy facility to be located in central Minnesota, which was approved by the MPUC in an order dated October 2, 2018. On August 22, 2018, Minnesota Power filed a separate petition for approval of an amended PPA for the output of the 250 MW wind energy facility to be located in southwestern Minnesota.</w:t>
      </w:r>
    </w:p>
    <w:p>
      <w:pPr>
        <w:spacing w:after="0" w:line="17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is constructing the GNTL, an approximately 220-mile 500-kV transmission line between Manitoba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Minnesota’s Iron Range that was proposed by Minnesota Power and Manitoba Hydro. 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$314.9 million have been incurred through September 30, 2018, of which $163.3 million has been recovered from a subsidiary of Manitoba Hydro.</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held public hearings in June 2018. The NEB is required to make a decision on the MMTP by March 2019, but is not precluded from making a decision prior to that date. Approval of the Canadian federal cabinet is also required.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Northern Transmission Line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by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Minnesota requires electric utilities to spend a minimum of 1.5 percent of gross operating revenues,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received from exempt customers, from service provided in the state on energy CIPs each year. On April 2, 2018, Minnesota Power submitted its 2017 CIP consolidated filing, which detailed Minnesota Power’s CIP program results and requested a CIP financial incentive of $3.0 million based upon MPUC procedures. In an order dated September 4, 2018, the MPUC approved Minnesota Power’s CIP consolidated filing, including the requested CIP financial incentive which was recorded as revenue and as a regulatory asset in the third quarter of 2018. In 2017, the CIP financial incentive of $5.5 million was recognized in the second quarter upon approval by the MPUC of Minnesota Power’s 2016 CIP consolidated filing in a June 2017 order. CIP financial incentives are recognized in the period in which the MPUC approves the filing.</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MISO Return on Equity Complaint. </w:t>
      </w:r>
      <w:r>
        <w:rPr>
          <w:rFonts w:ascii="Arial" w:cs="Arial" w:eastAsia="Arial" w:hAnsi="Arial"/>
          <w:sz w:val="18"/>
          <w:szCs w:val="18"/>
          <w:color w:val="auto"/>
        </w:rPr>
        <w:t>MISO transmission owners, including ALLETE and ATC, have an authorized return on equity of 10.32 percent, or</w:t>
      </w:r>
      <w:r>
        <w:rPr>
          <w:rFonts w:ascii="Arial" w:cs="Arial" w:eastAsia="Arial" w:hAnsi="Arial"/>
          <w:sz w:val="18"/>
          <w:szCs w:val="18"/>
          <w:b w:val="1"/>
          <w:bCs w:val="1"/>
          <w:color w:val="auto"/>
        </w:rPr>
        <w:t xml:space="preserve"> </w:t>
      </w:r>
      <w:r>
        <w:rPr>
          <w:rFonts w:ascii="Arial" w:cs="Arial" w:eastAsia="Arial" w:hAnsi="Arial"/>
          <w:sz w:val="18"/>
          <w:szCs w:val="18"/>
          <w:color w:val="auto"/>
        </w:rPr>
        <w:t>10.82 percent including an incentive adder for participation in a regional transmission organization.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which is not expected to have a material impact on our Consolidated Financial Statements.</w:t>
      </w:r>
    </w:p>
    <w:p>
      <w:pPr>
        <w:spacing w:after="0" w:line="14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Minnesota law requires at least 1.5 percent of total retail electric sales, excluding sales to certain customers, to be</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In a 2016 order,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2016 order, the MPUC approved a community solar garden project in northeastern Minnesota, which is comprised of a 1 MW solar array owned and operated by a third party with the output purchased by Minnesota Power and a 40 kW solar array that is owned and operated by Minnesota Power. In an order dated October 2, 2018, the MPUC approved a PPA for the output of the 10 MW Blanchard solar energy facility to be located in central Minnesota. Minnesota Power believes Camp Ripley, the community solar garden arrays, and the PPA for the output of the 10 MW Blanchard solar energy facility will meet approximately two</w:t>
      </w:r>
      <w:r>
        <w:rPr>
          <w:rFonts w:ascii="MS PGothic" w:cs="MS PGothic" w:eastAsia="MS PGothic" w:hAnsi="MS PGothic"/>
          <w:sz w:val="17"/>
          <w:szCs w:val="17"/>
          <w:color w:val="auto"/>
        </w:rPr>
        <w:t>‑</w:t>
      </w:r>
      <w:r>
        <w:rPr>
          <w:rFonts w:ascii="Arial" w:cs="Arial" w:eastAsia="Arial" w:hAnsi="Arial"/>
          <w:sz w:val="17"/>
          <w:szCs w:val="17"/>
          <w:color w:val="auto"/>
        </w:rPr>
        <w:t>thirds of the overall mandate. Additionally, in a February 2017 order, the MPUC approved Minnesota Power’s proposal to increase the amount of solar rebates available for customer-sited solar installations and recover costs of the program through Minnesota Power’s renewable cost recovery rider. The proposal to incentivize customer</w:t>
      </w:r>
      <w:r>
        <w:rPr>
          <w:rFonts w:ascii="MS PGothic" w:cs="MS PGothic" w:eastAsia="MS PGothic" w:hAnsi="MS PGothic"/>
          <w:sz w:val="17"/>
          <w:szCs w:val="17"/>
          <w:color w:val="auto"/>
        </w:rPr>
        <w:t>‑</w:t>
      </w:r>
      <w:r>
        <w:rPr>
          <w:rFonts w:ascii="Arial" w:cs="Arial" w:eastAsia="Arial" w:hAnsi="Arial"/>
          <w:sz w:val="17"/>
          <w:szCs w:val="17"/>
          <w:color w:val="auto"/>
        </w:rPr>
        <w:t>sited solar installations and community solar garden subscriptions is expected to meet a portion of the required small scale solar mandate.</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04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1"/>
        </w:trPr>
        <w:tc>
          <w:tcPr>
            <w:tcW w:w="6640" w:type="dxa"/>
            <w:vAlign w:val="bottom"/>
          </w:tcPr>
          <w:p>
            <w:pPr>
              <w:spacing w:after="0"/>
              <w:rPr>
                <w:sz w:val="24"/>
                <w:szCs w:val="24"/>
                <w:color w:val="auto"/>
              </w:rPr>
            </w:pPr>
          </w:p>
        </w:tc>
        <w:tc>
          <w:tcPr>
            <w:tcW w:w="322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2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$214.0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$220.3</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107.9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31.9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Manufactured Gas Plant</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Regulatory Assets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$370.6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r>
      <w:tr>
        <w:trPr>
          <w:trHeight w:val="264"/>
        </w:trPr>
        <w:tc>
          <w:tcPr>
            <w:tcW w:w="6640" w:type="dxa"/>
            <w:vAlign w:val="bottom"/>
            <w:tcBorders>
              <w:top w:val="single" w:sz="8" w:color="auto"/>
            </w:tcBorders>
          </w:tcPr>
          <w:p>
            <w:pPr>
              <w:spacing w:after="0"/>
              <w:rPr>
                <w:sz w:val="22"/>
                <w:szCs w:val="22"/>
                <w:color w:val="auto"/>
              </w:rPr>
            </w:pPr>
          </w:p>
        </w:tc>
        <w:tc>
          <w:tcPr>
            <w:tcW w:w="3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$36.7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Transmission Formula Rates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Liabilities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398.1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62.0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North Dakota Investment Tax Credits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14.6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Recovery Riders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Conservation Improvement Program</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512.3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Liabilities</w:t>
            </w:r>
          </w:p>
        </w:tc>
        <w:tc>
          <w:tcPr>
            <w:tcW w:w="3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$562.6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$532.0</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189" w:lineRule="exact"/>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is expected to be refunded to Minnesota Power’s regulated retail customers in the first quarter of 2019 and includes $20.8 million of discounts provided to EITE customers as of September 30, 2018, that will be offset against interim rate refunds ($8.6 million as of December 31, 2017). (See 2016 Minnesota General Rate Case and Energy-Intensive Trade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Exposed Customer Rates.)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is expected to be refunded to Minnesota Power customers in the first quarter of 2019 and SWL&amp;P customers in 2019 pending the outcome of SWL&amp;P’s rate filing with the PSCW. (See Tax Cuts and Jobs Act of 2017.)</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September 30, 2018, our equity investment in ATC was $126.0 million ($118.7 million at December 31, 2017). In the first nine months of 2018, we invested $5.0 million in ATC, and on October 31, 2018, we invested an additional $1.2 million. We expect to make no additional investments in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2017</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Amortization of the Remeasurement of Deferred Income Taxes </w:t>
            </w:r>
            <w:r>
              <w:rPr>
                <w:rFonts w:ascii="Arial" w:cs="Arial" w:eastAsia="Arial" w:hAnsi="Arial"/>
                <w:sz w:val="16"/>
                <w:szCs w:val="16"/>
                <w:i w:val="1"/>
                <w:iCs w:val="1"/>
                <w:color w:val="auto"/>
              </w:rPr>
              <w:t>(a)</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7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Balance as of September 30, 2018</w:t>
            </w:r>
          </w:p>
        </w:tc>
        <w:tc>
          <w:tcPr>
            <w:tcW w:w="3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w:t>
            </w:r>
          </w:p>
        </w:tc>
      </w:tr>
      <w:tr>
        <w:trPr>
          <w:trHeight w:val="27"/>
        </w:trPr>
        <w:tc>
          <w:tcPr>
            <w:tcW w:w="78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Amortization related to the impact of the remeasurement of deferred income tax assets and liabilities resulting from the TCJA.</w:t>
      </w:r>
    </w:p>
    <w:p>
      <w:pPr>
        <w:spacing w:after="0" w:line="239" w:lineRule="exact"/>
        <w:rPr>
          <w:rFonts w:ascii="Arial" w:cs="Arial" w:eastAsia="Arial" w:hAnsi="Arial"/>
          <w:sz w:val="16"/>
          <w:szCs w:val="16"/>
          <w:i w:val="1"/>
          <w:iCs w:val="1"/>
          <w:color w:val="auto"/>
        </w:rPr>
      </w:pPr>
    </w:p>
    <w:p>
      <w:pPr>
        <w:ind w:left="4380"/>
        <w:spacing w:after="0"/>
        <w:rPr>
          <w:rFonts w:ascii="Arial" w:cs="Arial" w:eastAsia="Arial" w:hAnsi="Arial"/>
          <w:sz w:val="16"/>
          <w:szCs w:val="16"/>
          <w:i w:val="1"/>
          <w:iCs w:val="1"/>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24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1040" w:right="239" w:bottom="242"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ATC’s authorized return on equity is 10.32 percent, or 10.82 percent including an incentive adder for participation in a regional transmission organization.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September 30, 2018, and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35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$57.0</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1,470.9</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(9.2)</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1,461.7</w:t>
            </w:r>
          </w:p>
        </w:tc>
      </w:tr>
      <w:tr>
        <w:trPr>
          <w:trHeight w:val="27"/>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$1,527.9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$1,518.3</w:t>
            </w:r>
          </w:p>
        </w:tc>
      </w:tr>
      <w:tr>
        <w:trPr>
          <w:trHeight w:val="20"/>
        </w:trPr>
        <w:tc>
          <w:tcPr>
            <w:tcW w:w="402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1,448.7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1,439.2</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$1,513.3</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$1,503.3</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pay interest semi-annually in April and October of each year, commencing on October 16, 2018. 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On October 3, 2018, and October 17, 2018, ALLETE repaid $20.0 million and $10.0 million, respectively, under an unsecured term loan due in 2020.</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2018,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2018,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4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2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5240" w:type="dxa"/>
            <w:vAlign w:val="bottom"/>
          </w:tcPr>
          <w:p>
            <w:pPr>
              <w:spacing w:after="0"/>
              <w:rPr>
                <w:sz w:val="24"/>
                <w:szCs w:val="24"/>
                <w:color w:val="auto"/>
              </w:rPr>
            </w:pPr>
          </w:p>
        </w:tc>
        <w:tc>
          <w:tcPr>
            <w:tcW w:w="36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560" w:type="dxa"/>
            <w:vAlign w:val="bottom"/>
            <w:gridSpan w:val="2"/>
          </w:tcPr>
          <w:p>
            <w:pPr>
              <w:ind w:left="52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40" w:type="dxa"/>
            <w:vAlign w:val="bottom"/>
          </w:tcPr>
          <w:p>
            <w:pPr>
              <w:spacing w:after="0"/>
              <w:rPr>
                <w:sz w:val="23"/>
                <w:szCs w:val="23"/>
                <w:color w:val="auto"/>
              </w:rPr>
            </w:pPr>
          </w:p>
        </w:tc>
        <w:tc>
          <w:tcPr>
            <w:tcW w:w="36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40" w:type="dxa"/>
            <w:vAlign w:val="bottom"/>
          </w:tcPr>
          <w:p>
            <w:pPr>
              <w:spacing w:after="0"/>
              <w:rPr>
                <w:sz w:val="23"/>
                <w:szCs w:val="23"/>
                <w:color w:val="auto"/>
              </w:rPr>
            </w:pPr>
          </w:p>
        </w:tc>
        <w:tc>
          <w:tcPr>
            <w:tcW w:w="2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5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24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4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$0.4</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5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2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44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$(16.4)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$20.3</w:t>
            </w:r>
          </w:p>
        </w:tc>
      </w:tr>
      <w:tr>
        <w:trPr>
          <w:trHeight w:val="27"/>
        </w:trPr>
        <w:tc>
          <w:tcPr>
            <w:tcW w:w="5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244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5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Expense (Benefit)</w:t>
            </w:r>
          </w:p>
        </w:tc>
        <w:tc>
          <w:tcPr>
            <w:tcW w:w="2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$14.1</w:t>
            </w:r>
          </w:p>
        </w:tc>
        <w:tc>
          <w:tcPr>
            <w:tcW w:w="1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$(9.1)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$34.3</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24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$0.4</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$14.2</w:t>
            </w:r>
          </w:p>
        </w:tc>
        <w:tc>
          <w:tcPr>
            <w:tcW w:w="14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$(8.7)</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$34.6</w:t>
            </w:r>
          </w:p>
        </w:tc>
      </w:tr>
      <w:tr>
        <w:trPr>
          <w:trHeight w:val="27"/>
        </w:trPr>
        <w:tc>
          <w:tcPr>
            <w:tcW w:w="5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right="20" w:hanging="332"/>
        <w:spacing w:after="0" w:line="292" w:lineRule="auto"/>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For the quarter and nine months ended September 30, 2018, and 2017, the federal and state current tax expense was minimal due to NOLs which resulted from the bonus depreciation provisions of the Protecting Americans from Tax Hikes Act of 2015, the Tax Increase Prevention Act of 2014 and the American Taxpayer Relief Act of 2012.</w:t>
      </w:r>
    </w:p>
    <w:p>
      <w:pPr>
        <w:ind w:left="340" w:right="20" w:hanging="332"/>
        <w:spacing w:after="0" w:line="257"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2018, the federal tax benefit is primarily due to the reduction of the federal statutory tax rate from 35 percent to 21 percent enacted as part of the TCJA and production tax credits.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4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3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6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$31.1</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$59.1</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$104.3</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$165.4</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2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$20.7</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$21.9</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$57.9</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2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260" w:type="dxa"/>
            <w:vAlign w:val="bottom"/>
          </w:tcPr>
          <w:p>
            <w:pPr>
              <w:jc w:val="right"/>
              <w:ind w:right="250"/>
              <w:spacing w:after="0"/>
              <w:rPr>
                <w:sz w:val="20"/>
                <w:szCs w:val="20"/>
                <w:color w:val="auto"/>
              </w:rPr>
            </w:pPr>
            <w:r>
              <w:rPr>
                <w:rFonts w:ascii="Arial" w:cs="Arial" w:eastAsia="Arial" w:hAnsi="Arial"/>
                <w:sz w:val="18"/>
                <w:szCs w:val="18"/>
                <w:color w:val="auto"/>
              </w:rPr>
              <w:t>(9.4)</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(33.4)</w:t>
            </w:r>
          </w:p>
        </w:tc>
      </w:tr>
      <w:tr>
        <w:trPr>
          <w:trHeight w:val="27"/>
        </w:trPr>
        <w:tc>
          <w:tcPr>
            <w:tcW w:w="5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 Excess Deferred Tax</w:t>
            </w:r>
          </w:p>
        </w:tc>
        <w:tc>
          <w:tcPr>
            <w:tcW w:w="2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(5.5)</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0.3</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56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2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$14.2</w:t>
            </w: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$(8.7)</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w:t>
            </w:r>
          </w:p>
        </w:tc>
      </w:tr>
      <w:tr>
        <w:trPr>
          <w:trHeight w:val="20"/>
        </w:trPr>
        <w:tc>
          <w:tcPr>
            <w:tcW w:w="56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2018, the effective tax rate was a benefit of 8.3 percent (expense of 20.9 percent for the nine months ended September 30, 2017). The decrease from 2017 was primarily due to the reduction of the federal income tax rate from 35 percent to 21 percent enacted as part of the TCJA and lower pre-tax income.</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2018, we had gross unrecognized tax benefits of $1.7 million ($1.7 million as of December 31, 2017).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$0.8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2015, or state examination for years before 2013.</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104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10. RECLASSIFICATIONS OUT OF ACCUMULATED OTHER COMPREHENSIVE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debt securities and defined benefit pension and other postretirement items, consisting of deferred actuarial gains or losses and prior service costs or credits.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and nine months ended September 30, 2018, and 2017, reclassifications out of accumulated other comprehensive loss for the Company were not material. Changes in accumulated other comprehensive loss for the nine months ended September 30, 2018, are presented on the Consolidated Statement of Shareholders’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and performance share awards granted under our Executive Long-Term Incentive Compensation Plan. For the quarter and nine months ended September 30, 2018, and 2017, no options to purchase shares of ALLETE common stock were excluded from the computation of diluted earnings per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Diluted</w:t>
            </w: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Basic</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$30.7</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$44.9</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51.4</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$0.59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$0.88</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$113.0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$130.8</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$2.20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$2.58</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b w:val="1"/>
                <w:bCs w:val="1"/>
                <w:color w:val="auto"/>
                <w:w w:val="91"/>
              </w:rPr>
              <w:t>Pension</w:t>
            </w:r>
          </w:p>
        </w:tc>
        <w:tc>
          <w:tcPr>
            <w:tcW w:w="900" w:type="dxa"/>
            <w:vAlign w:val="bottom"/>
          </w:tcPr>
          <w:p>
            <w:pPr>
              <w:spacing w:after="0"/>
              <w:rPr>
                <w:sz w:val="20"/>
                <w:szCs w:val="20"/>
                <w:color w:val="auto"/>
              </w:rPr>
            </w:pPr>
          </w:p>
        </w:tc>
        <w:tc>
          <w:tcPr>
            <w:tcW w:w="2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2017</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1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$2.6</w:t>
            </w:r>
          </w:p>
        </w:tc>
        <w:tc>
          <w:tcPr>
            <w:tcW w:w="14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$0.1</w:t>
            </w: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$7.7</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$3.7</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24.4</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5.4</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(31.8)</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(8.2)</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Amortization of Net Loss</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$7.7</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These components of net periodic benefit cost are included in the line item “Other” under Other Income (Expense) on the Consolidated Statement of Income.</w:t>
      </w:r>
    </w:p>
    <w:p>
      <w:pPr>
        <w:spacing w:after="0" w:line="250" w:lineRule="exact"/>
        <w:rPr>
          <w:rFonts w:ascii="Arial" w:cs="Arial" w:eastAsia="Arial" w:hAnsi="Arial"/>
          <w:sz w:val="15"/>
          <w:szCs w:val="15"/>
          <w:i w:val="1"/>
          <w:iCs w:val="1"/>
          <w:color w:val="auto"/>
        </w:rPr>
      </w:pPr>
    </w:p>
    <w:p>
      <w:pPr>
        <w:ind w:left="4380"/>
        <w:spacing w:after="0"/>
        <w:rPr>
          <w:rFonts w:ascii="Arial" w:cs="Arial" w:eastAsia="Arial" w:hAnsi="Arial"/>
          <w:sz w:val="15"/>
          <w:szCs w:val="15"/>
          <w:i w:val="1"/>
          <w:iCs w:val="1"/>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07"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1040" w:right="239" w:bottom="107"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nine months ended September 30, 2018, we contributed $15.0 million in cash to the defined benefit pension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($1.7 million in cash and $13.5 million in ALLETE common stock for the nine months ended September 30, 2017); we do not expect to make additional contributions to our defined benefit pension plans in 2018. For the nine months ended September 30, 2018, and 2017, we made no contributions to our other postretirement benefit plans; we do not expect to make any contributions to our other postretirement benefit plans in 2018.</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our Consolidated Financial Statements in our 2017 Form 10-K, with additional disclosure provided in the following paragraphs.</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w:t>
      </w:r>
      <w:r>
        <w:rPr>
          <w:rFonts w:ascii="MS PGothic" w:cs="MS PGothic" w:eastAsia="MS PGothic" w:hAnsi="MS PGothic"/>
          <w:sz w:val="17"/>
          <w:szCs w:val="17"/>
          <w:color w:val="auto"/>
        </w:rPr>
        <w:t>‑</w:t>
      </w:r>
      <w:r>
        <w:rPr>
          <w:rFonts w:ascii="Arial" w:cs="Arial" w:eastAsia="Arial" w:hAnsi="Arial"/>
          <w:sz w:val="17"/>
          <w:szCs w:val="17"/>
          <w:color w:val="auto"/>
        </w:rPr>
        <w:t xml:space="preserve">fired generating unit. Minnesota Power’s output entitlement under the Agreement is 50 percent for the remainder of the Agreement, subject to the provisions of the Minnkota Power PSA. (See </w:t>
      </w:r>
      <w:r>
        <w:rPr>
          <w:rFonts w:ascii="Arial" w:cs="Arial" w:eastAsia="Arial" w:hAnsi="Arial"/>
          <w:sz w:val="17"/>
          <w:szCs w:val="17"/>
          <w:i w:val="1"/>
          <w:iCs w:val="1"/>
          <w:color w:val="auto"/>
        </w:rPr>
        <w:t>Minnkota</w:t>
      </w:r>
      <w:r>
        <w:rPr>
          <w:rFonts w:ascii="Arial" w:cs="Arial" w:eastAsia="Arial" w:hAnsi="Arial"/>
          <w:sz w:val="17"/>
          <w:szCs w:val="17"/>
          <w:color w:val="auto"/>
        </w:rPr>
        <w:t xml:space="preserve"> </w:t>
      </w:r>
      <w:r>
        <w:rPr>
          <w:rFonts w:ascii="Arial" w:cs="Arial" w:eastAsia="Arial" w:hAnsi="Arial"/>
          <w:sz w:val="17"/>
          <w:szCs w:val="17"/>
          <w:i w:val="1"/>
          <w:iCs w:val="1"/>
          <w:color w:val="auto"/>
        </w:rPr>
        <w:t>Power PSA</w:t>
      </w:r>
      <w:r>
        <w:rPr>
          <w:rFonts w:ascii="Arial" w:cs="Arial" w:eastAsia="Arial" w:hAnsi="Arial"/>
          <w:sz w:val="17"/>
          <w:szCs w:val="17"/>
          <w:color w:val="auto"/>
        </w:rPr>
        <w:t>.) Square Butte’s costs consist primarily of debt service, operating and maintenance, depreciation and fuel expenses. As of September 30, 2018,</w:t>
      </w:r>
      <w:r>
        <w:rPr>
          <w:rFonts w:ascii="Arial" w:cs="Arial" w:eastAsia="Arial" w:hAnsi="Arial"/>
          <w:sz w:val="17"/>
          <w:szCs w:val="17"/>
          <w:i w:val="1"/>
          <w:iCs w:val="1"/>
          <w:color w:val="auto"/>
        </w:rPr>
        <w:t xml:space="preserve"> </w:t>
      </w:r>
      <w:r>
        <w:rPr>
          <w:rFonts w:ascii="Arial" w:cs="Arial" w:eastAsia="Arial" w:hAnsi="Arial"/>
          <w:sz w:val="17"/>
          <w:szCs w:val="17"/>
          <w:color w:val="auto"/>
        </w:rPr>
        <w:t>Square Butte had total debt outstanding of $308.4 million. Fuel expenses are recoverable through Minnesota Power’s fuel adjustment clause and include the cost of coal purchased from BNI Energy under a long-term contract.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cost of power purchased from Square Butte during the nine months ended September 30, 2018, was $57.9 million ($60.6 million for the nine months ended September 30, 2017). This reflects Minnesota Power’s pro rata share of total Square Butte costs based on the 50 percent output entitlement. Included in this amount was Minnesota Power’s pro rata share of interest expense of $6.9 million ($7.1 million for the same period in 2017). Minnesota Power’s payments to Square Butte are approved as a purchased power expense for ratemaking purposes by both the MPUC and the FERC.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2018 and in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Oconto Electric Cooperative PSA. </w:t>
      </w:r>
      <w:r>
        <w:rPr>
          <w:rFonts w:ascii="Arial" w:cs="Arial" w:eastAsia="Arial" w:hAnsi="Arial"/>
          <w:sz w:val="18"/>
          <w:szCs w:val="18"/>
          <w:color w:val="auto"/>
        </w:rPr>
        <w:t>In the first quarter of 2018, Minnesota Power entered into a PSA with Oconto Electric Cooperative. The PSA begins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2019 and is effective through May 2026. Under the PSA, Minnesota Power expects to provide approximately 25 MW of energy and capacity at fixed prices.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Calpine PPA. </w:t>
      </w:r>
      <w:r>
        <w:rPr>
          <w:rFonts w:ascii="Arial" w:cs="Arial" w:eastAsia="Arial" w:hAnsi="Arial"/>
          <w:sz w:val="18"/>
          <w:szCs w:val="18"/>
          <w:color w:val="auto"/>
        </w:rPr>
        <w:t>In the second quarter of 2018, Minnesota Power entered into a PPA with an affiliate of Calpine Corporation. The contract begins in June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is effective through May 2026. Under the PPA, Minnesota Power will purchase 25 MW of capacity at fixed prices.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Oliver Wind I and II PPAs. </w:t>
      </w:r>
      <w:r>
        <w:rPr>
          <w:rFonts w:ascii="Arial" w:cs="Arial" w:eastAsia="Arial" w:hAnsi="Arial"/>
          <w:sz w:val="17"/>
          <w:szCs w:val="17"/>
          <w:color w:val="auto"/>
        </w:rPr>
        <w:t>In the third quarter of 2018, Minnesota Power amended its PPAs with an affiliate of NextEra Energy, Inc. for the output of Oliver</w:t>
      </w:r>
      <w:r>
        <w:rPr>
          <w:rFonts w:ascii="Arial" w:cs="Arial" w:eastAsia="Arial" w:hAnsi="Arial"/>
          <w:sz w:val="17"/>
          <w:szCs w:val="17"/>
          <w:i w:val="1"/>
          <w:iCs w:val="1"/>
          <w:color w:val="auto"/>
        </w:rPr>
        <w:t xml:space="preserve"> </w:t>
      </w:r>
      <w:r>
        <w:rPr>
          <w:rFonts w:ascii="Arial" w:cs="Arial" w:eastAsia="Arial" w:hAnsi="Arial"/>
          <w:sz w:val="17"/>
          <w:szCs w:val="17"/>
          <w:color w:val="auto"/>
        </w:rPr>
        <w:t>Wind I and Oliver Wind II, subject to MPUC approval. The amended PPAs provide for updating the term and pricing if the wind energy facilities are repowered. The amended PPAs will continue to provide for the purchase of all output of the wind energy facilities at fixed prices.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Basin Electric Cooperative PSA. </w:t>
      </w:r>
      <w:r>
        <w:rPr>
          <w:rFonts w:ascii="Arial" w:cs="Arial" w:eastAsia="Arial" w:hAnsi="Arial"/>
          <w:sz w:val="17"/>
          <w:szCs w:val="17"/>
          <w:color w:val="auto"/>
        </w:rPr>
        <w:t>In the third quarter of 2018, Minnesota Power entered into a PSA with Basin Electric Power Cooperative. The PSA begins</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2025 and is effective through May 2028. Under the PSA, Minnesota Power expects to provide 100 MW of capacity at fixed prices.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Cypress Creek Renewables PPA. </w:t>
      </w:r>
      <w:r>
        <w:rPr>
          <w:rFonts w:ascii="Arial" w:cs="Arial" w:eastAsia="Arial" w:hAnsi="Arial"/>
          <w:sz w:val="18"/>
          <w:szCs w:val="18"/>
          <w:color w:val="auto"/>
        </w:rPr>
        <w:t>In an order dated October 2, 2018, the MPUC approved a PPA between Minnesota Power and Cypress Creek Renewables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output of the 10 MW Blanchard solar energy facility to be located in central Minnesota. Construction of the solar energy facility is expected to be completed in 2020 and the contract is effective for 25 years after the facility becomes commercially operational.</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2018 and a portion of its coal requirements through December 2021. Minnesota Power also has coal transportation agreements in place for the delivery of a significant portion of its coal requirements through December 2018. The estimated minimum payments under these supply and transportation agreements is $8.7 million for the remainder of 2018, $1.8 million in 2019, and none thereafter. The costs of fuel and related transportation costs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a majority of terms expiring by 2024. The aggregate amount of minimum lease payments for all operating leases is $3.6 million for the remainder of 2018, $12.8 million in 2019, $9.5 million in 2020, $7.3 million in 2021, $6.1 million in 2022 and $30.0 million thereafter.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$314.9 million have been incurred through September 30, 2018, of which $163.3 million has been recovered from a subsidiary of Manitoba Hydro.</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held public hearings in June 2018. The NEB is required to make a decision on the MMTP by March 2019, but is not precluded from making a decision prior to that date. Approval of the Canadian federal cabinet is also required.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by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2014, Minnesota Power reached a settlement with the EPA and entered into a Consent Decree regarding certain Notices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Violation received in 2008 and 2011 that asserted violations of the NSR requirements of the Clean Air Act, which was approved by the U.S. District Court for the District of Minnesota. The Consent Decree provided for, among other requirements, more stringent emissions limits at all affected units, the option of refueling, retrofitting or retiring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2016, Minnesota Power announced that Boswell Units 1 and 2 will be retired in 2018 as part of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 is allowed to recover the remaining net book value for Boswell Units 1 and 2 through 2022. We believe that costs to retire Boswell Units 1 and 2 will be eligible for recovery in rates over time, subject to regulatory approval in a rate proceeding.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Mercury and Air Toxics Standards (MATS) Rule. </w:t>
      </w:r>
      <w:r>
        <w:rPr>
          <w:rFonts w:ascii="Arial" w:cs="Arial" w:eastAsia="Arial" w:hAnsi="Arial"/>
          <w:sz w:val="17"/>
          <w:szCs w:val="17"/>
          <w:color w:val="auto"/>
        </w:rPr>
        <w:t>Under Section 112 of the Clean Air Act, the EPA is required to set emission standards for hazardous air</w:t>
      </w:r>
      <w:r>
        <w:rPr>
          <w:rFonts w:ascii="Arial" w:cs="Arial" w:eastAsia="Arial" w:hAnsi="Arial"/>
          <w:sz w:val="17"/>
          <w:szCs w:val="17"/>
          <w:i w:val="1"/>
          <w:iCs w:val="1"/>
          <w:color w:val="auto"/>
        </w:rPr>
        <w:t xml:space="preserve"> </w:t>
      </w:r>
      <w:r>
        <w:rPr>
          <w:rFonts w:ascii="Arial" w:cs="Arial" w:eastAsia="Arial" w:hAnsi="Arial"/>
          <w:sz w:val="17"/>
          <w:szCs w:val="17"/>
          <w:color w:val="auto"/>
        </w:rPr>
        <w:t>pollutants (HAPs) for certain source categories. The final MATS rule addressed such emissions from coal-fired utility units greater than 25 MW and established categories of HAPs, including mercury, trace metals other than mercury, and acid gases. The EPA established emission limits for these categories of HAPs and work practice standards for the remaining categories. Construction on the project to implement the Boswell Unit 4 mercury emissions reduction plan to position the unit for MATS compliance was completed in 2015. Investments and compliance work previously completed at Boswell Unit 3, including emission reduction investments completed in 2009, meet the requirements of the MATS rule. The conversion of Laskin Units 1 and 2 to operate on natural gas in 2015 positioned those units for MATS compliance.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Minnesota Power was required to implement a mercury emissions reduction project for Boswell Unit 4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Four NAAQS have either recently been revised or are currently proposed for revision, as described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Ozone NAAQS. </w:t>
      </w:r>
      <w:r>
        <w:rPr>
          <w:rFonts w:ascii="Arial" w:cs="Arial" w:eastAsia="Arial" w:hAnsi="Arial"/>
          <w:sz w:val="18"/>
          <w:szCs w:val="18"/>
          <w:color w:val="auto"/>
        </w:rPr>
        <w:t>All areas of Minnesota currently meet the 2015 standard based on the most recent available ambient monitoring data; however, some</w:t>
      </w:r>
      <w:r>
        <w:rPr>
          <w:rFonts w:ascii="Arial" w:cs="Arial" w:eastAsia="Arial" w:hAnsi="Arial"/>
          <w:sz w:val="18"/>
          <w:szCs w:val="18"/>
          <w:i w:val="1"/>
          <w:iCs w:val="1"/>
          <w:color w:val="auto"/>
        </w:rPr>
        <w:t xml:space="preserve"> </w:t>
      </w:r>
      <w:r>
        <w:rPr>
          <w:rFonts w:ascii="Arial" w:cs="Arial" w:eastAsia="Arial" w:hAnsi="Arial"/>
          <w:sz w:val="18"/>
          <w:szCs w:val="18"/>
          <w:color w:val="auto"/>
        </w:rPr>
        <w:t>areas in the metropolitan Twin Cities and southwest portion of the state are close to exceeding the standard. As a result, voluntary efforts to reduce ground-level ozone continue in the state. On August 2, 2018, the EPA announced its intent to retain the 2015 ozone NAAQS standard without revision. No additional costs for compliance are anticipated at this time.</w:t>
      </w:r>
    </w:p>
    <w:p>
      <w:pPr>
        <w:spacing w:after="0" w:line="186"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has designated the entire state of Minnesota as unclassifiable/attainment; however, Minnesota sources may</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be required to reduce their emissions to assist with attainment in neighboring states. In 2016, environmental groups filed a lawsuit against the EPA in the U.S.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certain states, including Minnesota, by not enforcing states’ submittals of required infrastructure implementation plans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3" w:lineRule="exact"/>
        <w:rPr>
          <w:rFonts w:ascii="Arial" w:cs="Arial" w:eastAsia="Arial" w:hAnsi="Arial"/>
          <w:sz w:val="18"/>
          <w:szCs w:val="18"/>
          <w:i w:val="1"/>
          <w:iCs w:val="1"/>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Ambient monitoring data indicates that Minnesota is likely in compliance with the one-hour NAAQS standard for NO</w:t>
      </w:r>
      <w:r>
        <w:rPr>
          <w:rFonts w:ascii="Arial" w:cs="Arial" w:eastAsia="Arial" w:hAnsi="Arial"/>
          <w:sz w:val="11"/>
          <w:szCs w:val="11"/>
          <w:color w:val="auto"/>
        </w:rPr>
        <w:t>2</w:t>
      </w:r>
      <w:r>
        <w:rPr>
          <w:rFonts w:ascii="Arial" w:cs="Arial" w:eastAsia="Arial" w:hAnsi="Arial"/>
          <w:sz w:val="16"/>
          <w:szCs w:val="16"/>
          <w:color w:val="auto"/>
        </w:rPr>
        <w:t>. In July 2017,</w:t>
      </w:r>
      <w:r>
        <w:rPr>
          <w:rFonts w:ascii="Arial" w:cs="Arial" w:eastAsia="Arial" w:hAnsi="Arial"/>
          <w:sz w:val="16"/>
          <w:szCs w:val="16"/>
          <w:i w:val="1"/>
          <w:iCs w:val="1"/>
          <w:color w:val="auto"/>
        </w:rPr>
        <w:t xml:space="preserve"> </w:t>
      </w:r>
      <w:r>
        <w:rPr>
          <w:rFonts w:ascii="Arial" w:cs="Arial" w:eastAsia="Arial" w:hAnsi="Arial"/>
          <w:sz w:val="16"/>
          <w:szCs w:val="16"/>
          <w:color w:val="auto"/>
        </w:rPr>
        <w:t>the EPA proposed retaining the current one-hour and annual NO</w:t>
      </w:r>
      <w:r>
        <w:rPr>
          <w:rFonts w:ascii="Arial" w:cs="Arial" w:eastAsia="Arial" w:hAnsi="Arial"/>
          <w:sz w:val="11"/>
          <w:szCs w:val="11"/>
          <w:color w:val="auto"/>
        </w:rPr>
        <w:t>2</w:t>
      </w:r>
      <w:r>
        <w:rPr>
          <w:rFonts w:ascii="Arial" w:cs="Arial" w:eastAsia="Arial" w:hAnsi="Arial"/>
          <w:sz w:val="16"/>
          <w:szCs w:val="16"/>
          <w:color w:val="auto"/>
        </w:rPr>
        <w:t xml:space="preserve"> NAAQS. No additional costs for compliance are anticipated at this time.</w:t>
      </w:r>
    </w:p>
    <w:p>
      <w:pPr>
        <w:spacing w:after="0" w:line="123"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In 2015, the EPA finalized the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data requirements rule (DRR) for the 2010 one-hour NAAQS to assist states in implementing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The MPCA initially informed Minnesota Power that compliant SO</w:t>
      </w:r>
      <w:r>
        <w:rPr>
          <w:rFonts w:ascii="Arial" w:cs="Arial" w:eastAsia="Arial" w:hAnsi="Arial"/>
          <w:sz w:val="12"/>
          <w:szCs w:val="12"/>
          <w:color w:val="auto"/>
        </w:rPr>
        <w:t>2</w:t>
      </w:r>
      <w:r>
        <w:rPr>
          <w:rFonts w:ascii="Arial" w:cs="Arial" w:eastAsia="Arial" w:hAnsi="Arial"/>
          <w:sz w:val="18"/>
          <w:szCs w:val="18"/>
          <w:color w:val="auto"/>
        </w:rPr>
        <w:t xml:space="preserve"> modeling completed at Minnesota Power's Boswell and Taconite Harbor facilities would satisfy the DRR obligations and no further modeling would be required; however, the DRR also required facilities have federally-enforceable permit limits at which the one-hour SO</w:t>
      </w:r>
      <w:r>
        <w:rPr>
          <w:rFonts w:ascii="Arial" w:cs="Arial" w:eastAsia="Arial" w:hAnsi="Arial"/>
          <w:sz w:val="12"/>
          <w:szCs w:val="12"/>
          <w:color w:val="auto"/>
        </w:rPr>
        <w:t>2</w:t>
      </w:r>
      <w:r>
        <w:rPr>
          <w:rFonts w:ascii="Arial" w:cs="Arial" w:eastAsia="Arial" w:hAnsi="Arial"/>
          <w:sz w:val="18"/>
          <w:szCs w:val="18"/>
          <w:color w:val="auto"/>
        </w:rPr>
        <w:t xml:space="preserve"> NAAQS compliance was modeled by January 2017. Taconite Harbor was issued an amended air permit in 2016, containing the new modeling limits at that facility. The MPCA did not meet the January 2017, deadline to amend the Boswell permit. On September 20, 2018, the MPCA placed a draft version of Boswell’s amended permit on public notice. On June 8, 2018, the EPA formally proposed in the Federal Register to retain the current primary SO</w:t>
      </w:r>
      <w:r>
        <w:rPr>
          <w:rFonts w:ascii="Arial" w:cs="Arial" w:eastAsia="Arial" w:hAnsi="Arial"/>
          <w:sz w:val="12"/>
          <w:szCs w:val="12"/>
          <w:color w:val="auto"/>
        </w:rPr>
        <w:t>2</w:t>
      </w:r>
      <w:r>
        <w:rPr>
          <w:rFonts w:ascii="Arial" w:cs="Arial" w:eastAsia="Arial" w:hAnsi="Arial"/>
          <w:sz w:val="18"/>
          <w:szCs w:val="18"/>
          <w:color w:val="auto"/>
        </w:rPr>
        <w:t xml:space="preserve"> one-hour NAAQS. Compliance costs for the one-hour SO</w:t>
      </w:r>
      <w:r>
        <w:rPr>
          <w:rFonts w:ascii="Arial" w:cs="Arial" w:eastAsia="Arial" w:hAnsi="Arial"/>
          <w:sz w:val="12"/>
          <w:szCs w:val="12"/>
          <w:color w:val="auto"/>
        </w:rPr>
        <w:t>2</w:t>
      </w:r>
      <w:r>
        <w:rPr>
          <w:rFonts w:ascii="Arial" w:cs="Arial" w:eastAsia="Arial" w:hAnsi="Arial"/>
          <w:sz w:val="18"/>
          <w:szCs w:val="18"/>
          <w:color w:val="auto"/>
        </w:rPr>
        <w:t xml:space="preserve"> NAAQS are not expected to be material.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20"/>
          </w:cols>
          <w:pgMar w:left="240" w:top="10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renewable power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2014, the EPA announced a proposed rule under Section 111(d) of the Clean Air Act for existing power plants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“Carbon Pollution Emission Guidelines for Existing Stationary Sources: Electric Generating Units”, also referred to as the Clean Power Plan (CPP). The EPA issued the final CPP in 2015, together with a proposed federal implementation plan and a model rule for emissions trading. In 2016, the U.S. Supreme Court issued an order staying the effectiveness of the rule until after the appellate court process is complete. In 2016, the U.S. Court of Appeals for the District of Columbia Circuit heard oral arguments and is currently deliberating. If the CPP is upheld at the completion of the appellate process, all of the CPP regulatory deadlines are expected to be reset based on the length of time that the appeals process takes. The EPA is precluded from enforcing the CPP while the U.S. Supreme Court stay is in force.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filed a motion with the U.S. Court of Appeals for the District of Columbia Circuit to hold CPP-related litigation in suspension while the EPA is reviewing the rule. In October 2017, the EPA issued a notice of proposed rulemaking, proposing to repeal the CPP. In December 2017, an Advanced Notice of Proposed Rulemaking for a CPP replacement rule was published in the Federal Register.</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31, 2018, the EPA published the proposed Affordable Clean Energy Rule in the Federal Register, which is intended to replace the CPP with revised emission guidelines that inform the development, submittal, and implementation of State Implementation Plans (SIP) to reduce GHG emissions for existing steam generating units. If a state does not submit a SIP or submits a plan that is unacceptable to the EPA, the EPA would develop a Federal Implementation Plan (FIP). Minnesota Power generating facilities affected by this proposal include Boswell, Laskin, Taconite Harbor and Hibbard.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proposed Affordable Clean Energy Rule seeks to reduce carbon intensity at existing steam generation units by prescribing Best System of Emission Reduction (BSER), primarily through Heat Rate Improvement (HRI) technologies. Under the proposal, states will have up to three years to develop a SIP, which is subject to EPA approval. While many of the HRIs proposed by the EPA in the proposed rule have already been installed in Minnesota Power’s largest coal-fired generating units, compliance specifics would be detailed in either Minnesota’s SIP or FIP.</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Minnesota has already initiated several measures consistent with those called for under the CPP and proposed Affordable Clean Energy Rule. Minnesota Power is implementing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that provides for significant emission reductions and diversifying its electricity generation mix to include more renewable and natural gas energy. (See Note 6. Regulatory Matters.) We are unable to predict the GHG emission compliance costs we might incur; however, the costs could be material. Minnesota Power would seek recovery of additional costs through a rate proceeding.</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0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2014, EPA regulations under Section 316(b) of the Clean Water Act setting standards applicable to cooling water</w:t>
      </w:r>
      <w:r>
        <w:rPr>
          <w:rFonts w:ascii="Arial" w:cs="Arial" w:eastAsia="Arial" w:hAnsi="Arial"/>
          <w:sz w:val="17"/>
          <w:szCs w:val="17"/>
          <w:i w:val="1"/>
          <w:iCs w:val="1"/>
          <w:color w:val="auto"/>
        </w:rPr>
        <w:t xml:space="preserve"> </w:t>
      </w:r>
      <w:r>
        <w:rPr>
          <w:rFonts w:ascii="Arial" w:cs="Arial" w:eastAsia="Arial" w:hAnsi="Arial"/>
          <w:sz w:val="17"/>
          <w:szCs w:val="17"/>
          <w:color w:val="auto"/>
        </w:rPr>
        <w:t>intake structures for the protection of aquatic organisms became effective. The regulations apply to the following facilities: Boswell, Taconite Harbor, Laskin, Rapids Energy Center, Hibbard Renewable Energy Center and portions of the DC transmission line that runs from Center, North Dakota, to Duluth, Minnesota. The Section 316(b) rule will be implemented through NPDES permits issued to covered facilities. No NPDES permits for Minnesota Power facilities have been re-issued containing Section 316(b) requirements since the final rule became effective. Should the MPCA require significant modifications to Minnesota Power’s intake structures, a preliminary assessment indicates that Minnesota Power could incur costs of compliance of up to $15 million over the next five years. Minnesota Power would seek recovery of additional costs through a rate proceeding.</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2015, the EPA issued revised federal effluent limit guidelines (ELG) for steam electric power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stations under the Clean Water Act. It set effluent limits and prescribed BACT for several wastewater streams, including flue gas desulphurization (FGD) water, bottom ash transport water and coal combustion landfill leachate. In September 2017, the EPA announced a two-year postponement of the ELG compliance date of November 1, 2018, to November 1, 2020, while the agency reconsiders the bottom ash transport water and FGD wastewater provisions.</w:t>
      </w:r>
    </w:p>
    <w:p>
      <w:pPr>
        <w:spacing w:after="0" w:line="15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final ELG rule’s potential impact on Minnesota Power operations is primarily at Boswell. Boswell currently discharges bottom ash contact water through its NPDES permit, and also has a closed-loop FGD system that does not discharge, but may do so in the future. Under the existing ELG rule, bottom ash transport water discharge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to reduce the amount of water discharged and evaluate potential re</w:t>
      </w:r>
      <w:r>
        <w:rPr>
          <w:rFonts w:ascii="MS PGothic" w:cs="MS PGothic" w:eastAsia="MS PGothic" w:hAnsi="MS PGothic"/>
          <w:sz w:val="18"/>
          <w:szCs w:val="18"/>
          <w:color w:val="auto"/>
        </w:rPr>
        <w:t>‑</w:t>
      </w:r>
      <w:r>
        <w:rPr>
          <w:rFonts w:ascii="Arial" w:cs="Arial" w:eastAsia="Arial" w:hAnsi="Arial"/>
          <w:sz w:val="18"/>
          <w:szCs w:val="18"/>
          <w:color w:val="auto"/>
        </w:rPr>
        <w:t>use options in its plant processes.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applying ash to land as an approved beneficial use and trucking ash to state permitted landfills.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Coal Combustion Residuals from Electric Utilities (CCR). </w:t>
      </w:r>
      <w:r>
        <w:rPr>
          <w:rFonts w:ascii="Arial" w:cs="Arial" w:eastAsia="Arial" w:hAnsi="Arial"/>
          <w:sz w:val="18"/>
          <w:szCs w:val="18"/>
          <w:color w:val="auto"/>
        </w:rPr>
        <w:t>In 2015, the EPA published the final rule regulating CCR as nonhazardous waste under Subtitle 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The EPA has indicated to Minnesota Power that the Taconite Harbor landfill, which has been idled and has a temporary landfill cover in place, is a CCR unit, based on the EPA’s interpretation of the CCR rule language. Minnesota Power has agreed to post the required CCR information for the Taconite Harbor landfill on Minnesota Power’s website while the CCR issue is resolved. Compliance costs, if any, for CCR at Taconite Harbor cannot be estimated at this time. Minnesota Power would seek recovery of additional costs through a rate proceeding.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10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Minnesota Power continues to work on minimizing costs through evaluation of beneficial re-use and recycling of CCR and CCR</w:t>
      </w:r>
      <w:r>
        <w:rPr>
          <w:rFonts w:ascii="MS PGothic" w:cs="MS PGothic" w:eastAsia="MS PGothic" w:hAnsi="MS PGothic"/>
          <w:sz w:val="17"/>
          <w:szCs w:val="17"/>
          <w:color w:val="auto"/>
        </w:rPr>
        <w:t>‑</w:t>
      </w:r>
      <w:r>
        <w:rPr>
          <w:rFonts w:ascii="Arial" w:cs="Arial" w:eastAsia="Arial" w:hAnsi="Arial"/>
          <w:sz w:val="17"/>
          <w:szCs w:val="17"/>
          <w:color w:val="auto"/>
        </w:rPr>
        <w:t>related waters. In September 2017, the EPA announced its intention to formally reconsider the CCR rule under Subtitle D of the RCRA and on March 15, 2018, published the first phase of the proposed rule revisions in the Federal Register. On July 17, 2018, the EPA finalized revisions to elements of the CCR rule, including extending certain deadlines by two years, the establishment of alternative groundwater protection standards for certain constituents and the potential for risk</w:t>
      </w:r>
      <w:r>
        <w:rPr>
          <w:rFonts w:ascii="MS PGothic" w:cs="MS PGothic" w:eastAsia="MS PGothic" w:hAnsi="MS PGothic"/>
          <w:sz w:val="17"/>
          <w:szCs w:val="17"/>
          <w:color w:val="auto"/>
        </w:rPr>
        <w:t>‑</w:t>
      </w:r>
      <w:r>
        <w:rPr>
          <w:rFonts w:ascii="Arial" w:cs="Arial" w:eastAsia="Arial" w:hAnsi="Arial"/>
          <w:sz w:val="17"/>
          <w:szCs w:val="17"/>
          <w:color w:val="auto"/>
        </w:rPr>
        <w:t>based management options at facilities based on site characteristics. On August 22, 2018, a U.S. District Court for the District of Columbia decision vacated specific provisions of the CCR rule. The court decision changes the status of three existing impoundments at Boswell that must now be considered unlined. At this time the court ruling is not expected to materially impact overall compliance costs at Boswell.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In December 2017, the WDNR authorized SWL&amp;P to transition from site investigation into the remedial design process. As of September 30, 2018, we have recorded a liability of approximately $7 million for remediation costs at this site (approximately $8 million as of December 31, 2017), and an associated regulatory asset as we expect recovery of these remediation costs to be allowed by the PSCW. We expect to incur these costs over the next four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September 30, 2018, ALLETE Clean Energy has $21.0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September 30, 2018, U.S. Water Services has no outstanding standby letters of credit.</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BNI Energy. </w:t>
      </w:r>
      <w:r>
        <w:rPr>
          <w:rFonts w:ascii="Arial" w:cs="Arial" w:eastAsia="Arial" w:hAnsi="Arial"/>
          <w:sz w:val="16"/>
          <w:szCs w:val="16"/>
          <w:color w:val="auto"/>
        </w:rPr>
        <w:t>As of September 30, 2018, BNI Energy had surety bonds outstanding of $49.9 million and a letter of credit for an additional $0.6 million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September 30, 2018,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As of September 30, 2018, we owned 70 percent of the assessable land in the Town Center District (70</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as of December 31, 2017) and 27 percent of the assessable land in the Palm Coast Park District (33 percent as of December 31, 2017). As of September 30, 2018, ownership levels, our annual assessments related to capital improvement and special assessment bonds for the ALLETE Properties projects within these districts are approximately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0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Water Services is involved in on-going patent defense litigation it brought against a company for infringement of two patents held by U.S. Water Services. As of September 30, 2018, U.S. Water Services has recognized approximately $2.5 million of patent defense costs as an intangible asset. Management expects that U.S. Water Services will prevail, but in the event of an unfavorable outcome, the patent defense costs would be recognized as an expense in the period of resolution.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4,000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03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5660" w:type="dxa"/>
            <w:vAlign w:val="bottom"/>
          </w:tcPr>
          <w:p>
            <w:pPr>
              <w:spacing w:after="0"/>
              <w:rPr>
                <w:sz w:val="24"/>
                <w:szCs w:val="24"/>
                <w:color w:val="auto"/>
              </w:rPr>
            </w:pPr>
          </w:p>
        </w:tc>
        <w:tc>
          <w:tcPr>
            <w:tcW w:w="37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660" w:type="dxa"/>
            <w:vAlign w:val="bottom"/>
          </w:tcPr>
          <w:p>
            <w:pPr>
              <w:spacing w:after="0"/>
              <w:rPr>
                <w:sz w:val="23"/>
                <w:szCs w:val="23"/>
                <w:color w:val="auto"/>
              </w:rPr>
            </w:pPr>
          </w:p>
        </w:tc>
        <w:tc>
          <w:tcPr>
            <w:tcW w:w="3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660" w:type="dxa"/>
            <w:vAlign w:val="bottom"/>
          </w:tcPr>
          <w:p>
            <w:pPr>
              <w:spacing w:after="0"/>
              <w:rPr>
                <w:sz w:val="23"/>
                <w:szCs w:val="23"/>
                <w:color w:val="auto"/>
              </w:rPr>
            </w:pPr>
          </w:p>
        </w:tc>
        <w:tc>
          <w:tcPr>
            <w:tcW w:w="27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56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Operating Revenue </w:t>
            </w:r>
            <w:r>
              <w:rPr>
                <w:rFonts w:ascii="Arial" w:cs="Arial" w:eastAsia="Arial" w:hAnsi="Arial"/>
                <w:sz w:val="16"/>
                <w:szCs w:val="16"/>
                <w:i w:val="1"/>
                <w:iCs w:val="1"/>
                <w:color w:val="auto"/>
              </w:rPr>
              <w:t>(a)</w:t>
            </w:r>
          </w:p>
        </w:tc>
        <w:tc>
          <w:tcPr>
            <w:tcW w:w="2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2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$30.8</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$28.3</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38.1</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36.2</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110.9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14.6</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117.3</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122.3</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347.5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365.6</w:t>
            </w: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40.9</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41.2</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127.3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 xml:space="preserve">CIP Financial Incentive </w:t>
            </w:r>
            <w:r>
              <w:rPr>
                <w:rFonts w:ascii="Arial" w:cs="Arial" w:eastAsia="Arial" w:hAnsi="Arial"/>
                <w:sz w:val="16"/>
                <w:szCs w:val="16"/>
                <w:i w:val="1"/>
                <w:iCs w:val="1"/>
                <w:color w:val="auto"/>
              </w:rPr>
              <w:t>(b)</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6"/>
                <w:szCs w:val="16"/>
                <w:i w:val="1"/>
                <w:iCs w:val="1"/>
                <w:color w:val="auto"/>
              </w:rPr>
              <w:t>(c)</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35.0</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37"/>
        </w:trPr>
        <w:tc>
          <w:tcPr>
            <w:tcW w:w="5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Regulated Operations</w:t>
            </w:r>
          </w:p>
        </w:tc>
        <w:tc>
          <w:tcPr>
            <w:tcW w:w="2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261.3</w:t>
            </w: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277.6</w:t>
            </w: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789.3</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824.1</w:t>
            </w:r>
          </w:p>
        </w:tc>
      </w:tr>
      <w:tr>
        <w:trPr>
          <w:trHeight w:val="27"/>
        </w:trPr>
        <w:tc>
          <w:tcPr>
            <w:tcW w:w="56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6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Energy Infrastructure and Related Services</w:t>
            </w:r>
          </w:p>
        </w:tc>
        <w:tc>
          <w:tcPr>
            <w:tcW w:w="2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2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ALLETE Clean Energy</w:t>
            </w:r>
          </w:p>
        </w:tc>
        <w:tc>
          <w:tcPr>
            <w:tcW w:w="2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PSA</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17.9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56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ALLETE Clean Energy</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15.0</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13.5</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64"/>
        </w:trPr>
        <w:tc>
          <w:tcPr>
            <w:tcW w:w="566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Water Services</w:t>
            </w:r>
          </w:p>
        </w:tc>
        <w:tc>
          <w:tcPr>
            <w:tcW w:w="2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Point-in-Time</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29.0</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26.2</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77.0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Capital Project</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19.0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56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U.S. Water Services</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45.0</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40.2</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124.7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64"/>
        </w:trPr>
        <w:tc>
          <w:tcPr>
            <w:tcW w:w="566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2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Long-term Contract</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21.2</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21.1</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63.9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10.1</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37"/>
        </w:trPr>
        <w:tc>
          <w:tcPr>
            <w:tcW w:w="5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Corporate and Other</w:t>
            </w:r>
          </w:p>
        </w:tc>
        <w:tc>
          <w:tcPr>
            <w:tcW w:w="2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26.7</w:t>
            </w: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31.2</w:t>
            </w: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78.4</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w:t>
            </w:r>
          </w:p>
        </w:tc>
      </w:tr>
      <w:tr>
        <w:trPr>
          <w:trHeight w:val="27"/>
        </w:trPr>
        <w:tc>
          <w:tcPr>
            <w:tcW w:w="56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$348.0</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$362.5</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$1,050.3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$1,081.4</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7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$29.8</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70"/>
        </w:trPr>
        <w:tc>
          <w:tcPr>
            <w:tcW w:w="5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5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(d)</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7"/>
        </w:trPr>
        <w:tc>
          <w:tcPr>
            <w:tcW w:w="56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w:t>
            </w:r>
          </w:p>
        </w:tc>
        <w:tc>
          <w:tcPr>
            <w:tcW w:w="2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$30.7</w:t>
            </w: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$44.9</w:t>
            </w: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$113.0</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$130.8</w:t>
            </w:r>
          </w:p>
        </w:tc>
      </w:tr>
      <w:tr>
        <w:trPr>
          <w:trHeight w:val="27"/>
        </w:trPr>
        <w:tc>
          <w:tcPr>
            <w:tcW w:w="56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With the adoption of new revenue recognition guidance, the Company has enhanced the presentation of business segment Operating Revenue. (See Note 1. Operations and Significant Accounting Policies.)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See Note 6. Regulatory Matters.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revenue in 2017 included $14.3 million of additional revenue as a result of the favorable impact for the regulatory outcome of the MPUC’s modification of its November 2016 order on the allocation of North Dakota investment tax credits. (See Note 6. Regulatory Matters.)</w:t>
      </w:r>
    </w:p>
    <w:p>
      <w:pPr>
        <w:ind w:left="340" w:hanging="332"/>
        <w:spacing w:after="0" w:line="257"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2017 included a $7.9 million after-tax favorable impact for the regulatory outcome of the MPUC’s modification of its November 2016 order on the allocation of North Dakota investment tax credits. (See Note 6. Regulatory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20"/>
          </w:cols>
          <w:pgMar w:left="240" w:top="1040" w:right="2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0"/>
        </w:trPr>
        <w:tc>
          <w:tcPr>
            <w:tcW w:w="6220" w:type="dxa"/>
            <w:vAlign w:val="bottom"/>
          </w:tcPr>
          <w:p>
            <w:pPr>
              <w:spacing w:after="0"/>
              <w:rPr>
                <w:sz w:val="24"/>
                <w:szCs w:val="24"/>
                <w:color w:val="auto"/>
              </w:rPr>
            </w:pP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20" w:type="dxa"/>
            <w:vAlign w:val="bottom"/>
          </w:tcPr>
          <w:p>
            <w:pPr>
              <w:spacing w:after="0"/>
              <w:rPr>
                <w:sz w:val="20"/>
                <w:szCs w:val="20"/>
                <w:color w:val="auto"/>
              </w:rPr>
            </w:pPr>
          </w:p>
        </w:tc>
        <w:tc>
          <w:tcPr>
            <w:tcW w:w="3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820" w:type="dxa"/>
            <w:vAlign w:val="bottom"/>
          </w:tcPr>
          <w:p>
            <w:pPr>
              <w:jc w:val="right"/>
              <w:ind w:right="110"/>
              <w:spacing w:after="0"/>
              <w:rPr>
                <w:sz w:val="20"/>
                <w:szCs w:val="20"/>
                <w:color w:val="auto"/>
              </w:rPr>
            </w:pPr>
            <w:r>
              <w:rPr>
                <w:rFonts w:ascii="Arial" w:cs="Arial" w:eastAsia="Arial" w:hAnsi="Arial"/>
                <w:sz w:val="18"/>
                <w:szCs w:val="18"/>
                <w:color w:val="auto"/>
              </w:rPr>
              <w:t>$3,904.3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$3,886.6</w:t>
            </w: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639.0</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w:t>
            </w: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820" w:type="dxa"/>
            <w:vAlign w:val="bottom"/>
          </w:tcPr>
          <w:p>
            <w:pPr>
              <w:jc w:val="right"/>
              <w:ind w:right="110"/>
              <w:spacing w:after="0"/>
              <w:rPr>
                <w:sz w:val="20"/>
                <w:szCs w:val="20"/>
                <w:color w:val="auto"/>
              </w:rPr>
            </w:pPr>
            <w:r>
              <w:rPr>
                <w:rFonts w:ascii="Arial" w:cs="Arial" w:eastAsia="Arial" w:hAnsi="Arial"/>
                <w:sz w:val="18"/>
                <w:szCs w:val="18"/>
                <w:color w:val="auto"/>
              </w:rPr>
              <w:t>293.7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292.4</w:t>
            </w:r>
          </w:p>
        </w:tc>
      </w:tr>
      <w:tr>
        <w:trPr>
          <w:trHeight w:val="27"/>
        </w:trPr>
        <w:tc>
          <w:tcPr>
            <w:tcW w:w="6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820" w:type="dxa"/>
            <w:vAlign w:val="bottom"/>
          </w:tcPr>
          <w:p>
            <w:pPr>
              <w:jc w:val="right"/>
              <w:ind w:right="110"/>
              <w:spacing w:after="0"/>
              <w:rPr>
                <w:sz w:val="20"/>
                <w:szCs w:val="20"/>
                <w:color w:val="auto"/>
              </w:rPr>
            </w:pPr>
            <w:r>
              <w:rPr>
                <w:rFonts w:ascii="Arial" w:cs="Arial" w:eastAsia="Arial" w:hAnsi="Arial"/>
                <w:sz w:val="18"/>
                <w:szCs w:val="18"/>
                <w:color w:val="auto"/>
              </w:rPr>
              <w:t>326.3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300.5</w:t>
            </w:r>
          </w:p>
        </w:tc>
      </w:tr>
      <w:tr>
        <w:trPr>
          <w:trHeight w:val="27"/>
        </w:trPr>
        <w:tc>
          <w:tcPr>
            <w:tcW w:w="6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$5,163.3</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$5,080.0</w:t>
            </w:r>
          </w:p>
        </w:tc>
      </w:tr>
      <w:tr>
        <w:trPr>
          <w:trHeight w:val="20"/>
        </w:trPr>
        <w:tc>
          <w:tcPr>
            <w:tcW w:w="62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2017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2017 Form 10-K under the headings: “Forward-Looking Statements” located on page 6 and “Risk Factors” located in Part I, Item 1A, beginning on page 25 of our 2017 Form 10-K. The risks and uncertainties described in this Form 10-Q and our 2017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4,000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2018, unless otherwise indicated. All subsidiaries are wholly-owned unless otherwise specifically indicated. References in this report to “we,” “us” and “our” are to ALLETE and its subsidiaries, collectively.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2018, to the nine months ended September 30, 2017.</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income for the nine months ended September 30, 2018, was $113.0 million, or $2.19 per diluted share, compared to $130.8 million, or $2.57 per diluted share, for the same period in 2017. Earnings per share dilution was $0.03 due to additional shares of common stock outstanding as of September 30, 2018.</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was $99.7 million for the nine months ended September 30, 2018, compared to $110.1 million for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Net income at Minnesota Power was lower than 2017 primarily due to reserves for an interim rate refund, and lower transmission revenue resulting from lower MISO-related revenue and a $3.1 million after-tax out-of-period adjustment for an estimated true-up of MISO rates that were billed in 2017 and are expected to be credited to customers in 2019. These decreases were partially offset by lower operating and maintenance expense, higher sales to residential and commercial customers due to more favorable weather conditions, and higher pricing on PSAs with Other Power Suppliers. Net income at SWL&amp;P and our after-tax equity earnings in ATC were similar to 2017.</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was $15.9 million for the nine months ended September 30, 2018, compared to $11.1 million for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Net income in 2018 included a lower federal income tax rate enacted as part of the TCJA, higher revenue resulting from more wind resources and $5.3 million after-tax of additional production tax credits generated as ALLETE Clean Energy continues to execute its refurbishment strategy. Of the $5.3 million after-tax in additional production tax credits, $2.7 million resulted from the retrospective qualification of additional wind turbine generators in 2016 and 2017. These increases were partially offset by higher operating and maintenance expenses.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income was $0.5 million for the nine months ended September 30, 2018, compared to net income of $1.6 million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2017. Net income in 2018 included higher operating expenses, partially offset by increased revenue primarily resulting from the September 2017 acquisition of Tonka Water and higher sales of chemicals and related services. The first nine months of 2018 were also negatively impacted by the timing of capital project sales. Net income in 2018 included $0.6 million of after-tax expense recognized as cost of sales related to purchase accounting for sales backlog.</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was $3.1 million for the nine months ended September 30, 2018, compared to net income of $8.0 million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2017. Net income in 2017 included a $7.9 million after-tax favorable impact for the regulatory outcome of the MPUC’s modification of its November 2016 order on the allocation of North Dakota investment tax credits. The net loss in 2018 included additional income tax expense recorded in 2018 as GAAP requires the recognition of income tax expense at the estimated annual effective tax rate.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40" w:top="104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SEPTEMBER 30, 2018 AND 2017</w:t>
            </w: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$261.3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103.2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50.3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11.8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500" w:type="dxa"/>
            <w:vAlign w:val="bottom"/>
          </w:tcPr>
          <w:p>
            <w:pPr>
              <w:jc w:val="right"/>
              <w:ind w:right="170"/>
              <w:spacing w:after="0"/>
              <w:rPr>
                <w:sz w:val="20"/>
                <w:szCs w:val="20"/>
                <w:color w:val="auto"/>
              </w:rPr>
            </w:pPr>
            <w:r>
              <w:rPr>
                <w:rFonts w:ascii="Arial" w:cs="Arial" w:eastAsia="Arial" w:hAnsi="Arial"/>
                <w:sz w:val="18"/>
                <w:szCs w:val="18"/>
                <w:color w:val="auto"/>
              </w:rPr>
              <w:t>(15.5)</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50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0"/>
        </w:trPr>
        <w:tc>
          <w:tcPr>
            <w:tcW w:w="440" w:type="dxa"/>
            <w:vAlign w:val="bottom"/>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$16.3 million, or 6 percent, from 2017 reflecting the impact of a regulatory outcome in 2017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allocation of North Dakota investment tax credits, interim rate refund reserves, lower transmission revenue, provision for tax reform refund related to income tax changes resulting from the TCJA, and decreased kWh sales, partially offset by higher cost recovery rider revenue, fuel clause adjustment recoveries, and higher financial incentives under the Minnesota conservation improvement program.</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decreased $14.3 million due to the impact of a regulatory outcome in the third quarter of 2017 related to the allocation of North Dakota investment tax credits. (See Note 6.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Interim rates, net of reserves, decreased $7.7 million from 2017 as interim rate refund reserves were recognized during 2018 due to the regulatory outcome of the MPUC’s decisions in Minnesota Power’s 2016 general rate case. (See Note 6. Regulatory Matters.)</w:t>
      </w:r>
    </w:p>
    <w:p>
      <w:pPr>
        <w:spacing w:after="0" w:line="170" w:lineRule="exact"/>
        <w:rPr>
          <w:sz w:val="20"/>
          <w:szCs w:val="20"/>
          <w:color w:val="auto"/>
        </w:rPr>
      </w:pPr>
    </w:p>
    <w:p>
      <w:pPr>
        <w:jc w:val="both"/>
        <w:ind w:left="340"/>
        <w:spacing w:after="0" w:line="221" w:lineRule="exact"/>
        <w:rPr>
          <w:sz w:val="20"/>
          <w:szCs w:val="20"/>
          <w:color w:val="auto"/>
        </w:rPr>
      </w:pPr>
      <w:r>
        <w:rPr>
          <w:rFonts w:ascii="Arial" w:cs="Arial" w:eastAsia="Arial" w:hAnsi="Arial"/>
          <w:sz w:val="18"/>
          <w:szCs w:val="18"/>
          <w:color w:val="auto"/>
        </w:rPr>
        <w:t>Transmission revenue decreased $5.4 million primarily due to a $4.4 million out-of-period adjustment for an estimated true</w:t>
      </w:r>
      <w:r>
        <w:rPr>
          <w:rFonts w:ascii="MS PGothic" w:cs="MS PGothic" w:eastAsia="MS PGothic" w:hAnsi="MS PGothic"/>
          <w:sz w:val="18"/>
          <w:szCs w:val="18"/>
          <w:color w:val="auto"/>
        </w:rPr>
        <w:t>‑</w:t>
      </w:r>
      <w:r>
        <w:rPr>
          <w:rFonts w:ascii="Arial" w:cs="Arial" w:eastAsia="Arial" w:hAnsi="Arial"/>
          <w:sz w:val="18"/>
          <w:szCs w:val="18"/>
          <w:color w:val="auto"/>
        </w:rPr>
        <w:t xml:space="preserve">up of MISO rates that were billed in 2017 and are expected to be credited to customers in 2019, and lower MISO-related revenue.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 Utility.</w:t>
      </w:r>
      <w:r>
        <w:rPr>
          <w:rFonts w:ascii="Arial" w:cs="Arial" w:eastAsia="Arial" w:hAnsi="Arial"/>
          <w:sz w:val="18"/>
          <w:szCs w:val="18"/>
          <w:color w:val="auto"/>
        </w:rPr>
        <w:t>)</w:t>
      </w:r>
    </w:p>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Provision for tax reform refund of $3.3 million related to income tax changes resulting from the TCJA was recognized during 2018. We have recorded the impact of these income tax changes for Minnesota Power and SWL&amp;P as regulatory liabilities. (See Note 6. Regulatory Matters.)</w:t>
      </w:r>
    </w:p>
    <w:p>
      <w:pPr>
        <w:spacing w:after="0" w:line="14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Revenue from kWh sales decreased $2.2 million from 2017 primarily due to lower sales to Industrial customers, partially offset by higher sales to Residential and Commercial customers in 2018. Sales to Residential and Commercial customers increased from 2017 primarily due to more favorable weather conditions in 2018. Sales to Industrial customers decreased 3.5 percent primarily due to lower sales to UPM Blandin as a result of the closure of the smaller of its two paper machines in the fourth quarter of 2017 and Husky Energy due to an April 2018 fire at its refinery in Superior, Wisconsin. Sales to Other Power Suppliers decreased 0.9 percent from 2017, which was partially offset by higher pricing. Sales to Other Power Suppliers are sold at market-based prices into the MISO market on a daily basis or through PSAs of various durations.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0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THE QUARTERS ENDED SEPTEMBER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1,794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1,859</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196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2,610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2,657</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968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3,578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2018 (22 percent in 2017). Revenue from electric sales to paper, pulp and secondary wood product customers accounted for 5 percent of consolidated operating revenue in 2018 (5 percent in 2017). Revenue from electric sales to pipelines and other industrial customers accounted for 6 percent of consolidated operating revenue in 2018 (7 percent in 2017).</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Cost recovery rider revenue increased $6.4 million primarily due to fewer production tax credits recognized by Minnesota Power and higher expenditures related to the construction of the GNTL. Production tax credits recognized below those assumed in Minnesota Power base rates result in increased cost recovery rider revenue to offset the impact of lower production tax credits on income tax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Fuel adjustment clause recoveries increased $5.3 million due to higher fuel and purchased power costs attributable to retail and municipal customers.</w:t>
      </w:r>
    </w:p>
    <w:p>
      <w:pPr>
        <w:spacing w:after="0" w:line="248"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Financial incentives under the Minnesota conservation improvement program were higher $3.0 million from 2017 due to the timing of MPUC approval. The CIP financial incentive of $3.0 million was recognized in the third quarter of 2018 upon approval by the MPUC of Minnesota Power’s 2017 CIP consolidated filing in an order dated September 4, 2018. In 2017, the CIP financial incentive of $5.5 million was recognized in the second quarter upon approval by the MPUC of Minnesota Power’s 2016 CIP consolidated filing in a June 2017 order.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$5.9 million, or 3 percent, from 2017.</w:t>
      </w:r>
    </w:p>
    <w:p>
      <w:pPr>
        <w:spacing w:after="0" w:line="225"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Fuel, Purchased Power and Gas – Utility </w:t>
      </w:r>
      <w:r>
        <w:rPr>
          <w:rFonts w:ascii="Arial" w:cs="Arial" w:eastAsia="Arial" w:hAnsi="Arial"/>
          <w:sz w:val="16"/>
          <w:szCs w:val="16"/>
          <w:color w:val="auto"/>
        </w:rPr>
        <w:t>expense increased $9.7 million, or 10 percent, from 2017 primarily due to higher purchased power prices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higher fuel costs. Fuel and purchased power expense related to our retail and municipal customers is recovered through the fuel adjustment clause.</w:t>
      </w:r>
    </w:p>
    <w:p>
      <w:pPr>
        <w:spacing w:after="0" w:line="124"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decreased $1.0 million, or 5 percent, from 2017 primarily due to lower MISO</w:t>
      </w:r>
      <w:r>
        <w:rPr>
          <w:rFonts w:ascii="MS PGothic" w:cs="MS PGothic" w:eastAsia="MS PGothic" w:hAnsi="MS PGothic"/>
          <w:sz w:val="18"/>
          <w:szCs w:val="18"/>
          <w:color w:val="auto"/>
        </w:rPr>
        <w:t>‑</w:t>
      </w:r>
      <w:r>
        <w:rPr>
          <w:rFonts w:ascii="Arial" w:cs="Arial" w:eastAsia="Arial" w:hAnsi="Arial"/>
          <w:sz w:val="18"/>
          <w:szCs w:val="18"/>
          <w:color w:val="auto"/>
        </w:rPr>
        <w:t>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2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$1.7 million, or 3 percent, from 2017 primarily due to lower salary and benefit expenses,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purchased for generation facilities, partially offset by additional severance expense of $0.3 million in 2018.</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$1.4 million, or 10 percent, from 2017 primarily due to higher average long-term debt balances, higher interest rates, and $0.6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interest on Minnesota Power’s reserve for interim rate refunds. We record interest expense for Regulated Operations primarily based on rate base and authorized capital structure, and allocate the balance to Corporate and Other.</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$1.9 million, or 32 percent, from 2017 primarily due to the federal income tax rate change enacted as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TCJA, partially offset by additional investments in ATC. (See Note 7. Investment in ATC.)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10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COMPARISON OF THE QUARTERS ENDED SEPTEMBER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was $1.3 million in 2018 compared to income tax expense of $19.9 million in 2017. Income tax expense in 2017 included the impact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regulatory outcome related to the allocation of North Dakota investment tax credits. Income tax benefit in 2018 reflects the reduction of the federal income tax rate from 35 percent to 21 percent enacted as part of the TCJA and lower pre-tax income, partially offset by $0.9 million of additional income tax expense related to changes enacted as part of the TCJA for the executive compensation deduction. (See Note 6. Regulatory Matters.)</w:t>
      </w:r>
    </w:p>
    <w:p>
      <w:pPr>
        <w:spacing w:after="0" w:line="154"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the third quarter of 2017, as a result of the favorable impact for the regulatory outcome of the MPUC’s modification of its November 2016 order on the allocation of North Dakota investment tax credits, Regulated Operations increased operating revenue and reduced the corresponding regulatory liability by $14.3 million resulting in an income tax expense of $6.1 million. In addition, Regulated Operations recorded an income tax expense of $7.9 million for North Dakota investment tax credits transferred to Corporate and Other, resulting in no impact to net income for Regulated Operations. Corporate and Other recorded an offsetting income tax benefit of $7.9 million for the North Dakota investment tax credits transferred from Regulated Operations.</w:t>
      </w:r>
    </w:p>
    <w:p>
      <w:pPr>
        <w:spacing w:after="0" w:line="15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our annual effective tax rate in 2018 to be lower than 2017 due to the reduction of the federal income tax rate from 35 percent to 21 percent enacted as part of the TCJA, and lower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4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4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44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6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4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$1.5 million, or 11 percent, from 2017 primarily due to higher kWh sales resulting from more wind resources.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6"/>
              </w:rPr>
              <w:t>Quarter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20" w:type="dxa"/>
            <w:vAlign w:val="bottom"/>
            <w:gridSpan w:val="2"/>
          </w:tcPr>
          <w:p>
            <w:pPr>
              <w:jc w:val="right"/>
              <w:ind w:right="121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kWh</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43.7</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14.7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46.5</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36.3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Production and Operating Revenue</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195.3</w:t>
            </w: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$15.0</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162.5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$0.4 million from 2017. Net income in 2018 included higher revenue resulting from more wind resources and $0.8 million after-tax of additional production tax credits generated as ALLETE Clean Energy continues to execute its refurbishment strategy. These increases were partially offset by higher operating and maintenance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4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4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44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6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4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$4.8 million, or 12 percent, from 2017 primarily due to the acquisition of Tonka Water in September 2017 and higher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chemicals and related services. Revenue from chemical sales and related services was $38.7 million in 2018 compared to $35.3 million in 2017. Revenue from capital projects was $6.3 million for 2018 compared to $4.9 million in 2017; capital project sales can significantly fluctuate from period to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1039"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THE QUARTERS ENDED SEPTEMBER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 (Continued)</w:t>
      </w:r>
    </w:p>
    <w:p>
      <w:pPr>
        <w:spacing w:after="0" w:line="21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$0.4 million from 2017. Net income in 2018 included a lower federal income tax rate and increased revenue primarily resulting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September 2017 acquisition of Tonka Water and higher sales of chemicals and related services, partially offset by higher operating expenses. The third quarter of 2018 was also negatively impacted by the timing of capital project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$4.5 million, or 14 percent, from 2017 primarily due to lower land sales at ALLETE Properties.</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was $1.8 million in 2018 compared to net income of $8.8 million in 2017. Net income in 2017 included a $7.9 million after-tax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for the regulatory outcome of the MPUC’s modification of its November 2016 order on the allocation of North Dakota investment tax credits. The net loss in 2018 included lower revenue at ALLETE Properties and additional income tax expense recorded in 2018 as GAAP requires the recognition of quarterly income tax expense at the estimated annual effective tax rate. The estimated annual effective tax rate can differ from what a quarterly effective tax rate would otherwise be on a stand-alone basis, and this may cause quarter to quarter differences in the timing of income taxes. The net loss at ALLETE Properties was $0.4 million in 2018 compared to net income of $0.2 million in 2017. Net income at BNI Energy was $1.7 million in 2018 compared to net income of $1.8 million in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For the quarter ended September 30, 2018, the effective tax rate was 1.3 percent (24.0 percent for the quarter ended September 30, 2017). The decrease from 2017 was primarily due to the reduction of the federal income tax rate from 35 percent to 21 percent enacted as part of the TCJA, and lower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expect our annual effective tax rate in 2018 to be lower than 2017 due to the lower federal income tax rate enacted as part of the TCJA, and lower pre-tax income. The effective rate deviated from the combined statutory rate of approximately 28 percent primarily due to production tax credits. (See Note 9. Income Tax Expense.) The estimated annual effective tax rate can differ from what a quarterly effective tax rate would otherwise be on a stand-alone basis, and this may cause quarter to quarter differences in the timing of income taxes.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2018 AND 2017</w:t>
            </w:r>
          </w:p>
        </w:tc>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3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$789.3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300.6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160.7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165.4</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118.3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39.9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116.7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(45.5)</w:t>
            </w:r>
          </w:p>
        </w:tc>
        <w:tc>
          <w:tcPr>
            <w:tcW w:w="88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88.2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(11.5)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420" w:type="dxa"/>
            <w:vAlign w:val="bottom"/>
          </w:tcPr>
          <w:p>
            <w:pPr>
              <w:spacing w:after="0" w:line="20" w:lineRule="exact"/>
              <w:rPr>
                <w:sz w:val="1"/>
                <w:szCs w:val="1"/>
                <w:color w:val="auto"/>
              </w:rPr>
            </w:pPr>
          </w:p>
        </w:tc>
        <w:tc>
          <w:tcPr>
            <w:tcW w:w="77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1040"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THE NINE MONTHS ENDED SEPTEMBER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07" w:lineRule="exact"/>
        <w:rPr>
          <w:sz w:val="20"/>
          <w:szCs w:val="20"/>
          <w:color w:val="auto"/>
        </w:rPr>
      </w:pPr>
    </w:p>
    <w:p>
      <w:pPr>
        <w:jc w:val="both"/>
        <w:ind w:left="340"/>
        <w:spacing w:after="0" w:line="303"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Utility </w:t>
      </w:r>
      <w:r>
        <w:rPr>
          <w:rFonts w:ascii="Arial" w:cs="Arial" w:eastAsia="Arial" w:hAnsi="Arial"/>
          <w:sz w:val="16"/>
          <w:szCs w:val="16"/>
          <w:color w:val="auto"/>
        </w:rPr>
        <w:t>decreased $34.8 million, or 4 percent, from 2017 reflecting interim rate refund reserves, the impact of a regulatory outcome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2017 related to the allocation of North Dakota investment tax credits, lower transmission revenue, provision for tax reform refund related to income tax changes resulting from the TCJA, and lower financial incentives under the Minnesota conservation improvement program, partially offset by higher revenue from cost recovery rider revenue, kWh sales, fuel clause adjustment recoveries, and conservation improvement program recoveries.</w:t>
      </w:r>
    </w:p>
    <w:p>
      <w:pPr>
        <w:spacing w:after="0" w:line="15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Interim rates, net of reserves, decreased $24.5 million from 2017 as interim rate refund reserves were recognized during 2018 due to the regulatory outcome of the MPUC’s decisions in Minnesota Power’s 2016 general rate case. (See Note 6.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decreased $14.3 million due to the impact of a regulatory outcome in the third quarter of 2017 related to the allocation of North Dakota investment tax credits. (See Note 6.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decreased $12.3 million primarily due to lower MISO-related revenue and a $4.4 million out-of-period adjustment for an estimated true-up of MISO rates that were billed in 2017 and are expected to be credited to customers in 2019.</w:t>
      </w:r>
    </w:p>
    <w:p>
      <w:pPr>
        <w:spacing w:after="0" w:line="170"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Provision for tax reform refund of $10.0 million related to income tax changes resulting from the TCJA was recognized during 2018. We have recorded the impact of these income tax changes for Minnesota Power and SWL&amp;P as regulatory liabilities. (See Note 6. Regulatory Matters.)</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were lower by $2.5 million from 2017 as a result of MPUC-approved modifications to the mechanism for calculating the financial incentives.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Cost recovery rider revenue increased $9.0 million primarily due to fewer production tax credits recognized by Minnesota Power and higher expenditures related to the construction of the GNTL. Production tax credits recognized below those assumed in Minnesota Power base rates result in increased cost recovery rider revenue to offset the impact of lower production tax credits on income tax expense.</w:t>
      </w:r>
    </w:p>
    <w:p>
      <w:pPr>
        <w:spacing w:after="0" w:line="18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Revenue from kWh sales increased $7.9 million from 2017 primarily due to higher sales to Residential, Commercial and Municipal customers in 2018. Sales to Residential, Commercial and Municipal customers increased in 2018 primarily due to more favorable weather conditions in 2018 compared to 2017. Sales to Industrial customers were similar to 2017 reflecting lower sales to UPM Blandin as a result of the closure of the smaller of its two paper machines in the fourth quarter of 2017 and Husky Energy due to an April 2018 fire at its refinery in Superior, Wisconsin, mostly offset by increased taconite production. Sales to Other Power Suppliers decreased 1.5 percent from 2017 which was more than offset by higher pricing. Sales to Other Power Suppliers are sold at market-based prices into the MISO market on a daily basis or through PSAs of various durations.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836</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1,075</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1,061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5,418</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5,437</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603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591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7,932</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7,880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2,976</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3,022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10,908</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10,902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49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2018 (22 percent in 2017). Revenue from electric sales to paper, pulp and secondary wood product customers accounted for 5 percent of consolidated operating revenue in 2018 (5 percent in 2017). Revenue from electric sales to pipelines and other industrial customers accounted for 6 percent of consolidated operating revenue in 2018 (7 percent in 2017).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COMPARISON OF THE NINE MONTHS ENDED SEPTEMBER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Fuel adjustment clause recoveries increased $6.5 million due to higher fuel and purchased power costs attributable to retail and municipal customers.</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$4.4 million from 2017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$13.9 million, or 2 percent, from 2017.</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$17.4 million, or 6 percent, from 2017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fuel costs. Fuel and purchased power expense related to our retail and municipal customers is recovered through the fuel adjustment clause.</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$4.7 million, or 3 percent, from 2017 primarily due to lower salary and benefit expenses,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purchased for generation facilities, partially offset by a $4.4 million increase in conservation improvement program expenses and additional severance expense of $0.9 million in 2018. Conservation improvement program expenses are recovered from certain retail customers.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 Utility.</w:t>
      </w:r>
      <w:r>
        <w:rPr>
          <w:rFonts w:ascii="Arial" w:cs="Arial" w:eastAsia="Arial" w:hAnsi="Arial"/>
          <w:sz w:val="18"/>
          <w:szCs w:val="18"/>
          <w:color w:val="auto"/>
        </w:rPr>
        <w:t>)</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$2.9 million, or 7 percent, from 2017 primarily due to higher average long-term debt balances, higher interest rates and $1.5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interest on Minnesota Power’s reserve for interim rate refunds. We record interest expense for Regulated Operations primarily based on rate base and authorized capital structure, and allocate the balance to Corporate and Other.</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$4.3 million, or 25 percent, from 2017 primarily due to the federal income tax rate change enacted as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TCJA, partially offset by additional investments in ATC. (See Note 7. Investment in ATC.)</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$11.5 million in 2018 compared to income tax expense of $34.0 million in 2017. Income tax benefit in 2018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of the federal income tax rate from 35 percent to 21 percent enacted as part of the TCJA and lower pre-tax income, partially offset by $0.9 million of additional income tax expense related to changes enacted as part of the TCJA for the executive compensation deduction. Income tax expense in 2017 included the impact of a regulatory outcome in 2017 related to the allocation of North Dakota investment tax credits, (See Note 6. Regulatory Matters.)</w:t>
      </w:r>
    </w:p>
    <w:p>
      <w:pPr>
        <w:spacing w:after="0" w:line="188"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third quarter of 2017, as a result of the favorable impact for the regulatory outcome of the MPUC’s modification of its November 2016 order on the allocation of North Dakota investment tax credits, Regulated Operations increased operating revenue and reduced the corresponding regulatory liability by $14.3 million resulting in an income tax expense of $6.1 million. In addition, Regulated Operations recorded an income tax expense of $7.9 million for North Dakota investment tax credits transferred to Corporate and Other, resulting in no impact to net income for Regulated Operations. Corporate and Other recorded an offsetting income tax benefit of $7.9 million for the North Dakota investment tax credits transferred from Regulated Operations.</w:t>
      </w:r>
    </w:p>
    <w:p>
      <w:pPr>
        <w:spacing w:after="0" w:line="15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our annual effective tax rate in 2018 to be lower than 2017 due to the reduction of the federal income tax rate from 35 percent to 21 percent enacted as part of the TCJA, and lower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$15.9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$1.1 million, or 2 percent, from 2017 primarily due to higher kWh sales resulting from more wind resources.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COMPARISON OF THE NINE MONTHS ENDED SEPTEMBER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kWh</w:t>
            </w: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w w:val="93"/>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163.1</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166.7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98.2</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7.0</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102.9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75.3</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59.5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134.7</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184.6</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181.8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185.6</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181.4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841.5</w:t>
            </w:r>
          </w:p>
        </w:tc>
        <w:tc>
          <w:tcPr>
            <w:tcW w:w="12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$57.9</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839.5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$4.8 million, or 43 percent, from 2017. Net income in 2018 included a lower federal income tax rate enacted as part of the TCJA,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 resulting from more wind resources and $5.3 million after-tax of additional production tax credits generated as ALLETE Clean Energy continues to execute its refurbishment strategy. Of the $5.3 million after-tax in additional production tax credits, $2.7 million resulted from the retrospective qualification of additional wind turbine generators in 2016 and 2017. These increases were partially offset by higher operating and maintenance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9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3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$124.7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720" w:type="dxa"/>
            <w:vAlign w:val="bottom"/>
          </w:tcPr>
          <w:p>
            <w:pPr>
              <w:spacing w:after="0"/>
              <w:rPr>
                <w:sz w:val="21"/>
                <w:szCs w:val="21"/>
                <w:color w:val="auto"/>
              </w:rPr>
            </w:pPr>
          </w:p>
        </w:tc>
        <w:tc>
          <w:tcPr>
            <w:tcW w:w="5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94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$14.0 million, or 13 percent, from 2017 primarily due to the acquisition of Tonka Water in September 2017 and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chemicals and related services. Revenue from chemical sales and related services was $105.7 million in 2018 compared to $98.7 million in 2017. Revenue from capital projects was $19.0 million for 2018 compared to $12.0 million in 2017; capital project sales can significantly fluctuate from period to period.</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decreased $1.1 million from 2017. Net income in 2018 included higher operating expenses, partially offset by increased revenue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the September 2017 acquisition of Tonka Water and higher sales of chemicals and related services. The first nine months of 2018 were also negatively impacted by the timing of capital project sales. Net income in 2018 included $0.6 million of after-tax expense recognized as cost of sales related to purchase accounting for sales backlog.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$11.4 million, or 13 percent, from 2017 primarily due to lower land sales at ALLETE Properties and a decrease in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BNI Energy, which operates under cost-plus fixed fee contracts, as a result of lower expenses in 2018 compared to 2017.</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was $3.1 million in 2018 compared to net income of $8.0 million in 2017. Net income in 2017 included a $7.9 million after-tax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for the regulatory outcome of the MPUC’s modification of its November 2016 order on the allocation of North Dakota investment tax credits. The net loss in 2018 included additional income tax expense recorded in 2018 as GAAP requires the recognition of income tax expense at the estimated annual effective tax rate. Net income at BNI Energy was $5.3 million in 2018 compared to net income of $5.6 million in 2017. The net loss at ALLETE Properties was $1.5 million in 2018 compared to a net loss of $1.4 million in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COMPARISON OF THE NINE MONTHS ENDED SEPTEMBER 30, 2018 AND 2017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For the nine months ended September 30, 2018, the effective tax rate was a benefit of 8.3 percent (expense of 20.9 percent for the nine months ended September 30, 2017). The decrease from 2017 was primarily due to the reduction of the federal income tax rate from 35 percent to 21 percent enacted as part of the TCJA, and lower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w:t>
      </w:r>
    </w:p>
    <w:p>
      <w:pPr>
        <w:spacing w:after="0" w:line="18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We expect our annual effective tax rate in 2018 to be lower than 2017 due to the lower federal income tax rate enacted as part of the TCJA, and lower pre-tax income. The effective rate deviated from the combined statutory rate of approximately 28 percent primarily due to production tax credits. (See Note 9. Income Tax Expense.)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2017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Our 2017 annual testing of U.S. Water Services’ goodwill for impairment indicated that the calculated fair value of equity for the reporting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exceeded the carrying value. Significant assumptions utilized in the fair value calculation included a discount rate of 10.75 percent, cash flow forecasts through 2022, annual revenue growth rates ranging from 7 percent to 9 percent, excluding 13 percent of revenue growth in 2018 related to the year over year impact of the acquisition of Tonka Water, and a terminal growth rate of 4.0 percent. If U.S. Water Services fails to meet expected cash flow forecasts by a nominal margin or there are changes to other significant assumptions used in the Company’s valuation under the income approach, the results of our future tests could result in an impairment of goodwill; our next annual impairment test will occur in the fourth quarter of 2018. Subsequent to our 2017 annual impairment test, there have been no triggering events or indicators of impairment of goodwill.</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2017 Form 10-K.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3 percent to 4 percent and our Energy Infrastructure and Related Services businesses are projected to have average annual earnings growth of approximately 15 percent.</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80 percent of total consolidated net income in 2018.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in January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Minnesota Power filed an additional request to further reduce its requested interim rate increase. In an April 2017 order, the MPUC approved Minnesota Power’s updated retail rate request resulting in a reduction in the annual interim rate increase to $32.2 million beginning in May 2017. As a result of working with intervenors and further developments as the rate review progressed, Minnesota Power’s final rate request was adjusted to approximately $49 million on an annualized basis. In an order dated March 12, 2018, the MPUC affirmed determinations made at a hearing on January 18, 2018,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are fully offset by the recognition of a corresponding reserve. Minnesota Power has recorded a reserve for an interim rate refund of $57.5 million as of September 30, 2018 ($32.3 million as of December 31, 2017). The MPUC also disallowed Minnesota Power’s regulatory asset for deferred fuel adjustment clause costs due to the anticipated adoption of a forward-looking fuel adjustment clause methodology resulting in a $19.5 million pre-tax charge to Fuel, Purchased Power and Gas – Utility in the fourth quarter of 2017.</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in the fourth quarter of 2017.</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 2018, Minnesota Power filed a petition with the MPUC requesting reconsideration of certain decisions in the MPUC’s order dated March 12, 2018, collectively representing approximately $20 million to $25 million in additional revenue on an annualized basis. Minnesota Power’s petition included requesting reconsideration of the allowed return on common equity, recovery of the prepaid pension asset in rate base, certain disallowed expenses, and certain transmission revenue adjustments.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Energy-Intensive Trade-Exposed Customer Rates. </w:t>
      </w:r>
      <w:r>
        <w:rPr>
          <w:rFonts w:ascii="Arial" w:cs="Arial" w:eastAsia="Arial" w:hAnsi="Arial"/>
          <w:sz w:val="18"/>
          <w:szCs w:val="18"/>
          <w:color w:val="auto"/>
        </w:rPr>
        <w:t>An EITE customer ratemaking law was enacted in 2015, which established a Minnesota energy policy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April 2017 order; collection of the discount was subject to the MPUC’s review of Minnesota Power’s compliance filing implementing approval of a recovery mechanism, with the subsequent order issued in October 2017 that modified the April 2017 order. During 2017, Minnesota Power provided discounts of $8.6 million that were recorded as a regulatory asset.</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2017, Minnesota Power informed its EITE customers that it had suspended the EITE discount due to a concern that it was not revenue and cash flow neutral to Minnesota Power based on an MPUC decision at a hearing in September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discounts provided to EITE customers will offset interim rate refund reserves for non-EITE customers. Minnesota Power provided $4.1 million and $12.2 million of discounts to EITE customers during the quarter and nine months ended September 30, 2018, respectively ($2.7 million and $8.6 million for the quarter and nine months ended September 30, 2017, respectively).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August 2017 that allows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 On an annualized basis, SWL&amp;P expects to collect additional revenue of $2.5 million under the 2017 PSCW retail rate order.</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2018 Wisconsin General Rate Case. </w:t>
      </w:r>
      <w:r>
        <w:rPr>
          <w:rFonts w:ascii="Arial" w:cs="Arial" w:eastAsia="Arial" w:hAnsi="Arial"/>
          <w:sz w:val="16"/>
          <w:szCs w:val="16"/>
          <w:color w:val="auto"/>
        </w:rPr>
        <w:t>On May 25, 2018, SWL&amp;P filed a rate increase request with the PSCW requesting an average increase of 2.7 percent for</w:t>
      </w:r>
      <w:r>
        <w:rPr>
          <w:rFonts w:ascii="Arial" w:cs="Arial" w:eastAsia="Arial" w:hAnsi="Arial"/>
          <w:sz w:val="16"/>
          <w:szCs w:val="16"/>
          <w:i w:val="1"/>
          <w:iCs w:val="1"/>
          <w:color w:val="auto"/>
        </w:rPr>
        <w:t xml:space="preserve"> </w:t>
      </w:r>
      <w:r>
        <w:rPr>
          <w:rFonts w:ascii="Arial" w:cs="Arial" w:eastAsia="Arial" w:hAnsi="Arial"/>
          <w:sz w:val="16"/>
          <w:szCs w:val="16"/>
          <w:color w:val="auto"/>
        </w:rPr>
        <w:t>retail customers (2.0 percent increase in electric rates; 2.3 percent increase in natural gas rates; and 8.3 percent increase in water rates). The filing seeks an overall return on equity of 10.5 percent and a 55.41 percent equity ratio. On an annualized basis, the filing requested additional revenue of approximately $2.4 million. SWL&amp;P anticipates new rates will go into effect in the first quarter of 2019. We cannot predict the level of rates that may be approved by the PSCW.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50 percent of our regulated utility kWh sales in the nine months ended September 30, 2018, were made to our industrial customers (50 percent in the nine months ended September 30, 2017).</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Taconite and Iron Concentrate</w:t>
      </w:r>
      <w:r>
        <w:rPr>
          <w:rFonts w:ascii="Arial" w:cs="Arial" w:eastAsia="Arial" w:hAnsi="Arial"/>
          <w:sz w:val="16"/>
          <w:szCs w:val="16"/>
          <w:color w:val="auto"/>
        </w:rPr>
        <w:t xml:space="preserve">.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has been exported outside of North America. Minnesota Power also has provided electric service to three iron concentrate facilities capable of producing up to approximately 4 million tons of iron concentrate per year. Iron concentrate is used in the production of taconite pellets. These facilities have been idled since at least 2016. On July 17, 2018, ERP Iron Ore announced it would no longer seek to restart its operations within Minnesota Power’s service territory. (See </w:t>
      </w:r>
      <w:r>
        <w:rPr>
          <w:rFonts w:ascii="Arial" w:cs="Arial" w:eastAsia="Arial" w:hAnsi="Arial"/>
          <w:sz w:val="16"/>
          <w:szCs w:val="16"/>
          <w:i w:val="1"/>
          <w:iCs w:val="1"/>
          <w:color w:val="auto"/>
        </w:rPr>
        <w:t>ERP Iron Ore / Magnetation</w:t>
      </w:r>
      <w:r>
        <w:rPr>
          <w:rFonts w:ascii="Arial" w:cs="Arial" w:eastAsia="Arial" w:hAnsi="Arial"/>
          <w:sz w:val="16"/>
          <w:szCs w:val="16"/>
          <w:color w:val="auto"/>
        </w:rPr>
        <w:t>.)</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78 percent of capacity during the first nine months of 2018 compared to 75 percent in the first nine months of 2017. The World Steel Association, an association of over 160 steel producers, national and regional steel industry associations, and steel research institutes representing approximately 85 percent of world steel production, projected U.S. steel consumption in 2018 will increase by approximately 2 percent compared to 2017.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04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2015, USS Corporation temporarily idled its Minnesota Ore Operations - Keetac plant in Keewatin, Minnesota, and a portion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2015, and in the first quarter of 2017, USS Corporation restarted its Keetac plant. USS Corporation has the capability to produce approximately 5 million tons and 15 million tons of taconite annually at its Keetac and Minntac plants,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2017, Cliffs announced that production of a fully fluxed taconite pellet had started at its United Taconite facility.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replaced a flux pellet previously made at Cliffs’ indefinitely idled Empire operation in Michigan. United Taconite has the capability to produce approximately 5 million tons of taconite annually.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has announced that it is investing further in Minnesota ore operations, specifically planning to invest approximately $90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2020 to expand capacity for producing direct reduced-grade pellets at Northshore Mining. The additional direct reduced-grade pellets could be sold commercially or used to supply Cliff’s planned hot briquetted iron production plant in Toledo, Ohio. Minnesota Power has a long-term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long-term PSA through 2031. Silver Bay Power supplies approximately 90</w:t>
      </w:r>
      <w:r>
        <w:rPr>
          <w:rFonts w:ascii="Arial" w:cs="Arial" w:eastAsia="Arial" w:hAnsi="Arial"/>
          <w:sz w:val="18"/>
          <w:szCs w:val="18"/>
          <w:i w:val="1"/>
          <w:iCs w:val="1"/>
          <w:color w:val="auto"/>
        </w:rPr>
        <w:t xml:space="preserve"> </w:t>
      </w:r>
      <w:r>
        <w:rPr>
          <w:rFonts w:ascii="Arial" w:cs="Arial" w:eastAsia="Arial" w:hAnsi="Arial"/>
          <w:sz w:val="18"/>
          <w:szCs w:val="18"/>
          <w:color w:val="auto"/>
        </w:rPr>
        <w:t>MW of 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On December 31, 2019, Silver Bay Power will cease self-generation and Minnesota Power will supply the energy requirements for Silver Bay Power.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ERP Iron Ore / Magnetation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Magnetation filed voluntary petitions for reorganization under Chapter 11 of the Bankruptcy Code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Court for the District of Minnesota, citing the significant decrease in global iron ore prices and its existing capital structure. In 2016, Magnetation idled its Plant 2 facility in Bovey, Minnesota. In 2016, the bankruptcy court approved plans to idle Magnetation’s Plant 4 facility near Grand Rapids, Minnesota, and its pellet plant in Reynolds, Indiana, as well as terminate Magnetation’s pellet purchase agreement with AK Steel Corporation. Magnetation subsequently idled the facilities.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ERP Iron Ore purchased substantially all of Magnetation’s assets pursuant to an asset purchase agreement approved by the bankruptcy court. On July 17, 2018, ERP Iron Ore filed voluntary petitions for reorganization under Chapter 11 of the Bankruptcy Code in the U.S. Bankruptcy Court for the District of Minnesota and announced that it would no longer seek to restart its operations within Minnesota Power’s service territory. Minnesota Power has reserved for all receivables due from ERP Iron Ore.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xml:space="preserve">. Minnesota Power serves a number of customers in the paper, pulp and secondary wood products industry. The four major paper and pulp mills we serve reported operating at, or near, full capacity in 2017. Lower levels of production are expected in 2018 as a result of the closure of the smaller of the two paper machines located at UPM Blandin in the fourth quarter of 2017. (See </w:t>
      </w:r>
      <w:r>
        <w:rPr>
          <w:rFonts w:ascii="Arial" w:cs="Arial" w:eastAsia="Arial" w:hAnsi="Arial"/>
          <w:sz w:val="17"/>
          <w:szCs w:val="17"/>
          <w:i w:val="1"/>
          <w:iCs w:val="1"/>
          <w:color w:val="auto"/>
        </w:rPr>
        <w:t>UPM Blandin</w:t>
      </w:r>
      <w:r>
        <w:rPr>
          <w:rFonts w:ascii="Arial" w:cs="Arial" w:eastAsia="Arial" w:hAnsi="Arial"/>
          <w:sz w:val="17"/>
          <w:szCs w:val="17"/>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104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UPM Blandin</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2017, UPM-Kymmene Corporation announced that in light of the global market for graphic papers, and to sustain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leading position in the market, it planned to permanently close the smaller of UPM Blandin’s two paper machines located in Grand Rapids, Minnesota; the closure was completed in the fourth quarter of 2017. Paper production related to the other paper machine is planned to continue at UPM Blandin. Minnesota Power provides electric and steam service to UPM Blandin. In October 2018, Minnesota Power amended and extended its electric service agreement with UPM Blandin through 2028, subject to MPUC approval.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Verso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2018, Minnesota Power amended and extended its electric service agreement with Verso Corporation through 2024,</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MPUC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26, 2018, a fire at Husky Energy’s refinery in Superior, Wisconsin disrupted operations at the facility. Under normal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SWL&amp;P provides approximately 14 MW of average monthly demand to Husky Energy in addition to water service. The facility remains at minimal operations, and the refinery is not expected to resume normal operations until sometime in 2020.</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is a retail customer of the Nashwauk Public Utilities Commission, and Minnesota Power has a</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electric contract with the Nashwauk Public Utilities Commission for electric service through at least December 2032. Mesabi Metallics filed for bankruptcy protection in 2016, under Chapter 11 of the Bankruptcy Code in the U.S. Bankruptcy Court for the District of Delaware. In June 2017, the bankruptcy court approved a settlement plan for a consortium led by Chippewa Capital Partners LLC to take control of the project, subject to certain stipulations. In December 2017, Mesabi Metallics emerged from bankruptcy under the ownership of Chippewa Capital Partners LLC.</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2016, finding the final EIS adequate. The final EIS also requires Records of Decision by the federal agencies, which are expected in 2018, before final action can be taken on the required federal permits to construct and operate the mining operation.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2016, PolyMet submitted applications for water-related permits with the DNR and MPCA, an air quality permit with the MPCA, and a state permit to mine application with the DNR detailing its operational plans for the mine. On January 5, 2018, the DNR released PolyMet’s draft permit to mine and opened a public comment period through March 6, 2018. Public hearings were held in February 2018 to review the draft permit to mine as well as the MPCA’s draft water quality permit, draft air quality permit and draft water quality certification. On June 28, 2018, the U.S. Forest Service and PolyMet closed on a land exchange, which resulted in PolyMet obtaining surface rights to land needed to develop its mining operation. Minnesota Power could supply between 45 MW and 50 MW of load under a 10-year power supply contract with PolyMet that would begin upon start-up of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04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July 2017, Minnesota Power submitted a resource package to the MPUC requesting approval of PPAs for the output of a 250 MW wind energy facility and a 10 MW solar energy facility as well as approval of a 250 MW natural gas energy PPA. These agreements are subject to MPUC approval of the construction of NTEC, a 525 MW to 550 MW combined</w:t>
      </w:r>
      <w:r>
        <w:rPr>
          <w:rFonts w:ascii="MS PGothic" w:cs="MS PGothic" w:eastAsia="MS PGothic" w:hAnsi="MS PGothic"/>
          <w:sz w:val="16"/>
          <w:szCs w:val="16"/>
          <w:color w:val="auto"/>
        </w:rPr>
        <w:t>‑</w:t>
      </w:r>
      <w:r>
        <w:rPr>
          <w:rFonts w:ascii="Arial" w:cs="Arial" w:eastAsia="Arial" w:hAnsi="Arial"/>
          <w:sz w:val="16"/>
          <w:szCs w:val="16"/>
          <w:color w:val="auto"/>
        </w:rPr>
        <w:t>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 September 2017 order, the MPUC approved Minnesota Power’s request that approval for the natural gas energy PPA be decided through a contested case process. On July 2, 2018, an administrative law judge issued a recommendation that the MPUC deny approval of the NTEC agreements; the recommendation is not binding on the MPUC. On July 23, 2018, Minnesota Power filed exceptions to the administrative law judge’s recommendation. At a hearing on October 29, 2018, the MPUC approved Minnesota Power’s request for approval of the NTEC agreements. Separately, the MPUC required a baseload retirement evaluation in Minnesota Power’s next IRP filing analyzing its existing fleet including potential early retirement scenarios of Boswell Units 3 and 4, including a securitization plan. The MPUC also approved Minnesota Power’s request to extend the next IRP filing deadline until October 1, 2020.</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18, 2018, Minnesota Power filed a separate petition for approval of the PPA for the output of the 10 MW solar energy facility to be located in central Minnesota, which was approved by the MPUC in an order dated October 2, 2018. On August 22, 2018, Minnesota Power filed a separate petition for approval of an amended PPA for the output of the 250 MW wind energy facility to be located in southwestern Minnesota.</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2015, Minnesota Power filed its 2015 IRP with the MPUC, which included an analysis of a variety of existing and future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resource alternatives and a projection of customer cost impact by class. The 2015 IRP also contained steps in Minnesota Power’s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the next decade.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2016, Minnesota Power announced Boswell Units 1 and 2 will be retired, which is expected to occur in the fourth quarter of 2018. (See Note 6. Regulatory Matters.)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Power’s 2015 IRP includes an update on its plans and progress in meeting the Minnesota renewable energy milestones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2025. Minnesota Power continues to execute its renewable energy strategy through renewable projects that will ensure it meets the identified state mandate at the lowest cost for customers. Minnesota Power has exceeded the interim milestone requirements to date and expects between 25 percent and 30 percent of its applicable retail and municipal energy sales will be supplied by renewable energy sources in 2018.</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Minnesota Solar Energy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Minnesota Power’s solar energy supply consists of Camp Ripley, a 10 MW utility scale solar project at the Camp Ripley 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In an order dated October 2, 2018, the MPUC approved a PPA for the output of the 10 MW Blanchard solar energy facility to be located in central Minnesota. Minnesota Power believes Camp Ripley, the community solar garden arrays, and the PPA for the output of the 10 MW Blanchard solar energy facility will meet approximately two</w:t>
      </w:r>
      <w:r>
        <w:rPr>
          <w:rFonts w:ascii="MS PGothic" w:cs="MS PGothic" w:eastAsia="MS PGothic" w:hAnsi="MS PGothic"/>
          <w:sz w:val="18"/>
          <w:szCs w:val="18"/>
          <w:color w:val="auto"/>
        </w:rPr>
        <w:t>‑</w:t>
      </w:r>
      <w:r>
        <w:rPr>
          <w:rFonts w:ascii="Arial" w:cs="Arial" w:eastAsia="Arial" w:hAnsi="Arial"/>
          <w:sz w:val="18"/>
          <w:szCs w:val="18"/>
          <w:color w:val="auto"/>
        </w:rPr>
        <w:t>thirds of the overall mandate with an increase in solar rebates and community solar garden subscriptions expected to meet a portion of the required small scale solar mandate.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104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Minnesota Power has an approved cost recovery rider for investments and expenditures related to Bison.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an order dated July 30, 2018, subject to further review by the MPUC.</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Tenaska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an affiliate of Tenaska signed an amended long-term PPA that provides for Minnesota Power</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the energy and associated capacity from a 250 MW wind energy facility in southwest Minnesota for a 20-year period beginning in 2020. The agreement provides for the purchase of output from the facility at fixed energy prices. There are no fixed capacity charges, and Minnesota Power will only pay for energy as it is delivered. This agreement is subject to MPUC approval and construction of the wind energy facility.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PPA is subject to the construction of the GNTL and MMTP.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fourth PPA provides for Minnesota Power to purchase up to 133 MW of energy from Manitoba Hydro for 20 years beginning in 2020. The pricing under this PPA is based on forward market prices. The PPA is subject to the construction of the GNTL and MMTP. (See </w:t>
      </w:r>
      <w:r>
        <w:rPr>
          <w:rFonts w:ascii="Arial" w:cs="Arial" w:eastAsia="Arial" w:hAnsi="Arial"/>
          <w:sz w:val="16"/>
          <w:szCs w:val="16"/>
          <w:i w:val="1"/>
          <w:iCs w:val="1"/>
          <w:color w:val="auto"/>
        </w:rPr>
        <w:t>Great Northern Transmission Line</w:t>
      </w:r>
      <w:r>
        <w:rPr>
          <w:rFonts w:ascii="Arial" w:cs="Arial" w:eastAsia="Arial" w:hAnsi="Arial"/>
          <w:sz w:val="16"/>
          <w:szCs w:val="16"/>
          <w:color w:val="auto"/>
        </w:rPr>
        <w: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04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$314.9 million have been incurred through September 30, 2018, of which $163.3 million has been recovered from a subsidiary of Manitoba Hydro.</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held public hearings in June 2018. The NEB is required to make a decision on the MMTP by March 2019, but is not precluded from making a decision prior to that date. Approval of the Canadian federal cabinet is also required.</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by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Our wholly-owned subsidiary, ALLETE Transmission Holdings, owns approximately 8 percent of ATC, a Wisconsin-based utility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owns and maintains electric transmission assets in portions of Wisconsin, Michigan, Minnesota and Illinois. As of September 30, 2018, our equity investment in ATC was $126.0 million ($118.7 million as of December 31, 2017). In the first nine months of 2018, we invested $5.0 million in ATC, and on October 31, 2018, we invested an additional $1.2 million. We expect to make no additional investments in 2018. (See Note 7. Investment in ATC.)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10.32 percent, or 10.82 percent including an incentive adder for participation in a regional transmission organization. 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2018 through 2027, identifies a need for between $2.8 billion and $3.4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04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8"/>
          <w:szCs w:val="18"/>
          <w:color w:val="auto"/>
        </w:rPr>
        <w:t>‑</w:t>
      </w:r>
      <w:r>
        <w:rPr>
          <w:rFonts w:ascii="Arial" w:cs="Arial" w:eastAsia="Arial" w:hAnsi="Arial"/>
          <w:sz w:val="18"/>
          <w:szCs w:val="18"/>
          <w:color w:val="auto"/>
        </w:rPr>
        <w:t>term PSAs in place for the output or may be sold upon completion.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late 2016 and late 2017, ALLETE Clean Energy invested in equipment to meet production tax credit safe harbor provisions which provides an opportunity to seek development of up to approximately 1,500 MW of production tax credit qualified wind projects through 2021. ALLETE Clean Energy will also invest approximately $80 million through 2020 for production tax credit requalification of up to 385 WTGs at its Storm Lake I, Storm Lake II and Lake Benton wind energy facilities. We anticipate annual production tax credits relating to these projects of approximately $5 million in 2018, $10 million in 2019, and $15 million to $20 million annually in 2020 through 2027 and decreasing thereafter through 2030.</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ALLETE Clean Energy announced that it will develop a wind energy facility of up to 50 MW which was sold to Montana-Dakota Utilities; construction and sale were completed on October 31, 2018, with after-tax profit of approximately $9 million recognized in the fourth quarter of 2018. ALLETE Clean Energy also constructed and sold a 107 MW wind energy facility to Montana-Dakota Utilities in 2015.</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2017, ALLETE Clean Energy announced it will build, own and operate a 100 MW wind energy facility pursuant to a 20-year PSA with Northern States Power; construction is expected to be completed in 2019. On March 15, 2018, ALLETE Clean Energy announced that it will build, own and operate an 80 MW wind energy facility pursuant to a 15-year PSA with NorthWestern Corporation; construction is expected to be completed in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535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04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has a presence in 49 states and Canada, and has an established base of approximately 4,900 customers. U.S. Water Services differentiates itself from the competition by developing synergies between solutions in engineering, equipment and chemical water treatment, which helps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purchase prices between $10 million and $50 million. Priority will be given to acquisitions which expand its geographic reach, add new technology, or deepen its capabilities to serve its expanding customer base.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2017, U.S. Water Services acquired Tonka Water for total consideration of $19.2 million. Tonka Water is a supplier of municipal and industrial water treatment systems that expands U.S. Water Services’ geographic and customer markets.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Water Services expected cash flow from operating activities of approximately $15 million in 2018 ($12 million in 2017); however, cash flow from operating activities in 2018 is expected to be impacted by the timing of capital project sales resulting in increased expected cash flow from operating activities in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4.4 million tons of lignite coal in 2018 (4.7 million tons were sold in 2017) and has sold 3.4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(3.5 million tons were sold for the nine months ended September 30, 2017). BNI Energy operates under cost-plus fixed fee agreements extending through December 31, 2037.</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legacy Florida real estate investment. ALLETE Properties’ major projects in Florida are Town Center</w:t>
      </w:r>
      <w:r>
        <w:rPr>
          <w:rFonts w:ascii="Arial" w:cs="Arial" w:eastAsia="Arial" w:hAnsi="Arial"/>
          <w:sz w:val="16"/>
          <w:szCs w:val="16"/>
          <w:i w:val="1"/>
          <w:iCs w:val="1"/>
          <w:color w:val="auto"/>
        </w:rPr>
        <w:t xml:space="preserve"> </w:t>
      </w:r>
      <w:r>
        <w:rPr>
          <w:rFonts w:ascii="Arial" w:cs="Arial" w:eastAsia="Arial" w:hAnsi="Arial"/>
          <w:sz w:val="16"/>
          <w:szCs w:val="16"/>
          <w:color w:val="auto"/>
        </w:rPr>
        <w:t>at Palm Coast and Palm Coast Park, with approximately 1,900 acres combined of land available for sale. In addition to these two projects,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revised strategy incorporates the possibility of a bulk sale of ALLETE Properties entire portfolio. Proceeds from a bulk sale would be strategically deployed to support growth in ALLETE Clean Energy and U.S. Water Services, collectively our Energy Infrastructure and Related Services businesses. ALLETE Properties continues to pursue sales of individual parcels over time and will continue to maintain key entitlements and infrastructure.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20"/>
          </w:cols>
          <w:pgMar w:left="240" w:top="1040"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ALLETE’s aggregate federal and multi-state statutory tax rate is approximately 28 percent for 2018.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6"/>
          <w:szCs w:val="16"/>
          <w:color w:val="auto"/>
        </w:rPr>
        <w:t>‑</w:t>
      </w:r>
      <w:r>
        <w:rPr>
          <w:rFonts w:ascii="Arial" w:cs="Arial" w:eastAsia="Arial" w:hAnsi="Arial"/>
          <w:sz w:val="16"/>
          <w:szCs w:val="16"/>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8 percent for 2018 primarily due to a lower statutory tax rate resulting from the TCJA, and federal production tax credits as a result of wind energy generation. We also expect that our effective tax rate will be lower than the combined statutory rate over the next 12 years due to production tax credits attributable to our wind energy generation.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the federal income tax rate change of the TCJA to result in lower income tax expense on an ongoing basis for our Regulated Operations, ALLETE Clean Energy and U.S. Water Services segments as well as our Corporate and Other businesses. The lower income tax expense for our Regulated Operations segment is mostly offset by lower revenue as most of the benefits of the TCJA will be returned to customers under regulatory proceedings with the MPUC and PSCW. (See Note 6. Regulatory Matters.) We do not expect a material impact on the Company’s ability to utilize its federal and state NOL and tax credit carryforwards due to the TCJA.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2018,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$128.0 million, $389.0 million in available consolidated lines of credit and a debt-to-capital ratio of 42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800" w:type="dxa"/>
            <w:vAlign w:val="bottom"/>
          </w:tcPr>
          <w:p>
            <w:pPr>
              <w:spacing w:after="0"/>
              <w:rPr>
                <w:sz w:val="24"/>
                <w:szCs w:val="24"/>
                <w:color w:val="auto"/>
              </w:rPr>
            </w:pPr>
          </w:p>
        </w:tc>
        <w:tc>
          <w:tcPr>
            <w:tcW w:w="2360" w:type="dxa"/>
            <w:vAlign w:val="bottom"/>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800" w:type="dxa"/>
            <w:vAlign w:val="bottom"/>
          </w:tcPr>
          <w:p>
            <w:pPr>
              <w:spacing w:after="0"/>
              <w:rPr>
                <w:sz w:val="20"/>
                <w:szCs w:val="20"/>
                <w:color w:val="auto"/>
              </w:rPr>
            </w:pPr>
          </w:p>
        </w:tc>
        <w:tc>
          <w:tcPr>
            <w:tcW w:w="2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$2,116.1</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$2,068.2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360" w:type="dxa"/>
            <w:vAlign w:val="bottom"/>
          </w:tcPr>
          <w:p>
            <w:pPr>
              <w:jc w:val="right"/>
              <w:ind w:right="290"/>
              <w:spacing w:after="0"/>
              <w:rPr>
                <w:sz w:val="20"/>
                <w:szCs w:val="20"/>
                <w:color w:val="auto"/>
              </w:rPr>
            </w:pPr>
            <w:r>
              <w:rPr>
                <w:rFonts w:ascii="Arial" w:cs="Arial" w:eastAsia="Arial" w:hAnsi="Arial"/>
                <w:sz w:val="18"/>
                <w:szCs w:val="18"/>
                <w:color w:val="auto"/>
              </w:rPr>
              <w:t>1,527.9</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1,513.3</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$3,644.0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$3,581.5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8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298.1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(207.8)</w:t>
            </w:r>
          </w:p>
        </w:tc>
        <w:tc>
          <w:tcPr>
            <w:tcW w:w="106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(58.9)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22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31.4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81.2</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$141.5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0"/>
        </w:trPr>
        <w:tc>
          <w:tcPr>
            <w:tcW w:w="81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lower in 2018 compared to 2017 primarily due to an increase in inventory at ALLETE Clean Energy</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wind energy facility being constructed for sale to Montana-Dakota Utilities and higher contributions to the defined benefit pension plans. These decreases were partially offset by higher amounts collected from customers under cost recovery riders which are anticipated to be refunded in future periods and timing of payments on accounts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2018 compared to 2017 primarily due to higher capital expenditures.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04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lower in 2018 due to lower repayments of long-term debt and lower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These decreases in cash used for financing activities were partially offset by higher dividends on common stock as well as lower proceeds from the issuance of common stock and long-term debt.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long-term debt, common stock and commercial paper. As of September 30, 2018, we had consolidated bank lines of credit aggregating $407.0 million ($407.0 million as of December 31, 2017), the majority of which expire in October 2020. We had $18.0 million outstanding in standby letters of credit and no outstanding draws under our lines of credit as of September 30, 2018 ($11.9 million in standby letters of credit and no outstanding draws as of December 31, 2017). In addition, as of September 30, 2018, we had 3.0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We entered into a distribution agreement with Lampert Capital Markets, Inc., in 2008, as amended most recently in August 2016,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and sale of up to an aggregate of 13.6 million shares of our common stock, without par value, of which 2.9 million shares remain available for issuance. For the nine months ended September 30, 2018, no shares of common stock were issued under this agreement (1.0 million shares were issued for the nine months ended September 30, 2017, resulting in net proceeds of $65.7 million). The shares issued in 2017 were offered and sold pursuant to Registration Statement No. 333-212794, pursuant to which the remaining shares will continue to be offered for sale, from time to time.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2018, we issued 0.3 million shares of common stock through Invest Direct, the Employee Stock Purchase Plan, and the Retirement Savings and Stock Ownership Plan, resulting in net proceeds of $14.6 million (0.2 million shares were issued for the nine months ended September 30, 2017, resulting in net proceeds of $14.8 million).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were sold in reliance on an exemption from registration under Section 4(a)(2) of the Securities Act of 1933, as amended, to institutional accredited investors. (See Note 8. Short-Term and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 October 3, 2018, and October 17, 2018, ALLETE repaid $20.0 million and $10.0 million, respectively, under an unsecured term loan due in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During the nine months ended September 30, 2018, we contributed $15.0 million in cash to the defined benefit pension plans. We do not expect to make additional contributions to our defined benefit pension plans in 2018, and we do not expect to make any contributions to our other postretirement benefit plans in 2018. (See Note 12. Pension and Other Postretirement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2017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20"/>
          </w:cols>
          <w:pgMar w:left="240" w:top="104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80" w:type="dxa"/>
            <w:vAlign w:val="bottom"/>
          </w:tcPr>
          <w:p>
            <w:pPr>
              <w:jc w:val="center"/>
              <w:ind w:left="2812"/>
              <w:spacing w:after="0"/>
              <w:rPr>
                <w:sz w:val="20"/>
                <w:szCs w:val="20"/>
                <w:color w:val="auto"/>
              </w:rPr>
            </w:pPr>
            <w:r>
              <w:rPr>
                <w:rFonts w:ascii="Arial" w:cs="Arial" w:eastAsia="Arial" w:hAnsi="Arial"/>
                <w:sz w:val="18"/>
                <w:szCs w:val="18"/>
                <w:b w:val="1"/>
                <w:bCs w:val="1"/>
                <w:color w:val="auto"/>
                <w:w w:val="93"/>
              </w:rPr>
              <w:t>S&amp;P Global</w:t>
            </w: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380" w:type="dxa"/>
            <w:vAlign w:val="bottom"/>
          </w:tcPr>
          <w:p>
            <w:pPr>
              <w:jc w:val="center"/>
              <w:ind w:left="2792"/>
              <w:spacing w:after="0"/>
              <w:rPr>
                <w:sz w:val="20"/>
                <w:szCs w:val="20"/>
                <w:color w:val="auto"/>
              </w:rPr>
            </w:pPr>
            <w:r>
              <w:rPr>
                <w:rFonts w:ascii="Arial" w:cs="Arial" w:eastAsia="Arial" w:hAnsi="Arial"/>
                <w:sz w:val="18"/>
                <w:szCs w:val="18"/>
                <w:b w:val="1"/>
                <w:bCs w:val="1"/>
                <w:color w:val="auto"/>
                <w:w w:val="87"/>
              </w:rPr>
              <w:t>Ratings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380" w:type="dxa"/>
            <w:vAlign w:val="bottom"/>
            <w:tcBorders>
              <w:bottom w:val="single" w:sz="8" w:color="CCEEFF"/>
            </w:tcBorders>
            <w:shd w:val="clear" w:color="auto" w:fill="CCEEFF"/>
          </w:tcPr>
          <w:p>
            <w:pPr>
              <w:jc w:val="center"/>
              <w:ind w:left="2792"/>
              <w:spacing w:after="0"/>
              <w:rPr>
                <w:sz w:val="20"/>
                <w:szCs w:val="20"/>
                <w:color w:val="auto"/>
              </w:rPr>
            </w:pPr>
            <w:r>
              <w:rPr>
                <w:rFonts w:ascii="Arial" w:cs="Arial" w:eastAsia="Arial" w:hAnsi="Arial"/>
                <w:sz w:val="18"/>
                <w:szCs w:val="18"/>
                <w:color w:val="auto"/>
                <w:w w:val="98"/>
              </w:rPr>
              <w:t>BBB+</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380" w:type="dxa"/>
            <w:vAlign w:val="bottom"/>
          </w:tcPr>
          <w:p>
            <w:pPr>
              <w:jc w:val="center"/>
              <w:ind w:left="2812"/>
              <w:spacing w:after="0"/>
              <w:rPr>
                <w:sz w:val="20"/>
                <w:szCs w:val="20"/>
                <w:color w:val="auto"/>
              </w:rPr>
            </w:pPr>
            <w:r>
              <w:rPr>
                <w:rFonts w:ascii="Arial" w:cs="Arial" w:eastAsia="Arial" w:hAnsi="Arial"/>
                <w:sz w:val="18"/>
                <w:szCs w:val="18"/>
                <w:color w:val="auto"/>
                <w:w w:val="99"/>
              </w:rPr>
              <w:t>A-2</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380" w:type="dxa"/>
            <w:vAlign w:val="bottom"/>
            <w:tcBorders>
              <w:bottom w:val="single" w:sz="8" w:color="CCEEFF"/>
            </w:tcBorders>
            <w:shd w:val="clear" w:color="auto" w:fill="CCEEFF"/>
          </w:tcPr>
          <w:p>
            <w:pPr>
              <w:jc w:val="center"/>
              <w:ind w:left="2792"/>
              <w:spacing w:after="0"/>
              <w:rPr>
                <w:sz w:val="20"/>
                <w:szCs w:val="20"/>
                <w:color w:val="auto"/>
              </w:rPr>
            </w:pPr>
            <w:r>
              <w:rPr>
                <w:rFonts w:ascii="Arial" w:cs="Arial" w:eastAsia="Arial" w:hAnsi="Arial"/>
                <w:sz w:val="16"/>
                <w:szCs w:val="16"/>
                <w:i w:val="1"/>
                <w:iCs w:val="1"/>
                <w:color w:val="auto"/>
                <w:w w:val="91"/>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2018, S&amp;P Global Ratings revised its credit rating outlook on ALLETE to negative from stable, while affirming its issuer and commercial paper ratings on ALLETE. S&amp;P Global Ratings cited the potential effect of the TCJA on the Company’s cash flows and S&amp;P Global Ratings’ assessment of the Company’s regulatory risk following Minnesota Power’s recent general rate case as its rationale for issuing the negative outlook.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2018, Moody’s issued a report on ALLETE noting that Minnesota Power’s general rate case was credit negative. With respect to Minnesota Power’s general rate case outcome, Moody’s noted a lower return on equity, disallowance of various expenses, including a decision to disallow recovery of the prepaid pension asset, and a ruling against Minnesota Power’s request to adopt an annual rate review mechanism. In addition, Moody’s noted the potential negative impact of the TCJA on certain financial metrics used by Moody’s.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 is well-positioned to meet its liquidity needs. As of September 30, 2018, we had cash and cash equivalents of $128.0 million, $389.0 million in available consolidated lines of credit and a debt-to-equity ratio of 42 percent. Our cash from operating activities for the year ended December 31, 2017, was $402.9 million. In addition, as of September 30, 2018, we had 3.0 million original issue shares of our common stock available for issuance through Invest Direct and 2.9 million original issue shares of common stock available for issuance through a distribution agreement with Lampert Capital Markets, Inc.</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2018 and 2019 are expected to be approximately $350 million and $470 million,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from the 2018 and 2019 capital expenditures projected in our 2017 Form 10-K is primarily due to the 80 MW wind energy facility ALLETE Clean Energy will build, own and operate pursuant to a 15</w:t>
      </w:r>
      <w:r>
        <w:rPr>
          <w:rFonts w:ascii="MS PGothic" w:cs="MS PGothic" w:eastAsia="MS PGothic" w:hAnsi="MS PGothic"/>
          <w:sz w:val="18"/>
          <w:szCs w:val="18"/>
          <w:color w:val="auto"/>
        </w:rPr>
        <w:t>‑</w:t>
      </w:r>
      <w:r>
        <w:rPr>
          <w:rFonts w:ascii="Arial" w:cs="Arial" w:eastAsia="Arial" w:hAnsi="Arial"/>
          <w:sz w:val="18"/>
          <w:szCs w:val="18"/>
          <w:color w:val="auto"/>
        </w:rPr>
        <w:t>year PSA with NorthWestern Corporation. (See Item 7. Management’s Discussion and Analysis – Outlook – Energy Infrastructure and Related Services – ALLETE Clean Energy.) For the nine months ended September 30, 2018, capital expenditures totaled $215.5 million ($135.8 million for the nine months ended September 30, 2017). The expenditures were primarily made in the Regulated Operations and ALLETE Clean Energy segments.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13. Commitments, Guarantees and Contingencies.)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10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ALLETE had 1,929 employees, of which 1,881 were full-time.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and SWL&amp;P have an aggregate of 487 employees who are members of International Brotherhood of Electrical Workers (IBEW) Local 31. The labor agreements with IBEW Local 31 expired on January 31, 2018, and on February 1, 2018, Minnesota Power, SWL&amp;P and IBEW Local 31 agreed to amend the current contracts and extend the expiration to April 30, 2020, and February 1, 2021,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183 employees, of which 140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2018,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2018, an increase of 100 basis points in interest rates would impact the amount of pre-tax interest expense by $0.8 million. This amount was determined by considering the impact of a hypothetical 100 basis point increase to the average variable interest rate on the variable rate debt outstanding as of September 30, 2018.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04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2018,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our Consolidated Financial Statements in our 2017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2017 Form 10-K includes a detailed discussion of our risk factors. The information presented below updates, and should be read in conjunction with, the risk factors disclosed in Part I, Item 1A. Risk Factors of our 2017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provide integrated water management at U.S. Water Services,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Computer viruses, terrorism, theft and sabotage could impact our systems and facilities, or those of third parties on which we rely, which may disrupt our operations.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businesses require the continued operation of sophisticated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and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businesses were impacted by terrorist activities or cybersecurity incidents, such impacts could have an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20"/>
          </w:cols>
          <w:pgMar w:left="240" w:top="104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Number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rFonts w:ascii="Arial" w:cs="Arial" w:eastAsia="Arial" w:hAnsi="Arial"/>
                <w:sz w:val="18"/>
                <w:szCs w:val="18"/>
                <w:color w:val="0000FF"/>
                <w:w w:val="85"/>
              </w:rPr>
            </w:pPr>
            <w:hyperlink w:anchor="page67">
              <w:r>
                <w:rPr>
                  <w:rFonts w:ascii="Arial" w:cs="Arial" w:eastAsia="Arial" w:hAnsi="Arial"/>
                  <w:sz w:val="18"/>
                  <w:szCs w:val="18"/>
                  <w:color w:val="0000FF"/>
                  <w:w w:val="85"/>
                </w:rPr>
                <w:t>31(a)</w:t>
              </w:r>
            </w:hyperlink>
          </w:p>
        </w:tc>
        <w:tc>
          <w:tcPr>
            <w:tcW w:w="2740" w:type="dxa"/>
            <w:vAlign w:val="bottom"/>
            <w:gridSpan w:val="2"/>
            <w:shd w:val="clear" w:color="auto" w:fill="CCEEFF"/>
          </w:tcPr>
          <w:p>
            <w:pPr>
              <w:ind w:left="880"/>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Rule 13a-14(a)/15d-14(a)</w:t>
              </w:r>
            </w:hyperlink>
          </w:p>
        </w:tc>
        <w:tc>
          <w:tcPr>
            <w:tcW w:w="8260" w:type="dxa"/>
            <w:vAlign w:val="bottom"/>
            <w:gridSpan w:val="3"/>
            <w:shd w:val="clear" w:color="auto" w:fill="CCEEFF"/>
          </w:tcPr>
          <w:p>
            <w:pPr>
              <w:ind w:left="20"/>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by the Chief Executive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75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line="202" w:lineRule="exact"/>
              <w:rPr>
                <w:rFonts w:ascii="Arial" w:cs="Arial" w:eastAsia="Arial" w:hAnsi="Arial"/>
                <w:sz w:val="18"/>
                <w:szCs w:val="18"/>
                <w:color w:val="0000FF"/>
                <w:w w:val="85"/>
              </w:rPr>
            </w:pPr>
            <w:hyperlink w:anchor="page68">
              <w:r>
                <w:rPr>
                  <w:rFonts w:ascii="Arial" w:cs="Arial" w:eastAsia="Arial" w:hAnsi="Arial"/>
                  <w:sz w:val="18"/>
                  <w:szCs w:val="18"/>
                  <w:color w:val="0000FF"/>
                  <w:w w:val="85"/>
                </w:rPr>
                <w:t>31(b)</w:t>
              </w:r>
            </w:hyperlink>
          </w:p>
        </w:tc>
        <w:tc>
          <w:tcPr>
            <w:tcW w:w="2740" w:type="dxa"/>
            <w:vAlign w:val="bottom"/>
            <w:gridSpan w:val="2"/>
          </w:tcPr>
          <w:p>
            <w:pPr>
              <w:ind w:left="880"/>
              <w:spacing w:after="0" w:line="202"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Rule 13a-14(a)/15d-14(a)</w:t>
              </w:r>
            </w:hyperlink>
          </w:p>
        </w:tc>
        <w:tc>
          <w:tcPr>
            <w:tcW w:w="8260" w:type="dxa"/>
            <w:vAlign w:val="bottom"/>
            <w:gridSpan w:val="3"/>
          </w:tcPr>
          <w:p>
            <w:pPr>
              <w:ind w:lef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Certification by the Chief Financial Officer Pursuant to Section 302 of the Sarbanes-Oxley Act of 2002.</w:t>
              </w:r>
            </w:hyperlink>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7" w:lineRule="exact"/>
        <w:rPr>
          <w:sz w:val="20"/>
          <w:szCs w:val="20"/>
          <w:color w:val="auto"/>
        </w:rPr>
      </w:pPr>
    </w:p>
    <w:p>
      <w:pPr>
        <w:ind w:left="1300" w:right="20" w:hanging="1265"/>
        <w:spacing w:after="0" w:line="277" w:lineRule="auto"/>
        <w:tabs>
          <w:tab w:leader="none" w:pos="1300" w:val="left"/>
        </w:tabs>
        <w:numPr>
          <w:ilvl w:val="0"/>
          <w:numId w:val="22"/>
        </w:numPr>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Section 1350 Certification of Periodic Report by the Chief Executive Officer and the Chief Financial Officer Pursuant to Section 906 of the</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Sarbanes-Oxley Act of 2002.</w:t>
        </w:r>
      </w:hyperlink>
    </w:p>
    <w:p>
      <w:pPr>
        <w:spacing w:after="0" w:line="8" w:lineRule="exact"/>
        <w:rPr>
          <w:rFonts w:ascii="Arial" w:cs="Arial" w:eastAsia="Arial" w:hAnsi="Arial"/>
          <w:sz w:val="18"/>
          <w:szCs w:val="18"/>
          <w:u w:val="single" w:color="auto"/>
          <w:color w:val="0000FF"/>
        </w:rPr>
      </w:pPr>
    </w:p>
    <w:p>
      <w:pPr>
        <w:ind w:left="4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70">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 w:lineRule="exact"/>
        <w:rPr>
          <w:rFonts w:ascii="Arial" w:cs="Arial" w:eastAsia="Arial" w:hAnsi="Arial"/>
          <w:sz w:val="18"/>
          <w:szCs w:val="18"/>
          <w:u w:val="single" w:color="auto"/>
          <w:color w:val="0000FF"/>
        </w:rPr>
      </w:pPr>
    </w:p>
    <w:p>
      <w:pPr>
        <w:jc w:val="both"/>
        <w:ind w:left="1300" w:right="20" w:hanging="1265"/>
        <w:spacing w:after="0" w:line="307" w:lineRule="auto"/>
        <w:tabs>
          <w:tab w:leader="none" w:pos="1300" w:val="left"/>
        </w:tabs>
        <w:numPr>
          <w:ilvl w:val="0"/>
          <w:numId w:val="23"/>
        </w:numPr>
        <w:rPr>
          <w:rFonts w:ascii="Arial" w:cs="Arial" w:eastAsia="Arial" w:hAnsi="Arial"/>
          <w:sz w:val="16"/>
          <w:szCs w:val="16"/>
          <w:b w:val="1"/>
          <w:bCs w:val="1"/>
          <w:u w:val="single" w:color="auto"/>
          <w:color w:val="0000FF"/>
        </w:rPr>
      </w:pPr>
      <w:hyperlink w:anchor="page71">
        <w:r>
          <w:rPr>
            <w:rFonts w:ascii="Arial" w:cs="Arial" w:eastAsia="Arial" w:hAnsi="Arial"/>
            <w:sz w:val="16"/>
            <w:szCs w:val="16"/>
            <w:b w:val="1"/>
            <w:bCs w:val="1"/>
            <w:u w:val="single" w:color="auto"/>
            <w:color w:val="0000FF"/>
          </w:rPr>
          <w:t>ALLETE News Release dated November 1, 2018, announcing 2018 third quarter earnings. (This exhibit has been furnished and</w:t>
        </w:r>
      </w:hyperlink>
      <w:r>
        <w:rPr>
          <w:rFonts w:ascii="Arial" w:cs="Arial" w:eastAsia="Arial" w:hAnsi="Arial"/>
          <w:sz w:val="16"/>
          <w:szCs w:val="16"/>
          <w:b w:val="1"/>
          <w:bCs w:val="1"/>
          <w:u w:val="single" w:color="auto"/>
          <w:color w:val="0000FF"/>
        </w:rPr>
        <w:t xml:space="preserve"> </w:t>
      </w:r>
      <w:hyperlink w:anchor="page71">
        <w:r>
          <w:rPr>
            <w:rFonts w:ascii="Arial" w:cs="Arial" w:eastAsia="Arial" w:hAnsi="Arial"/>
            <w:sz w:val="16"/>
            <w:szCs w:val="16"/>
            <w:b w:val="1"/>
            <w:bCs w:val="1"/>
            <w:u w:val="single" w:color="auto"/>
            <w:color w:val="0000FF"/>
          </w:rPr>
          <w:t>shall not be deemed “filed” for purposes of Section 18 of the Securities Exchange Act of 1934, nor shall it be deemed incorporated</w:t>
        </w:r>
      </w:hyperlink>
      <w:r>
        <w:rPr>
          <w:rFonts w:ascii="Arial" w:cs="Arial" w:eastAsia="Arial" w:hAnsi="Arial"/>
          <w:sz w:val="16"/>
          <w:szCs w:val="16"/>
          <w:b w:val="1"/>
          <w:bCs w:val="1"/>
          <w:u w:val="single" w:color="auto"/>
          <w:color w:val="0000FF"/>
        </w:rPr>
        <w:t xml:space="preserve"> </w:t>
      </w:r>
      <w:hyperlink w:anchor="page71">
        <w:r>
          <w:rPr>
            <w:rFonts w:ascii="Arial" w:cs="Arial" w:eastAsia="Arial" w:hAnsi="Arial"/>
            <w:sz w:val="16"/>
            <w:szCs w:val="16"/>
            <w:b w:val="1"/>
            <w:bCs w:val="1"/>
            <w:u w:val="single" w:color="auto"/>
            <w:color w:val="0000FF"/>
          </w:rPr>
          <w:t>by reference in any filing under the Securities Act of 1933, except as shall be expressly set forth by specific reference in such filing.)</w:t>
        </w:r>
      </w:hyperlink>
    </w:p>
    <w:tbl>
      <w:tblPr>
        <w:tblLayout w:type="fixed"/>
        <w:tblInd w:w="0" w:type="dxa"/>
        <w:tblCellMar>
          <w:top w:w="0" w:type="dxa"/>
          <w:left w:w="0" w:type="dxa"/>
          <w:bottom w:w="0" w:type="dxa"/>
          <w:right w:w="0" w:type="dxa"/>
        </w:tblCellMar>
      </w:tblPr>
      <w:tr>
        <w:trPr>
          <w:trHeight w:val="216"/>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100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Arial" w:cs="Arial" w:eastAsia="Arial" w:hAnsi="Arial"/>
                <w:sz w:val="18"/>
                <w:szCs w:val="18"/>
                <w:color w:val="auto"/>
              </w:rPr>
              <w:t>the Inline XBRL document.</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rFonts w:ascii="Arial" w:cs="Arial" w:eastAsia="Arial" w:hAnsi="Arial"/>
          <w:sz w:val="16"/>
          <w:szCs w:val="16"/>
          <w:b w:val="1"/>
          <w:bCs w:val="1"/>
          <w:u w:val="single" w:color="auto"/>
          <w:color w:val="0000FF"/>
        </w:rPr>
      </w:pPr>
    </w:p>
    <w:p>
      <w:pPr>
        <w:spacing w:after="0" w:line="240"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Third Quarter 2018 Form 10-Q</w:t>
      </w:r>
    </w:p>
    <w:p>
      <w:pPr>
        <w:spacing w:after="0" w:line="13" w:lineRule="exact"/>
        <w:rPr>
          <w:rFonts w:ascii="Arial" w:cs="Arial" w:eastAsia="Arial" w:hAnsi="Arial"/>
          <w:sz w:val="16"/>
          <w:szCs w:val="16"/>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04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1, 2018</w:t>
            </w: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November 1, 2018</w:t>
            </w: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3"/>
              </w:rPr>
              <w:t>Vice President, Controller and Chief Accounting Officer</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88"/>
        </w:trPr>
        <w:tc>
          <w:tcPr>
            <w:tcW w:w="2840" w:type="dxa"/>
            <w:vAlign w:val="bottom"/>
          </w:tcPr>
          <w:p>
            <w:pPr>
              <w:spacing w:after="0"/>
              <w:rPr>
                <w:sz w:val="24"/>
                <w:szCs w:val="24"/>
                <w:color w:val="auto"/>
              </w:rPr>
            </w:pPr>
          </w:p>
        </w:tc>
        <w:tc>
          <w:tcPr>
            <w:tcW w:w="8540" w:type="dxa"/>
            <w:vAlign w:val="bottom"/>
            <w:gridSpan w:val="2"/>
          </w:tcPr>
          <w:p>
            <w:pPr>
              <w:ind w:left="1500"/>
              <w:spacing w:after="0"/>
              <w:rPr>
                <w:sz w:val="20"/>
                <w:szCs w:val="20"/>
                <w:color w:val="auto"/>
              </w:rPr>
            </w:pPr>
            <w:r>
              <w:rPr>
                <w:rFonts w:ascii="Arial" w:cs="Arial" w:eastAsia="Arial" w:hAnsi="Arial"/>
                <w:sz w:val="14"/>
                <w:szCs w:val="14"/>
                <w:color w:val="auto"/>
              </w:rPr>
              <w:t>ALLETE, Inc. Third Quarter 2018 Form 10-Q</w:t>
            </w:r>
          </w:p>
        </w:tc>
      </w:tr>
    </w:tbl>
    <w:p>
      <w:pPr>
        <w:jc w:val="right"/>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104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2018,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2018</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2018</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69" w:name="page70"/>
    <w:bookmarkEnd w:id="69"/>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the quarter ended September 30, 2018, BNI Energy, owner of Center Mine, received six citations under Section 104(a) of the Mine Safety Act, one of which was a significant and substantial (S&amp;S) citation; eight citations were received for the nine months ended September 30, 2018. For the quarter and nine months ended September 30, 2018, BNI Energy paid $1,989 and $2,197, respectively, in penalties for citations closed during the period. For the quarter and nine months ended September 30, 2018, there were no citations, orders, violations or notices received under Sections 104(b), 104(d), 107(a), 104(e) or 110(b)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of the Mine Safety Act and there were no fatalities.</w:t>
      </w:r>
    </w:p>
    <w:p>
      <w:pPr>
        <w:sectPr>
          <w:pgSz w:w="11900" w:h="16838" w:orient="portrait"/>
          <w:cols w:equalWidth="0" w:num="1">
            <w:col w:w="11440"/>
          </w:cols>
          <w:pgMar w:left="240" w:top="702" w:right="219" w:bottom="1440" w:gutter="0" w:footer="0" w:header="0"/>
        </w:sectPr>
      </w:pPr>
    </w:p>
    <w:bookmarkStart w:id="70" w:name="page71"/>
    <w:bookmarkEnd w:id="70"/>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1183" w:right="25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-95250</wp:posOffset>
            </wp:positionV>
            <wp:extent cx="1758315"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8315" cy="823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1, 2018</w:t>
      </w:r>
    </w:p>
    <w:p>
      <w:pPr>
        <w:spacing w:after="0" w:line="96" w:lineRule="exact"/>
        <w:rPr>
          <w:sz w:val="20"/>
          <w:szCs w:val="20"/>
          <w:color w:val="auto"/>
        </w:rPr>
      </w:pPr>
    </w:p>
    <w:p>
      <w:pPr>
        <w:sectPr>
          <w:pgSz w:w="11900" w:h="16838" w:orient="portrait"/>
          <w:cols w:equalWidth="0" w:num="2">
            <w:col w:w="7940" w:space="720"/>
            <w:col w:w="2740"/>
          </w:cols>
          <w:pgMar w:left="240" w:top="1183" w:right="25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40"/>
          </w:cols>
          <w:pgMar w:left="240" w:top="1183" w:right="25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00"/>
          </w:cols>
          <w:pgMar w:left="240" w:top="118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third quarter 2018 earnings</w:t>
      </w:r>
    </w:p>
    <w:p>
      <w:pPr>
        <w:spacing w:after="0" w:line="200" w:lineRule="exact"/>
        <w:rPr>
          <w:sz w:val="20"/>
          <w:szCs w:val="20"/>
          <w:color w:val="auto"/>
        </w:rPr>
      </w:pPr>
    </w:p>
    <w:p>
      <w:pPr>
        <w:spacing w:after="0" w:line="2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DULUTH, Minn. - ALLETE, Inc. (NYSE: ALE) today reported third quarter 2018 earnings of 59 cents per share on net income of $30.7 million and operating revenue of $348.0 million. Last year’s results were 88 cents per share on net income of $44.9 million and operating revenue of $362.5 million. Results for the third quarter of 2017 reflect a $7.9 million after-tax, or 16 cents per share, favorable impact for the regulatory outcome related to the allocation of North Dakota investment tax credits. Results in the third quarter of 2018 included $5.5 million after-tax, or 11 cents per share, of reserves for an interim rate refund, a $3.1 million after-tax, or 6 cents per share, reduction in revenue for an estimated true-up of transmission rates that were billed in 2017 and $0.9 million after-tax, or 2 cents per share, of additional income tax expense related to changes enacted as part of tax reform for the executive compensation deduction, partially offset by the timing of approval for financial incentives under the Minnesota conservation improvement program of $2.1 million after-tax, or 4 cents per share.</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year-to-date financial results capture robust demand from our taconite customers, impacts from a rate case outcome earlier this year and ALLETE Clean Energy’s progress executing its multi-year refurbishment strategy. We are on track to deliver full-year financial results that are near the mid-point of our original 2018 earnings guidance range of $3.20 to $3.50 per share.” said ALLETE Chairman, President and CEO Al Hodnik.</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ALLETE’s Regulated Operations segment, which includes Minnesota Power, Superior Water, Light and Power, and the Company’s investment in the American Transmission Co. (ATC), recorded net income of $29.8 million for the third quarter of 2018, a decrease of $4.4 million from 2017. Earnings decreased primarily due to lower net income at Minnesota Power resulting from timing of reserves for an interim rate refund and lower transmission revenue resulting from a reduction in revenue for an estimated true-up of transmission rates billed in 2017. These decreases were partially offset by higher sales to residential and commercial customers due to more favorable weather conditions, lower operating and maintenance expenses and timing of approval for financial incentives under the Minnesota conservation improvement program compared to 2017.</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ALLETE’s Energy Infrastructure and Related Services businesses, which include ALLETE Clean Energy and U.S. Water Services, recorded net income of $1.0 million and $1.7 million for the third quarter of 2018, respectively. Earnings at ALLETE Clean Energy increased $0.4 million from 2017. ALLETE Clean Energy’s 2018 net income included the benefit of higher wind resources and additional production tax credits generated as ALLETE Clean Energy executes its refurbishment strategy, partially offset by higher operating and maintenance expenses compared to the same period in 2017. Earnings from U.S. Water Services reflect higher revenue resulting from the 2017 acquisition of Tonka Water and higher sales of chemicals and related services, partially offset by higher operating expenses. Results this period were also negatively impacted by the timing of capital project sales.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Corporate and Other, which includes BNI Energy and ALLETE Properties, posted a net loss of $1.8 million in the third quarter of 2018 compared to net income of $8.8 million in 2017. Net income in 2017 included the previously mentioned $7.9 million after-tax, or 16 cents per share, favorable impact for the regulatory outcome related to the allocation of North Dakota investment tax credits. The net loss in 2018 included lower revenue at ALLETE Properties and additional income tax expense.</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using pass code 3977089, or by accessing the webcast at www.allete.com. A replay of the call will be available through November 5, 2018 by calling (855) 859-2056, pass code 3977089. The webcast will be accessible for one year at </w:t>
      </w:r>
      <w:r>
        <w:rPr>
          <w:rFonts w:ascii="Arial" w:cs="Arial" w:eastAsia="Arial" w:hAnsi="Arial"/>
          <w:sz w:val="17"/>
          <w:szCs w:val="17"/>
          <w:u w:val="single" w:color="auto"/>
          <w:color w:val="130EFF"/>
        </w:rPr>
        <w:t>www.allete.com</w:t>
      </w:r>
      <w:r>
        <w:rPr>
          <w:rFonts w:ascii="Arial" w:cs="Arial" w:eastAsia="Arial" w:hAnsi="Arial"/>
          <w:sz w:val="17"/>
          <w:szCs w:val="17"/>
          <w:color w:val="auto"/>
        </w:rPr>
        <w:t>.</w:t>
      </w:r>
    </w:p>
    <w:p>
      <w:pPr>
        <w:sectPr>
          <w:pgSz w:w="11900" w:h="16838" w:orient="portrait"/>
          <w:cols w:equalWidth="0" w:num="1">
            <w:col w:w="11400"/>
          </w:cols>
          <w:pgMar w:left="240" w:top="1183" w:right="259" w:bottom="1440" w:gutter="0" w:footer="0" w:header="0"/>
          <w:type w:val="continuous"/>
        </w:sectPr>
      </w:pPr>
    </w:p>
    <w:bookmarkStart w:id="71" w:name="page72"/>
    <w:bookmarkEnd w:id="71"/>
    <w:p>
      <w:pPr>
        <w:ind w:right="8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BNI Energy in Bismarck, N.D., U.S. Water Services headquartered in St. Michael, Minn.,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1003" w:right="27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7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19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Nine Months Ended</w:t>
            </w:r>
          </w:p>
        </w:tc>
      </w:tr>
      <w:tr>
        <w:trPr>
          <w:trHeight w:val="270"/>
        </w:trPr>
        <w:tc>
          <w:tcPr>
            <w:tcW w:w="5320" w:type="dxa"/>
            <w:vAlign w:val="bottom"/>
          </w:tcPr>
          <w:p>
            <w:pPr>
              <w:spacing w:after="0"/>
              <w:rPr>
                <w:sz w:val="23"/>
                <w:szCs w:val="23"/>
                <w:color w:val="auto"/>
              </w:rPr>
            </w:pPr>
          </w:p>
        </w:tc>
        <w:tc>
          <w:tcPr>
            <w:tcW w:w="37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19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320" w:type="dxa"/>
            <w:vAlign w:val="bottom"/>
          </w:tcPr>
          <w:p>
            <w:pPr>
              <w:spacing w:after="0"/>
              <w:rPr>
                <w:sz w:val="23"/>
                <w:szCs w:val="23"/>
                <w:color w:val="auto"/>
              </w:rPr>
            </w:pPr>
          </w:p>
        </w:tc>
        <w:tc>
          <w:tcPr>
            <w:tcW w:w="26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5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$261.3</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$277.6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$789.3</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$824.1</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80.7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79.0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243.1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239.6</w:t>
            </w: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r>
      <w:tr>
        <w:trPr>
          <w:trHeight w:val="237"/>
        </w:trPr>
        <w:tc>
          <w:tcPr>
            <w:tcW w:w="53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348.0</w:t>
            </w: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362.5</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1,050.3</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1,081.4</w:t>
            </w:r>
          </w:p>
        </w:tc>
      </w:tr>
      <w:tr>
        <w:trPr>
          <w:trHeight w:val="27"/>
        </w:trPr>
        <w:tc>
          <w:tcPr>
            <w:tcW w:w="5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103.2</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93.5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300.6</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283.2</w:t>
            </w: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17.9</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18.9</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53.1</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38.7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36.0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108.6</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105.9</w:t>
            </w: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80.3</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81.1</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253.6</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50.9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153.4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151.5</w:t>
            </w: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13.1</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43.8</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r>
      <w:tr>
        <w:trPr>
          <w:trHeight w:val="237"/>
        </w:trPr>
        <w:tc>
          <w:tcPr>
            <w:tcW w:w="53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304.7</w:t>
            </w: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294.5</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913.1</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887.8</w:t>
            </w:r>
          </w:p>
        </w:tc>
      </w:tr>
      <w:tr>
        <w:trPr>
          <w:trHeight w:val="27"/>
        </w:trPr>
        <w:tc>
          <w:tcPr>
            <w:tcW w:w="5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43.3</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68.0</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137.2</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w:t>
            </w:r>
          </w:p>
        </w:tc>
      </w:tr>
      <w:tr>
        <w:trPr>
          <w:trHeight w:val="237"/>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Equity Earnings in ATC</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4.0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37"/>
        </w:trPr>
        <w:tc>
          <w:tcPr>
            <w:tcW w:w="53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(8.9)</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5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31.1</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59.1</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104.3</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14.2</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34.6</w:t>
            </w:r>
          </w:p>
        </w:tc>
      </w:tr>
      <w:tr>
        <w:trPr>
          <w:trHeight w:val="27"/>
        </w:trPr>
        <w:tc>
          <w:tcPr>
            <w:tcW w:w="5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$30.7</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$44.9</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$113.0</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w:t>
            </w:r>
          </w:p>
        </w:tc>
      </w:tr>
      <w:tr>
        <w:trPr>
          <w:trHeight w:val="237"/>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51.4</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51.0</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51.6</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51.2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50.9</w:t>
            </w:r>
          </w:p>
        </w:tc>
      </w:tr>
      <w:tr>
        <w:trPr>
          <w:trHeight w:val="27"/>
        </w:trPr>
        <w:tc>
          <w:tcPr>
            <w:tcW w:w="5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$0.59</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$0.88</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$0.59</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$0.88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$2.57</w:t>
            </w:r>
          </w:p>
        </w:tc>
      </w:tr>
      <w:tr>
        <w:trPr>
          <w:trHeight w:val="27"/>
        </w:trPr>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$0.56</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$0.535</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r>
      <w:tr>
        <w:trPr>
          <w:trHeight w:val="20"/>
        </w:trPr>
        <w:tc>
          <w:tcPr>
            <w:tcW w:w="532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Sept.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40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311.4</w:t>
            </w:r>
          </w:p>
        </w:tc>
        <w:tc>
          <w:tcPr>
            <w:tcW w:w="920" w:type="dxa"/>
            <w:vAlign w:val="bottom"/>
          </w:tcPr>
          <w:p>
            <w:pPr>
              <w:jc w:val="right"/>
              <w:spacing w:after="0"/>
              <w:rPr>
                <w:sz w:val="20"/>
                <w:szCs w:val="20"/>
                <w:color w:val="auto"/>
              </w:rPr>
            </w:pPr>
            <w:r>
              <w:rPr>
                <w:rFonts w:ascii="Arial" w:cs="Arial" w:eastAsia="Arial" w:hAnsi="Arial"/>
                <w:sz w:val="18"/>
                <w:szCs w:val="18"/>
                <w:color w:val="auto"/>
              </w:rPr>
              <w:t>268.6</w:t>
            </w:r>
          </w:p>
        </w:tc>
        <w:tc>
          <w:tcPr>
            <w:tcW w:w="400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1,461.7</w:t>
            </w:r>
          </w:p>
        </w:tc>
        <w:tc>
          <w:tcPr>
            <w:tcW w:w="840" w:type="dxa"/>
            <w:vAlign w:val="bottom"/>
          </w:tcPr>
          <w:p>
            <w:pPr>
              <w:jc w:val="right"/>
              <w:spacing w:after="0"/>
              <w:rPr>
                <w:sz w:val="20"/>
                <w:szCs w:val="20"/>
                <w:color w:val="auto"/>
              </w:rPr>
            </w:pPr>
            <w:r>
              <w:rPr>
                <w:rFonts w:ascii="Arial" w:cs="Arial" w:eastAsia="Arial" w:hAnsi="Arial"/>
                <w:sz w:val="18"/>
                <w:szCs w:val="18"/>
                <w:color w:val="auto"/>
              </w:rPr>
              <w:t>1,439.2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jc w:val="right"/>
              <w:spacing w:after="0"/>
              <w:rPr>
                <w:sz w:val="20"/>
                <w:szCs w:val="20"/>
                <w:color w:val="auto"/>
              </w:rPr>
            </w:pPr>
            <w:r>
              <w:rPr>
                <w:rFonts w:ascii="Arial" w:cs="Arial" w:eastAsia="Arial" w:hAnsi="Arial"/>
                <w:sz w:val="18"/>
                <w:szCs w:val="18"/>
                <w:color w:val="auto"/>
              </w:rPr>
              <w:t>384.7</w:t>
            </w:r>
          </w:p>
        </w:tc>
        <w:tc>
          <w:tcPr>
            <w:tcW w:w="400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512.3</w:t>
            </w:r>
          </w:p>
        </w:tc>
        <w:tc>
          <w:tcPr>
            <w:tcW w:w="840" w:type="dxa"/>
            <w:vAlign w:val="bottom"/>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vMerge w:val="continue"/>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Benefit Plans</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340" w:type="dxa"/>
            <w:vAlign w:val="bottom"/>
          </w:tcPr>
          <w:p>
            <w:pPr>
              <w:jc w:val="right"/>
              <w:spacing w:after="0"/>
              <w:rPr>
                <w:sz w:val="20"/>
                <w:szCs w:val="20"/>
                <w:color w:val="auto"/>
              </w:rPr>
            </w:pPr>
            <w:r>
              <w:rPr>
                <w:rFonts w:ascii="Arial" w:cs="Arial" w:eastAsia="Arial" w:hAnsi="Arial"/>
                <w:sz w:val="18"/>
                <w:szCs w:val="18"/>
                <w:color w:val="auto"/>
              </w:rPr>
              <w:t>51.7</w:t>
            </w: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400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265.6</w:t>
            </w:r>
          </w:p>
        </w:tc>
        <w:tc>
          <w:tcPr>
            <w:tcW w:w="84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104.4</w:t>
            </w:r>
          </w:p>
        </w:tc>
        <w:tc>
          <w:tcPr>
            <w:tcW w:w="920" w:type="dxa"/>
            <w:vAlign w:val="bottom"/>
          </w:tcPr>
          <w:p>
            <w:pPr>
              <w:jc w:val="right"/>
              <w:spacing w:after="0"/>
              <w:rPr>
                <w:sz w:val="20"/>
                <w:szCs w:val="20"/>
                <w:color w:val="auto"/>
              </w:rPr>
            </w:pPr>
            <w:r>
              <w:rPr>
                <w:rFonts w:ascii="Arial" w:cs="Arial" w:eastAsia="Arial" w:hAnsi="Arial"/>
                <w:sz w:val="18"/>
                <w:szCs w:val="18"/>
                <w:color w:val="auto"/>
              </w:rPr>
              <w:t>107.7</w:t>
            </w:r>
          </w:p>
        </w:tc>
        <w:tc>
          <w:tcPr>
            <w:tcW w:w="4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99"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300" w:type="dxa"/>
            <w:vAlign w:val="bottom"/>
          </w:tcPr>
          <w:p>
            <w:pPr>
              <w:spacing w:after="0"/>
              <w:rPr>
                <w:sz w:val="20"/>
                <w:szCs w:val="20"/>
                <w:color w:val="auto"/>
              </w:rPr>
            </w:pPr>
          </w:p>
        </w:tc>
        <w:tc>
          <w:tcPr>
            <w:tcW w:w="30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440" w:type="dxa"/>
            <w:vAlign w:val="bottom"/>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440" w:type="dxa"/>
            <w:vAlign w:val="bottom"/>
          </w:tcPr>
          <w:p>
            <w:pPr>
              <w:jc w:val="right"/>
              <w:ind w:right="115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810"/>
              <w:spacing w:after="0"/>
              <w:rPr>
                <w:sz w:val="20"/>
                <w:szCs w:val="20"/>
                <w:color w:val="auto"/>
              </w:rPr>
            </w:pPr>
            <w:r>
              <w:rPr>
                <w:rFonts w:ascii="Arial" w:cs="Arial" w:eastAsia="Arial" w:hAnsi="Arial"/>
                <w:sz w:val="18"/>
                <w:szCs w:val="18"/>
                <w:b w:val="1"/>
                <w:bCs w:val="1"/>
                <w:color w:val="auto"/>
                <w:w w:val="94"/>
              </w:rPr>
              <w:t>2017</w:t>
            </w:r>
          </w:p>
        </w:tc>
        <w:tc>
          <w:tcPr>
            <w:tcW w:w="2000" w:type="dxa"/>
            <w:vAlign w:val="bottom"/>
          </w:tcPr>
          <w:p>
            <w:pPr>
              <w:jc w:val="right"/>
              <w:ind w:right="115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$29.8</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$34.2</w:t>
            </w:r>
          </w:p>
        </w:tc>
        <w:tc>
          <w:tcPr>
            <w:tcW w:w="20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$99.7</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$110.1</w:t>
            </w:r>
          </w:p>
        </w:tc>
      </w:t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440" w:type="dxa"/>
            <w:vAlign w:val="bottom"/>
          </w:tcPr>
          <w:p>
            <w:pPr>
              <w:jc w:val="right"/>
              <w:ind w:right="790"/>
              <w:spacing w:after="0"/>
              <w:rPr>
                <w:sz w:val="20"/>
                <w:szCs w:val="20"/>
                <w:color w:val="auto"/>
              </w:rPr>
            </w:pPr>
            <w:r>
              <w:rPr>
                <w:rFonts w:ascii="Arial" w:cs="Arial" w:eastAsia="Arial" w:hAnsi="Arial"/>
                <w:sz w:val="18"/>
                <w:szCs w:val="18"/>
                <w:color w:val="auto"/>
              </w:rPr>
              <w:t>1.0</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0.6</w:t>
            </w:r>
          </w:p>
        </w:tc>
        <w:tc>
          <w:tcPr>
            <w:tcW w:w="2000" w:type="dxa"/>
            <w:vAlign w:val="bottom"/>
          </w:tcPr>
          <w:p>
            <w:pPr>
              <w:jc w:val="right"/>
              <w:ind w:right="790"/>
              <w:spacing w:after="0"/>
              <w:rPr>
                <w:sz w:val="20"/>
                <w:szCs w:val="20"/>
                <w:color w:val="auto"/>
              </w:rPr>
            </w:pPr>
            <w:r>
              <w:rPr>
                <w:rFonts w:ascii="Arial" w:cs="Arial" w:eastAsia="Arial" w:hAnsi="Arial"/>
                <w:sz w:val="18"/>
                <w:szCs w:val="18"/>
                <w:color w:val="auto"/>
              </w:rPr>
              <w:t>15.9</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4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w:t>
            </w:r>
          </w:p>
        </w:tc>
        <w:tc>
          <w:tcPr>
            <w:tcW w:w="2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0.5</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5"/>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(1.8)</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8.8</w:t>
            </w: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7"/>
        </w:trPr>
        <w:tc>
          <w:tcPr>
            <w:tcW w:w="4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4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$30.7</w:t>
            </w: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$44.9</w:t>
            </w:r>
          </w:p>
        </w:tc>
        <w:tc>
          <w:tcPr>
            <w:tcW w:w="20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$113.0</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$130.8</w:t>
            </w: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$0.59</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$0.88</w:t>
            </w:r>
          </w:p>
        </w:tc>
        <w:tc>
          <w:tcPr>
            <w:tcW w:w="20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$2.19</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$2.57</w:t>
            </w:r>
          </w:p>
        </w:tc>
      </w:tr>
      <w:tr>
        <w:trPr>
          <w:trHeight w:val="588"/>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High</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$80.78</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$79.61</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$80.78</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$79.61</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$73.39</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$69.79</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$66.64</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$61.64</w:t>
            </w: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Close</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$75.01</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$77.29</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$75.01</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$77.29</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$41.15</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$40.02</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$41.15</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$40.02</w:t>
            </w:r>
          </w:p>
        </w:tc>
      </w:tr>
      <w:tr>
        <w:trPr>
          <w:trHeight w:val="588"/>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251</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239</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836</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791</w:t>
            </w:r>
          </w:p>
        </w:tc>
      </w:tr>
      <w:tr>
        <w:trPr>
          <w:trHeight w:val="243"/>
        </w:trPr>
        <w:tc>
          <w:tcPr>
            <w:tcW w:w="46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369</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364</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1,075</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1,061</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1,794</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1,859</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5,418</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5,437</w:t>
            </w:r>
          </w:p>
        </w:tc>
      </w:tr>
      <w:tr>
        <w:trPr>
          <w:trHeight w:val="243"/>
        </w:trPr>
        <w:tc>
          <w:tcPr>
            <w:tcW w:w="466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196</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195</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603</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591</w:t>
            </w: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2,610</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2,657</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7,932</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7,880</w:t>
            </w: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968</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977</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2,976</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3,022</w:t>
            </w: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3,578</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3,634</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10,908</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10,902</w:t>
            </w:r>
          </w:p>
        </w:tc>
      </w:tr>
      <w:tr>
        <w:trPr>
          <w:trHeight w:val="588"/>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Retail and Municipal Electric Revenue</w:t>
            </w:r>
          </w:p>
        </w:tc>
        <w:tc>
          <w:tcPr>
            <w:tcW w:w="2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$29.0</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$26.6</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$92.5</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$86.4</w:t>
            </w:r>
          </w:p>
        </w:tc>
      </w:tr>
      <w:tr>
        <w:trPr>
          <w:trHeight w:val="243"/>
        </w:trPr>
        <w:tc>
          <w:tcPr>
            <w:tcW w:w="46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37.2</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35.4</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106.4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103.8</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116.9</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121.3</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344.9</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362.8</w:t>
            </w:r>
          </w:p>
        </w:tc>
      </w:tr>
      <w:tr>
        <w:trPr>
          <w:trHeight w:val="243"/>
        </w:trPr>
        <w:tc>
          <w:tcPr>
            <w:tcW w:w="466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14.1</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14.6</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41.8</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45.1</w:t>
            </w: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 Electric Revenue</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197.2</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197.9</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585.6</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598.1</w:t>
            </w: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440" w:type="dxa"/>
            <w:vAlign w:val="bottom"/>
          </w:tcPr>
          <w:p>
            <w:pPr>
              <w:jc w:val="right"/>
              <w:ind w:right="650"/>
              <w:spacing w:after="0"/>
              <w:rPr>
                <w:sz w:val="20"/>
                <w:szCs w:val="20"/>
                <w:color w:val="auto"/>
              </w:rPr>
            </w:pPr>
            <w:r>
              <w:rPr>
                <w:rFonts w:ascii="Arial" w:cs="Arial" w:eastAsia="Arial" w:hAnsi="Arial"/>
                <w:sz w:val="18"/>
                <w:szCs w:val="18"/>
                <w:color w:val="auto"/>
              </w:rPr>
              <w:t>40.9</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41.2</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127.3</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124.1</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(Includes Water and Gas Revenue)</w:t>
            </w:r>
          </w:p>
        </w:tc>
        <w:tc>
          <w:tcPr>
            <w:tcW w:w="24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23.2</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38.5</w:t>
            </w:r>
          </w:p>
        </w:tc>
        <w:tc>
          <w:tcPr>
            <w:tcW w:w="2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76.4</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101.9</w:t>
            </w:r>
          </w:p>
        </w:tc>
      </w:tr>
      <w:tr>
        <w:trPr>
          <w:trHeight w:val="237"/>
        </w:trPr>
        <w:tc>
          <w:tcPr>
            <w:tcW w:w="46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4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$261.3</w:t>
            </w:r>
          </w:p>
        </w:tc>
        <w:tc>
          <w:tcPr>
            <w:tcW w:w="1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$277.6</w:t>
            </w:r>
          </w:p>
        </w:tc>
        <w:tc>
          <w:tcPr>
            <w:tcW w:w="20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$789.3</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$824.1</w:t>
            </w:r>
          </w:p>
        </w:tc>
      </w:tr>
      <w:tr>
        <w:trPr>
          <w:trHeight w:val="27"/>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99"/>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2019-12-28T18:54:33Z</dcterms:created>
  <dcterms:modified xsi:type="dcterms:W3CDTF">2019-12-28T18:54:33Z</dcterms:modified>
</cp:coreProperties>
</file>