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2011</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Large Accelerated Filer 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86"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w:t>
      </w:r>
    </w:p>
    <w:p>
      <w:pPr>
        <w:spacing w:after="0" w:line="200" w:lineRule="exact"/>
        <w:rPr>
          <w:sz w:val="24"/>
          <w:szCs w:val="24"/>
          <w:color w:val="auto"/>
        </w:rPr>
      </w:pPr>
    </w:p>
    <w:p>
      <w:pPr>
        <w:sectPr>
          <w:pgSz w:w="11900" w:h="16838" w:orient="portrait"/>
          <w:cols w:equalWidth="0" w:num="2">
            <w:col w:w="6300" w:space="720"/>
            <w:col w:w="4400"/>
          </w:cols>
          <w:pgMar w:left="240" w:top="229"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 Yes  T No</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36,809,561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September 30, 2011</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40" w:type="dxa"/>
            <w:vAlign w:val="bottom"/>
            <w:gridSpan w:val="4"/>
          </w:tcPr>
          <w:p>
            <w:pPr>
              <w:ind w:left="2060"/>
              <w:spacing w:after="0"/>
              <w:rPr>
                <w:sz w:val="20"/>
                <w:szCs w:val="20"/>
                <w:color w:val="auto"/>
              </w:rPr>
            </w:pPr>
            <w:r>
              <w:rPr>
                <w:rFonts w:ascii="Arial" w:cs="Arial" w:eastAsia="Arial" w:hAnsi="Arial"/>
                <w:sz w:val="18"/>
                <w:szCs w:val="18"/>
                <w:color w:val="auto"/>
                <w:w w:val="85"/>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6"/>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244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2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980" w:type="dxa"/>
            <w:vAlign w:val="bottom"/>
            <w:gridSpan w:val="31"/>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Safe Harbor Statement Under the Private Securities Litigation Reform Act of 1995</w:t>
              </w:r>
            </w:hyperlink>
          </w:p>
        </w:tc>
        <w:tc>
          <w:tcPr>
            <w:tcW w:w="244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2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6"/>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8080" w:type="dxa"/>
            <w:vAlign w:val="bottom"/>
            <w:gridSpan w:val="25"/>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2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2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ind w:left="6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Item 1.</w:t>
              </w:r>
            </w:hyperlink>
          </w:p>
        </w:tc>
        <w:tc>
          <w:tcPr>
            <w:tcW w:w="6980" w:type="dxa"/>
            <w:vAlign w:val="bottom"/>
            <w:gridSpan w:val="21"/>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2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440" w:type="dxa"/>
            <w:vAlign w:val="bottom"/>
            <w:tcBorders>
              <w:top w:val="single" w:sz="8" w:color="CCEEFF"/>
            </w:tcBorders>
          </w:tcPr>
          <w:p>
            <w:pPr>
              <w:spacing w:after="0"/>
              <w:rPr>
                <w:sz w:val="23"/>
                <w:szCs w:val="23"/>
                <w:color w:val="auto"/>
              </w:rPr>
            </w:pPr>
          </w:p>
        </w:tc>
        <w:tc>
          <w:tcPr>
            <w:tcW w:w="2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80" w:type="dxa"/>
            <w:vAlign w:val="bottom"/>
            <w:gridSpan w:val="25"/>
            <w:shd w:val="clear" w:color="auto" w:fill="CCEEFF"/>
          </w:tcPr>
          <w:p>
            <w:pPr>
              <w:ind w:left="6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Balance Sheet -</w:t>
              </w:r>
            </w:hyperlink>
          </w:p>
        </w:tc>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gridSpan w:val="21"/>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September 30, 2011 and December 31, 2010</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gridSpan w:val="25"/>
          </w:tcPr>
          <w:p>
            <w:pPr>
              <w:ind w:left="6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Quarter and Nine Months Ended September 30, 2011 and 2010</w:t>
              </w:r>
            </w:hyperlink>
          </w:p>
        </w:tc>
        <w:tc>
          <w:tcPr>
            <w:tcW w:w="24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80" w:type="dxa"/>
            <w:vAlign w:val="bottom"/>
            <w:gridSpan w:val="25"/>
            <w:shd w:val="clear" w:color="auto" w:fill="CCEEFF"/>
          </w:tcPr>
          <w:p>
            <w:pPr>
              <w:ind w:left="6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Cash Flows -</w:t>
              </w:r>
            </w:hyperlink>
          </w:p>
        </w:tc>
        <w:tc>
          <w:tcPr>
            <w:tcW w:w="2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80" w:type="dxa"/>
            <w:vAlign w:val="bottom"/>
            <w:gridSpan w:val="21"/>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Nine Months Ended September 30, 2011 and 2010</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80" w:type="dxa"/>
            <w:vAlign w:val="bottom"/>
            <w:gridSpan w:val="25"/>
          </w:tcPr>
          <w:p>
            <w:pPr>
              <w:ind w:left="6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w:t>
              </w:r>
            </w:hyperlink>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and Results of Operations</w:t>
              </w:r>
            </w:hyperlink>
          </w:p>
        </w:tc>
        <w:tc>
          <w:tcPr>
            <w:tcW w:w="2440" w:type="dxa"/>
            <w:vAlign w:val="bottom"/>
          </w:tcPr>
          <w:p>
            <w:pPr>
              <w:spacing w:after="0"/>
              <w:rPr>
                <w:sz w:val="17"/>
                <w:szCs w:val="17"/>
                <w:color w:val="auto"/>
              </w:rPr>
            </w:pPr>
          </w:p>
        </w:tc>
        <w:tc>
          <w:tcPr>
            <w:tcW w:w="2440" w:type="dxa"/>
            <w:vAlign w:val="bottom"/>
            <w:gridSpan w:val="4"/>
          </w:tcPr>
          <w:p>
            <w:pPr>
              <w:jc w:val="right"/>
              <w:ind w:right="20"/>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900" w:type="dxa"/>
            <w:vAlign w:val="bottom"/>
            <w:gridSpan w:val="6"/>
          </w:tcPr>
          <w:p>
            <w:pPr>
              <w:ind w:left="4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Part II.</w:t>
              </w:r>
            </w:hyperlink>
          </w:p>
        </w:tc>
        <w:tc>
          <w:tcPr>
            <w:tcW w:w="8080" w:type="dxa"/>
            <w:vAlign w:val="bottom"/>
            <w:gridSpan w:val="25"/>
          </w:tcPr>
          <w:p>
            <w:pPr>
              <w:ind w:left="6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1A.</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4.</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Reserved</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5.</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ind w:left="6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6980" w:type="dxa"/>
            <w:vAlign w:val="bottom"/>
            <w:gridSpan w:val="21"/>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900" w:type="dxa"/>
            <w:vAlign w:val="bottom"/>
            <w:gridSpan w:val="6"/>
          </w:tcPr>
          <w:p>
            <w:pPr>
              <w:ind w:left="40"/>
              <w:spacing w:after="0" w:line="202" w:lineRule="exact"/>
              <w:rPr>
                <w:rFonts w:ascii="Arial" w:cs="Arial" w:eastAsia="Arial" w:hAnsi="Arial"/>
                <w:sz w:val="18"/>
                <w:szCs w:val="18"/>
                <w:color w:val="0000FF"/>
                <w:w w:val="97"/>
              </w:rPr>
            </w:pPr>
            <w:hyperlink w:anchor="page45">
              <w:r>
                <w:rPr>
                  <w:rFonts w:ascii="Arial" w:cs="Arial" w:eastAsia="Arial" w:hAnsi="Arial"/>
                  <w:sz w:val="18"/>
                  <w:szCs w:val="18"/>
                  <w:color w:val="0000FF"/>
                  <w:w w:val="97"/>
                </w:rPr>
                <w:t>Signatures</w:t>
              </w:r>
            </w:hyperlink>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gridSpan w:val="4"/>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452"/>
        </w:trPr>
        <w:tc>
          <w:tcPr>
            <w:tcW w:w="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7"/>
          </w:tcPr>
          <w:p>
            <w:pPr>
              <w:ind w:left="100"/>
              <w:spacing w:after="0"/>
              <w:rPr>
                <w:sz w:val="20"/>
                <w:szCs w:val="20"/>
                <w:color w:val="auto"/>
              </w:rPr>
            </w:pPr>
            <w:r>
              <w:rPr>
                <w:rFonts w:ascii="Arial" w:cs="Arial" w:eastAsia="Arial" w:hAnsi="Arial"/>
                <w:sz w:val="14"/>
                <w:szCs w:val="14"/>
                <w:color w:val="auto"/>
              </w:rPr>
              <w:t>ALLETE Third Quarter 2011 Form 10-Q</w:t>
            </w:r>
          </w:p>
        </w:tc>
        <w:tc>
          <w:tcPr>
            <w:tcW w:w="2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r>
      <w:tr>
        <w:trPr>
          <w:trHeight w:val="243"/>
        </w:trPr>
        <w:tc>
          <w:tcPr>
            <w:tcW w:w="2340" w:type="dxa"/>
            <w:vAlign w:val="bottom"/>
          </w:tcPr>
          <w:p>
            <w:pPr>
              <w:spacing w:after="0"/>
              <w:rPr>
                <w:sz w:val="21"/>
                <w:szCs w:val="21"/>
                <w:color w:val="auto"/>
              </w:rPr>
            </w:pPr>
          </w:p>
        </w:tc>
        <w:tc>
          <w:tcPr>
            <w:tcW w:w="9080" w:type="dxa"/>
            <w:vAlign w:val="bottom"/>
          </w:tcPr>
          <w:p>
            <w:pPr>
              <w:spacing w:after="0"/>
              <w:rPr>
                <w:sz w:val="21"/>
                <w:szCs w:val="2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Alternating Current</w:t>
            </w: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color w:val="auto"/>
              </w:rPr>
              <w:t>AFUDC</w:t>
            </w:r>
          </w:p>
        </w:tc>
        <w:tc>
          <w:tcPr>
            <w:tcW w:w="9080" w:type="dxa"/>
            <w:vAlign w:val="bottom"/>
          </w:tcPr>
          <w:p>
            <w:pPr>
              <w:ind w:left="320"/>
              <w:spacing w:after="0"/>
              <w:rPr>
                <w:sz w:val="20"/>
                <w:szCs w:val="20"/>
                <w:color w:val="auto"/>
              </w:rPr>
            </w:pPr>
            <w:r>
              <w:rPr>
                <w:rFonts w:ascii="Arial" w:cs="Arial" w:eastAsia="Arial" w:hAnsi="Arial"/>
                <w:sz w:val="18"/>
                <w:szCs w:val="18"/>
                <w:color w:val="auto"/>
                <w:w w:val="97"/>
              </w:rPr>
              <w:t>Allowance for Funds Used During Construction – consisting of the cost of both the debt and equity funds used to</w:t>
            </w:r>
          </w:p>
        </w:tc>
      </w:tr>
      <w:tr>
        <w:trPr>
          <w:trHeight w:val="230"/>
        </w:trPr>
        <w:tc>
          <w:tcPr>
            <w:tcW w:w="234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finance utility plant additions during construction periods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ALLETE Properties</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Auction Rate Securities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ATC</w:t>
            </w:r>
          </w:p>
        </w:tc>
        <w:tc>
          <w:tcPr>
            <w:tcW w:w="9080" w:type="dxa"/>
            <w:vAlign w:val="bottom"/>
          </w:tcPr>
          <w:p>
            <w:pPr>
              <w:ind w:left="320"/>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1</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Bison 1 Wind Project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Bison 2</w:t>
            </w:r>
          </w:p>
        </w:tc>
        <w:tc>
          <w:tcPr>
            <w:tcW w:w="9080" w:type="dxa"/>
            <w:vAlign w:val="bottom"/>
          </w:tcPr>
          <w:p>
            <w:pPr>
              <w:ind w:left="320"/>
              <w:spacing w:after="0"/>
              <w:rPr>
                <w:sz w:val="20"/>
                <w:szCs w:val="20"/>
                <w:color w:val="auto"/>
              </w:rPr>
            </w:pPr>
            <w:r>
              <w:rPr>
                <w:rFonts w:ascii="Arial" w:cs="Arial" w:eastAsia="Arial" w:hAnsi="Arial"/>
                <w:sz w:val="18"/>
                <w:szCs w:val="18"/>
                <w:color w:val="auto"/>
              </w:rPr>
              <w:t>Bison 2 Wind Project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3</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Bison 3 Wind Project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BNI Coal</w:t>
            </w:r>
          </w:p>
        </w:tc>
        <w:tc>
          <w:tcPr>
            <w:tcW w:w="9080" w:type="dxa"/>
            <w:vAlign w:val="bottom"/>
          </w:tcPr>
          <w:p>
            <w:pPr>
              <w:ind w:left="320"/>
              <w:spacing w:after="0"/>
              <w:rPr>
                <w:sz w:val="20"/>
                <w:szCs w:val="20"/>
                <w:color w:val="auto"/>
              </w:rPr>
            </w:pPr>
            <w:r>
              <w:rPr>
                <w:rFonts w:ascii="Arial" w:cs="Arial" w:eastAsia="Arial" w:hAnsi="Arial"/>
                <w:sz w:val="18"/>
                <w:szCs w:val="18"/>
                <w:color w:val="auto"/>
              </w:rPr>
              <w:t>BNI Coal, Ltd.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Boswell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Carbon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DC</w:t>
            </w:r>
          </w:p>
        </w:tc>
        <w:tc>
          <w:tcPr>
            <w:tcW w:w="9080" w:type="dxa"/>
            <w:vAlign w:val="bottom"/>
          </w:tcPr>
          <w:p>
            <w:pPr>
              <w:ind w:left="320"/>
              <w:spacing w:after="0"/>
              <w:rPr>
                <w:sz w:val="20"/>
                <w:szCs w:val="20"/>
                <w:color w:val="auto"/>
              </w:rPr>
            </w:pPr>
            <w:r>
              <w:rPr>
                <w:rFonts w:ascii="Arial" w:cs="Arial" w:eastAsia="Arial" w:hAnsi="Arial"/>
                <w:sz w:val="18"/>
                <w:szCs w:val="18"/>
                <w:color w:val="auto"/>
              </w:rPr>
              <w:t>Direct Current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Environmental Protection Agency</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ESOP</w:t>
            </w:r>
          </w:p>
        </w:tc>
        <w:tc>
          <w:tcPr>
            <w:tcW w:w="9080" w:type="dxa"/>
            <w:vAlign w:val="bottom"/>
          </w:tcPr>
          <w:p>
            <w:pPr>
              <w:ind w:left="320"/>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FERC</w:t>
            </w:r>
          </w:p>
        </w:tc>
        <w:tc>
          <w:tcPr>
            <w:tcW w:w="9080" w:type="dxa"/>
            <w:vAlign w:val="bottom"/>
          </w:tcPr>
          <w:p>
            <w:pPr>
              <w:ind w:left="320"/>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Form 10-Q</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GHG</w:t>
            </w:r>
          </w:p>
        </w:tc>
        <w:tc>
          <w:tcPr>
            <w:tcW w:w="9080" w:type="dxa"/>
            <w:vAlign w:val="bottom"/>
          </w:tcPr>
          <w:p>
            <w:pPr>
              <w:ind w:left="320"/>
              <w:spacing w:after="0"/>
              <w:rPr>
                <w:sz w:val="20"/>
                <w:szCs w:val="20"/>
                <w:color w:val="auto"/>
              </w:rPr>
            </w:pPr>
            <w:r>
              <w:rPr>
                <w:rFonts w:ascii="Arial" w:cs="Arial" w:eastAsia="Arial" w:hAnsi="Arial"/>
                <w:sz w:val="18"/>
                <w:szCs w:val="18"/>
                <w:color w:val="auto"/>
              </w:rPr>
              <w:t>Greenhouse Gases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Hibbard</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Hibbard Renewable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Invest Direct</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___ of this Form 10-Q</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kV</w:t>
            </w:r>
          </w:p>
        </w:tc>
        <w:tc>
          <w:tcPr>
            <w:tcW w:w="9080" w:type="dxa"/>
            <w:vAlign w:val="bottom"/>
          </w:tcPr>
          <w:p>
            <w:pPr>
              <w:ind w:left="320"/>
              <w:spacing w:after="0"/>
              <w:rPr>
                <w:sz w:val="20"/>
                <w:szCs w:val="20"/>
                <w:color w:val="auto"/>
              </w:rPr>
            </w:pPr>
            <w:r>
              <w:rPr>
                <w:rFonts w:ascii="Arial" w:cs="Arial" w:eastAsia="Arial" w:hAnsi="Arial"/>
                <w:sz w:val="18"/>
                <w:szCs w:val="18"/>
                <w:color w:val="auto"/>
              </w:rPr>
              <w:t>Kilovolt(s)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Laskin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LIBOR</w:t>
            </w:r>
          </w:p>
        </w:tc>
        <w:tc>
          <w:tcPr>
            <w:tcW w:w="9080" w:type="dxa"/>
            <w:vAlign w:val="bottom"/>
          </w:tcPr>
          <w:p>
            <w:pPr>
              <w:ind w:left="320"/>
              <w:spacing w:after="0"/>
              <w:rPr>
                <w:sz w:val="20"/>
                <w:szCs w:val="20"/>
                <w:color w:val="auto"/>
              </w:rPr>
            </w:pPr>
            <w:r>
              <w:rPr>
                <w:rFonts w:ascii="Arial" w:cs="Arial" w:eastAsia="Arial" w:hAnsi="Arial"/>
                <w:sz w:val="18"/>
                <w:szCs w:val="18"/>
                <w:color w:val="auto"/>
              </w:rPr>
              <w:t>London Inter Bank Offered Rate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Medicare Part D</w:t>
            </w:r>
          </w:p>
        </w:tc>
        <w:tc>
          <w:tcPr>
            <w:tcW w:w="9080" w:type="dxa"/>
            <w:vAlign w:val="bottom"/>
          </w:tcPr>
          <w:p>
            <w:pPr>
              <w:ind w:left="32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Minnkota Power</w:t>
            </w:r>
          </w:p>
        </w:tc>
        <w:tc>
          <w:tcPr>
            <w:tcW w:w="9080" w:type="dxa"/>
            <w:vAlign w:val="bottom"/>
          </w:tcPr>
          <w:p>
            <w:pPr>
              <w:ind w:left="320"/>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MPCA</w:t>
            </w:r>
          </w:p>
        </w:tc>
        <w:tc>
          <w:tcPr>
            <w:tcW w:w="9080" w:type="dxa"/>
            <w:vAlign w:val="bottom"/>
          </w:tcPr>
          <w:p>
            <w:pPr>
              <w:ind w:left="320"/>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MW / MWh</w:t>
            </w:r>
          </w:p>
        </w:tc>
        <w:tc>
          <w:tcPr>
            <w:tcW w:w="9080" w:type="dxa"/>
            <w:vAlign w:val="bottom"/>
          </w:tcPr>
          <w:p>
            <w:pPr>
              <w:ind w:left="320"/>
              <w:spacing w:after="0"/>
              <w:rPr>
                <w:sz w:val="20"/>
                <w:szCs w:val="20"/>
                <w:color w:val="auto"/>
              </w:rPr>
            </w:pPr>
            <w:r>
              <w:rPr>
                <w:rFonts w:ascii="Arial" w:cs="Arial" w:eastAsia="Arial" w:hAnsi="Arial"/>
                <w:sz w:val="18"/>
                <w:szCs w:val="18"/>
                <w:color w:val="auto"/>
              </w:rPr>
              <w:t>Megawatt(s) / Megawatt-hour(s)</w:t>
            </w:r>
          </w:p>
        </w:tc>
      </w:tr>
      <w:tr>
        <w:trPr>
          <w:trHeight w:val="647"/>
        </w:trPr>
        <w:tc>
          <w:tcPr>
            <w:tcW w:w="2340" w:type="dxa"/>
            <w:vAlign w:val="bottom"/>
          </w:tcPr>
          <w:p>
            <w:pPr>
              <w:spacing w:after="0"/>
              <w:rPr>
                <w:sz w:val="24"/>
                <w:szCs w:val="24"/>
                <w:color w:val="auto"/>
              </w:rPr>
            </w:pPr>
          </w:p>
        </w:tc>
        <w:tc>
          <w:tcPr>
            <w:tcW w:w="9080" w:type="dxa"/>
            <w:vAlign w:val="bottom"/>
          </w:tcPr>
          <w:p>
            <w:pPr>
              <w:ind w:left="2180"/>
              <w:spacing w:after="0"/>
              <w:rPr>
                <w:sz w:val="20"/>
                <w:szCs w:val="20"/>
                <w:color w:val="auto"/>
              </w:rPr>
            </w:pPr>
            <w:r>
              <w:rPr>
                <w:rFonts w:ascii="Arial" w:cs="Arial" w:eastAsia="Arial" w:hAnsi="Arial"/>
                <w:sz w:val="14"/>
                <w:szCs w:val="14"/>
                <w:color w:val="auto"/>
              </w:rPr>
              <w:t>ALLETE Third Quarter 2011 Form 10-Q</w:t>
            </w:r>
          </w:p>
        </w:tc>
      </w:tr>
    </w:tbl>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9080" w:type="dxa"/>
            <w:vAlign w:val="bottom"/>
          </w:tcPr>
          <w:p>
            <w:pPr>
              <w:ind w:left="2460"/>
              <w:spacing w:after="0"/>
              <w:rPr>
                <w:sz w:val="20"/>
                <w:szCs w:val="20"/>
                <w:color w:val="auto"/>
              </w:rPr>
            </w:pPr>
            <w:r>
              <w:rPr>
                <w:rFonts w:ascii="Arial" w:cs="Arial" w:eastAsia="Arial" w:hAnsi="Arial"/>
                <w:sz w:val="18"/>
                <w:szCs w:val="18"/>
                <w:b w:val="1"/>
                <w:bCs w:val="1"/>
                <w:color w:val="auto"/>
              </w:rPr>
              <w:t>Definitions (Continued)</w:t>
            </w:r>
          </w:p>
        </w:tc>
      </w:tr>
      <w:tr>
        <w:trPr>
          <w:trHeight w:val="486"/>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r>
      <w:tr>
        <w:trPr>
          <w:trHeight w:val="243"/>
        </w:trPr>
        <w:tc>
          <w:tcPr>
            <w:tcW w:w="2340" w:type="dxa"/>
            <w:vAlign w:val="bottom"/>
          </w:tcPr>
          <w:p>
            <w:pPr>
              <w:spacing w:after="0"/>
              <w:rPr>
                <w:sz w:val="21"/>
                <w:szCs w:val="21"/>
                <w:color w:val="auto"/>
              </w:rPr>
            </w:pPr>
          </w:p>
        </w:tc>
        <w:tc>
          <w:tcPr>
            <w:tcW w:w="9080" w:type="dxa"/>
            <w:vAlign w:val="bottom"/>
          </w:tcPr>
          <w:p>
            <w:pPr>
              <w:spacing w:after="0"/>
              <w:rPr>
                <w:sz w:val="21"/>
                <w:szCs w:val="2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NDPSC</w:t>
            </w:r>
          </w:p>
        </w:tc>
        <w:tc>
          <w:tcPr>
            <w:tcW w:w="9080" w:type="dxa"/>
            <w:vAlign w:val="bottom"/>
          </w:tcPr>
          <w:p>
            <w:pPr>
              <w:ind w:left="320"/>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8"/>
                <w:szCs w:val="18"/>
                <w:color w:val="auto"/>
                <w:vertAlign w:val="subscript"/>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Nitrogen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8"/>
                <w:szCs w:val="18"/>
                <w:color w:val="auto"/>
                <w:vertAlign w:val="subscript"/>
              </w:rPr>
              <w:t>X</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Nitrogen Oxide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Note ___</w:t>
            </w:r>
          </w:p>
        </w:tc>
        <w:tc>
          <w:tcPr>
            <w:tcW w:w="9080" w:type="dxa"/>
            <w:vAlign w:val="bottom"/>
          </w:tcPr>
          <w:p>
            <w:pPr>
              <w:ind w:left="32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Oliver Wind I</w:t>
            </w:r>
          </w:p>
        </w:tc>
        <w:tc>
          <w:tcPr>
            <w:tcW w:w="9080" w:type="dxa"/>
            <w:vAlign w:val="bottom"/>
          </w:tcPr>
          <w:p>
            <w:pPr>
              <w:ind w:left="320"/>
              <w:spacing w:after="0"/>
              <w:rPr>
                <w:sz w:val="20"/>
                <w:szCs w:val="20"/>
                <w:color w:val="auto"/>
              </w:rPr>
            </w:pPr>
            <w:r>
              <w:rPr>
                <w:rFonts w:ascii="Arial" w:cs="Arial" w:eastAsia="Arial" w:hAnsi="Arial"/>
                <w:sz w:val="18"/>
                <w:szCs w:val="18"/>
                <w:color w:val="auto"/>
              </w:rPr>
              <w:t>Oliver Wind I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Palm Coast Park</w:t>
            </w:r>
          </w:p>
        </w:tc>
        <w:tc>
          <w:tcPr>
            <w:tcW w:w="9080" w:type="dxa"/>
            <w:vAlign w:val="bottom"/>
          </w:tcPr>
          <w:p>
            <w:pPr>
              <w:ind w:left="320"/>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PPA</w:t>
            </w:r>
          </w:p>
        </w:tc>
        <w:tc>
          <w:tcPr>
            <w:tcW w:w="9080" w:type="dxa"/>
            <w:vAlign w:val="bottom"/>
          </w:tcPr>
          <w:p>
            <w:pPr>
              <w:ind w:left="320"/>
              <w:spacing w:after="0"/>
              <w:rPr>
                <w:sz w:val="20"/>
                <w:szCs w:val="20"/>
                <w:color w:val="auto"/>
              </w:rPr>
            </w:pPr>
            <w:r>
              <w:rPr>
                <w:rFonts w:ascii="Arial" w:cs="Arial" w:eastAsia="Arial" w:hAnsi="Arial"/>
                <w:sz w:val="18"/>
                <w:szCs w:val="18"/>
                <w:color w:val="auto"/>
              </w:rPr>
              <w:t>Power Purchase Agreement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The Patient Protection and Affordable Care Act of 2010</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PSCW</w:t>
            </w:r>
          </w:p>
        </w:tc>
        <w:tc>
          <w:tcPr>
            <w:tcW w:w="9080" w:type="dxa"/>
            <w:vAlign w:val="bottom"/>
          </w:tcPr>
          <w:p>
            <w:pPr>
              <w:ind w:left="320"/>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SEC</w:t>
            </w:r>
          </w:p>
        </w:tc>
        <w:tc>
          <w:tcPr>
            <w:tcW w:w="9080" w:type="dxa"/>
            <w:vAlign w:val="bottom"/>
          </w:tcPr>
          <w:p>
            <w:pPr>
              <w:ind w:left="32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8"/>
                <w:szCs w:val="18"/>
                <w:color w:val="auto"/>
                <w:vertAlign w:val="subscript"/>
              </w:rPr>
              <w:t>2</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Sulfur Dioxide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Square Butte</w:t>
            </w:r>
          </w:p>
        </w:tc>
        <w:tc>
          <w:tcPr>
            <w:tcW w:w="9080" w:type="dxa"/>
            <w:vAlign w:val="bottom"/>
          </w:tcPr>
          <w:p>
            <w:pPr>
              <w:ind w:left="320"/>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Taconite Harbor</w:t>
            </w:r>
          </w:p>
        </w:tc>
        <w:tc>
          <w:tcPr>
            <w:tcW w:w="9080" w:type="dxa"/>
            <w:vAlign w:val="bottom"/>
          </w:tcPr>
          <w:p>
            <w:pPr>
              <w:ind w:left="320"/>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Town Center</w:t>
            </w:r>
          </w:p>
        </w:tc>
        <w:tc>
          <w:tcPr>
            <w:tcW w:w="9080" w:type="dxa"/>
            <w:vAlign w:val="bottom"/>
          </w:tcPr>
          <w:p>
            <w:pPr>
              <w:ind w:left="32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WDNR</w:t>
            </w:r>
          </w:p>
        </w:tc>
        <w:tc>
          <w:tcPr>
            <w:tcW w:w="9080" w:type="dxa"/>
            <w:vAlign w:val="bottom"/>
          </w:tcPr>
          <w:p>
            <w:pPr>
              <w:ind w:left="320"/>
              <w:spacing w:after="0"/>
              <w:rPr>
                <w:sz w:val="20"/>
                <w:szCs w:val="20"/>
                <w:color w:val="auto"/>
              </w:rPr>
            </w:pPr>
            <w:r>
              <w:rPr>
                <w:rFonts w:ascii="Arial" w:cs="Arial" w:eastAsia="Arial" w:hAnsi="Arial"/>
                <w:sz w:val="18"/>
                <w:szCs w:val="18"/>
                <w:color w:val="auto"/>
              </w:rPr>
              <w:t>Wisconsin Department of Natural Resources</w:t>
            </w:r>
          </w:p>
        </w:tc>
      </w:tr>
      <w:tr>
        <w:trPr>
          <w:trHeight w:val="647"/>
        </w:trPr>
        <w:tc>
          <w:tcPr>
            <w:tcW w:w="2340" w:type="dxa"/>
            <w:vAlign w:val="bottom"/>
          </w:tcPr>
          <w:p>
            <w:pPr>
              <w:spacing w:after="0"/>
              <w:rPr>
                <w:sz w:val="24"/>
                <w:szCs w:val="24"/>
                <w:color w:val="auto"/>
              </w:rPr>
            </w:pPr>
          </w:p>
        </w:tc>
        <w:tc>
          <w:tcPr>
            <w:tcW w:w="9080" w:type="dxa"/>
            <w:vAlign w:val="bottom"/>
          </w:tcPr>
          <w:p>
            <w:pPr>
              <w:ind w:left="2180"/>
              <w:spacing w:after="0"/>
              <w:rPr>
                <w:sz w:val="20"/>
                <w:szCs w:val="20"/>
                <w:color w:val="auto"/>
              </w:rPr>
            </w:pPr>
            <w:r>
              <w:rPr>
                <w:rFonts w:ascii="Arial" w:cs="Arial" w:eastAsia="Arial" w:hAnsi="Arial"/>
                <w:sz w:val="14"/>
                <w:szCs w:val="14"/>
                <w:color w:val="auto"/>
              </w:rPr>
              <w:t>ALLETE Third Quarter 2011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18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the NDPSC, the EPA and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 ALLETE.</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22 of our 2010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September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0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(Less Allowance of $0.9 and $0.9)</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69.1</w:t>
            </w:r>
          </w:p>
        </w:tc>
        <w:tc>
          <w:tcPr>
            <w:tcW w:w="15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7"/>
        </w:trPr>
        <w:tc>
          <w:tcPr>
            <w:tcW w:w="8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302.8</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1,902.1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286.9</w:t>
            </w:r>
          </w:p>
        </w:tc>
        <w:tc>
          <w:tcPr>
            <w:tcW w:w="154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129.5</w:t>
            </w:r>
          </w:p>
        </w:tc>
        <w:tc>
          <w:tcPr>
            <w:tcW w:w="154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$2,754.4</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$2,609.1</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Other</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26.2</w:t>
            </w:r>
          </w:p>
        </w:tc>
        <w:tc>
          <w:tcPr>
            <w:tcW w:w="15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844.4</w:t>
            </w:r>
          </w:p>
        </w:tc>
        <w:tc>
          <w:tcPr>
            <w:tcW w:w="1540" w:type="dxa"/>
            <w:vAlign w:val="bottom"/>
          </w:tcPr>
          <w:p>
            <w:pPr>
              <w:jc w:val="right"/>
              <w:spacing w:after="0"/>
              <w:rPr>
                <w:sz w:val="20"/>
                <w:szCs w:val="20"/>
                <w:color w:val="auto"/>
              </w:rPr>
            </w:pPr>
            <w:r>
              <w:rPr>
                <w:rFonts w:ascii="Arial" w:cs="Arial" w:eastAsia="Arial" w:hAnsi="Arial"/>
                <w:sz w:val="18"/>
                <w:szCs w:val="18"/>
                <w:color w:val="auto"/>
              </w:rPr>
              <w:t>771.6</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373.0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44.6</w:t>
            </w:r>
          </w:p>
        </w:tc>
        <w:tc>
          <w:tcPr>
            <w:tcW w:w="154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101.9</w:t>
            </w:r>
          </w:p>
        </w:tc>
        <w:tc>
          <w:tcPr>
            <w:tcW w:w="15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1,703.0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1,624.1</w:t>
            </w:r>
          </w:p>
        </w:tc>
      </w:tr>
      <w:tr>
        <w:trPr>
          <w:trHeight w:val="264"/>
        </w:trPr>
        <w:tc>
          <w:tcPr>
            <w:tcW w:w="820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16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64"/>
        </w:trPr>
        <w:tc>
          <w:tcPr>
            <w:tcW w:w="820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6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16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36.8 and 35.8 Shares Outstanding</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15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8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427.7</w:t>
            </w:r>
          </w:p>
        </w:tc>
        <w:tc>
          <w:tcPr>
            <w:tcW w:w="1540" w:type="dxa"/>
            <w:vAlign w:val="bottom"/>
          </w:tcPr>
          <w:p>
            <w:pPr>
              <w:jc w:val="right"/>
              <w:spacing w:after="0"/>
              <w:rPr>
                <w:sz w:val="20"/>
                <w:szCs w:val="20"/>
                <w:color w:val="auto"/>
              </w:rPr>
            </w:pPr>
            <w:r>
              <w:rPr>
                <w:rFonts w:ascii="Arial" w:cs="Arial" w:eastAsia="Arial" w:hAnsi="Arial"/>
                <w:sz w:val="18"/>
                <w:szCs w:val="18"/>
                <w:color w:val="auto"/>
              </w:rPr>
              <w:t>399.9</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1,051.4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1,051.4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$2,754.4</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$2,609.1</w:t>
            </w:r>
          </w:p>
        </w:tc>
      </w:tr>
      <w:tr>
        <w:trPr>
          <w:trHeight w:val="27"/>
        </w:trPr>
        <w:tc>
          <w:tcPr>
            <w:tcW w:w="8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00" w:type="dxa"/>
            <w:vAlign w:val="bottom"/>
          </w:tcPr>
          <w:p>
            <w:pPr>
              <w:ind w:left="338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580" w:right="239" w:bottom="744"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744"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3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c>
          <w:tcPr>
            <w:tcW w:w="21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800" w:type="dxa"/>
            <w:vAlign w:val="bottom"/>
          </w:tcPr>
          <w:p>
            <w:pPr>
              <w:spacing w:after="0"/>
              <w:rPr>
                <w:sz w:val="23"/>
                <w:szCs w:val="23"/>
                <w:color w:val="auto"/>
              </w:rPr>
            </w:pPr>
          </w:p>
        </w:tc>
        <w:tc>
          <w:tcPr>
            <w:tcW w:w="332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1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800" w:type="dxa"/>
            <w:vAlign w:val="bottom"/>
          </w:tcPr>
          <w:p>
            <w:pPr>
              <w:spacing w:after="0"/>
              <w:rPr>
                <w:sz w:val="23"/>
                <w:szCs w:val="23"/>
                <w:color w:val="auto"/>
              </w:rPr>
            </w:pPr>
          </w:p>
        </w:tc>
        <w:tc>
          <w:tcPr>
            <w:tcW w:w="2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2010</w:t>
            </w: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5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8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$226.9</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$224.1</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$689.0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r>
      <w:tr>
        <w:trPr>
          <w:trHeight w:val="264"/>
        </w:trPr>
        <w:tc>
          <w:tcPr>
            <w:tcW w:w="580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74.8</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79.0</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229.8</w:t>
            </w:r>
          </w:p>
        </w:tc>
        <w:tc>
          <w:tcPr>
            <w:tcW w:w="94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90.5</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89.8</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22.7</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67.1</w:t>
            </w: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7"/>
        </w:trPr>
        <w:tc>
          <w:tcPr>
            <w:tcW w:w="5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188.0</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188.8</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573.2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w:t>
            </w:r>
          </w:p>
        </w:tc>
      </w:tr>
      <w:tr>
        <w:trPr>
          <w:trHeight w:val="270"/>
        </w:trPr>
        <w:tc>
          <w:tcPr>
            <w:tcW w:w="58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38.9</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115.8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64"/>
        </w:trPr>
        <w:tc>
          <w:tcPr>
            <w:tcW w:w="580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(10.9)</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(9.7)</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(32.6)</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4.7</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0.5</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580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33.2</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30.7</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12.7</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5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20.5</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19.5</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7"/>
        </w:trPr>
        <w:tc>
          <w:tcPr>
            <w:tcW w:w="5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$20.5</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$19.6</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64"/>
        </w:trPr>
        <w:tc>
          <w:tcPr>
            <w:tcW w:w="580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35.6</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34.4</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35.1</w:t>
            </w: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35.7</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34.5</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64"/>
        </w:trPr>
        <w:tc>
          <w:tcPr>
            <w:tcW w:w="5800" w:type="dxa"/>
            <w:vAlign w:val="bottom"/>
            <w:tcBorders>
              <w:top w:val="single" w:sz="8" w:color="auto"/>
            </w:tcBorders>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$0.57</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$0.57</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$0.57</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$0.56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$2.12</w:t>
            </w: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5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$0.445</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$0.44</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$1.335</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8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2"/>
          </w:tcPr>
          <w:p>
            <w:pPr>
              <w:ind w:left="3380"/>
              <w:spacing w:after="0"/>
              <w:rPr>
                <w:sz w:val="20"/>
                <w:szCs w:val="20"/>
                <w:color w:val="auto"/>
              </w:rPr>
            </w:pPr>
            <w:r>
              <w:rPr>
                <w:rFonts w:ascii="Arial" w:cs="Arial" w:eastAsia="Arial" w:hAnsi="Arial"/>
                <w:sz w:val="18"/>
                <w:szCs w:val="18"/>
                <w:color w:val="auto"/>
                <w:w w:val="89"/>
              </w:rPr>
              <w:t>The accompanying notes are an integral part of these statements.</w:t>
            </w: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26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740" w:type="dxa"/>
            <w:vAlign w:val="bottom"/>
          </w:tcPr>
          <w:p>
            <w:pPr>
              <w:spacing w:after="0"/>
              <w:rPr>
                <w:sz w:val="23"/>
                <w:szCs w:val="23"/>
                <w:color w:val="auto"/>
              </w:rPr>
            </w:pPr>
          </w:p>
        </w:tc>
        <w:tc>
          <w:tcPr>
            <w:tcW w:w="26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8740" w:type="dxa"/>
            <w:vAlign w:val="bottom"/>
          </w:tcPr>
          <w:p>
            <w:pPr>
              <w:spacing w:after="0"/>
              <w:rPr>
                <w:sz w:val="23"/>
                <w:szCs w:val="23"/>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8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7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$74.5</w:t>
            </w:r>
          </w:p>
        </w:tc>
        <w:tc>
          <w:tcPr>
            <w:tcW w:w="100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Real Estate Foreclosure</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Gain on Sale of Assets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ESOP Compensation Expense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22.8</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Prepayments and Other</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7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Defined Benefit Pension and Other Postretirement Benefit Plans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13.2</w:t>
            </w: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from Operating Activities</w:t>
            </w:r>
          </w:p>
        </w:tc>
        <w:tc>
          <w:tcPr>
            <w:tcW w:w="1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185.1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w:t>
            </w:r>
          </w:p>
        </w:tc>
      </w:tr>
      <w:tr>
        <w:trPr>
          <w:trHeight w:val="27"/>
        </w:trPr>
        <w:tc>
          <w:tcPr>
            <w:tcW w:w="8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7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(156.8)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for Investing Activities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(154.9)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64"/>
        </w:trPr>
        <w:tc>
          <w:tcPr>
            <w:tcW w:w="87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30.1</w:t>
            </w: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Payments on Long-Term Debt</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100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(46.9)</w:t>
            </w:r>
          </w:p>
        </w:tc>
        <w:tc>
          <w:tcPr>
            <w:tcW w:w="100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Notes Payable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from Financing Activities</w:t>
            </w:r>
          </w:p>
        </w:tc>
        <w:tc>
          <w:tcPr>
            <w:tcW w:w="1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60.0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87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7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Change in Cash and Cash Equivalents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90.2</w:t>
            </w:r>
          </w:p>
        </w:tc>
        <w:tc>
          <w:tcPr>
            <w:tcW w:w="10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7"/>
        </w:trPr>
        <w:tc>
          <w:tcPr>
            <w:tcW w:w="8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64"/>
        </w:trPr>
        <w:tc>
          <w:tcPr>
            <w:tcW w:w="87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5"/>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$135.1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64"/>
        </w:trPr>
        <w:tc>
          <w:tcPr>
            <w:tcW w:w="874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580" w:right="239" w:bottom="622"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0" w:right="239" w:bottom="622"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2010, consolidated balance sheet was derived from audited financial statements but does not include all disclosures required by GAAP. All adjustments are of a normal, recurring nature, except as otherwise disclosed. Operating results for the periods ended September 30, 2011, are not necessarily indicative of results that may be expected for any other interim periods or for the year ending December 31, 2011. For further information, refer to the consolidated financial statements and notes included in our 2010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476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530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7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w:t>
            </w:r>
          </w:p>
        </w:tc>
        <w:tc>
          <w:tcPr>
            <w:tcW w:w="4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Materials and Supplies</w:t>
            </w:r>
          </w:p>
        </w:tc>
        <w:tc>
          <w:tcPr>
            <w:tcW w:w="4760" w:type="dxa"/>
            <w:vAlign w:val="bottom"/>
          </w:tcPr>
          <w:p>
            <w:pPr>
              <w:jc w:val="right"/>
              <w:ind w:right="170"/>
              <w:spacing w:after="0"/>
              <w:rPr>
                <w:sz w:val="20"/>
                <w:szCs w:val="20"/>
                <w:color w:val="auto"/>
              </w:rPr>
            </w:pPr>
            <w:r>
              <w:rPr>
                <w:rFonts w:ascii="Arial" w:cs="Arial" w:eastAsia="Arial" w:hAnsi="Arial"/>
                <w:sz w:val="18"/>
                <w:szCs w:val="18"/>
                <w:color w:val="auto"/>
              </w:rPr>
              <w:t>40.6</w:t>
            </w:r>
          </w:p>
        </w:tc>
        <w:tc>
          <w:tcPr>
            <w:tcW w:w="13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530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Inventories</w:t>
            </w:r>
          </w:p>
        </w:tc>
        <w:tc>
          <w:tcPr>
            <w:tcW w:w="4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530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39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9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60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 Adjustment Clause</w:t>
            </w:r>
          </w:p>
        </w:tc>
        <w:tc>
          <w:tcPr>
            <w:tcW w:w="3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Other</w:t>
            </w:r>
          </w:p>
        </w:tc>
        <w:tc>
          <w:tcPr>
            <w:tcW w:w="3980" w:type="dxa"/>
            <w:vAlign w:val="bottom"/>
          </w:tcPr>
          <w:p>
            <w:pPr>
              <w:jc w:val="right"/>
              <w:ind w:right="170"/>
              <w:spacing w:after="0"/>
              <w:rPr>
                <w:sz w:val="20"/>
                <w:szCs w:val="20"/>
                <w:color w:val="auto"/>
              </w:rPr>
            </w:pPr>
            <w:r>
              <w:rPr>
                <w:rFonts w:ascii="Arial" w:cs="Arial" w:eastAsia="Arial" w:hAnsi="Arial"/>
                <w:sz w:val="18"/>
                <w:szCs w:val="18"/>
                <w:color w:val="auto"/>
              </w:rPr>
              <w:t>5.7</w:t>
            </w: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0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Prepayments and Other Current Assets</w:t>
            </w:r>
          </w:p>
        </w:tc>
        <w:tc>
          <w:tcPr>
            <w:tcW w:w="3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608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48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4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55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w:t>
            </w:r>
          </w:p>
        </w:tc>
        <w:tc>
          <w:tcPr>
            <w:tcW w:w="4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Other</w:t>
            </w:r>
          </w:p>
        </w:tc>
        <w:tc>
          <w:tcPr>
            <w:tcW w:w="4480" w:type="dxa"/>
            <w:vAlign w:val="bottom"/>
          </w:tcPr>
          <w:p>
            <w:pPr>
              <w:jc w:val="right"/>
              <w:ind w:right="170"/>
              <w:spacing w:after="0"/>
              <w:rPr>
                <w:sz w:val="20"/>
                <w:szCs w:val="20"/>
                <w:color w:val="auto"/>
              </w:rPr>
            </w:pPr>
            <w:r>
              <w:rPr>
                <w:rFonts w:ascii="Arial" w:cs="Arial" w:eastAsia="Arial" w:hAnsi="Arial"/>
                <w:sz w:val="18"/>
                <w:szCs w:val="18"/>
                <w:color w:val="auto"/>
              </w:rPr>
              <w:t>19.1</w:t>
            </w:r>
          </w:p>
        </w:tc>
        <w:tc>
          <w:tcPr>
            <w:tcW w:w="13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55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Current Liabilities</w:t>
            </w:r>
          </w:p>
        </w:tc>
        <w:tc>
          <w:tcPr>
            <w:tcW w:w="4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558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0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63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w:t>
            </w:r>
          </w:p>
        </w:tc>
        <w:tc>
          <w:tcPr>
            <w:tcW w:w="3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Other</w:t>
            </w:r>
          </w:p>
        </w:tc>
        <w:tc>
          <w:tcPr>
            <w:tcW w:w="3700" w:type="dxa"/>
            <w:vAlign w:val="bottom"/>
          </w:tcPr>
          <w:p>
            <w:pPr>
              <w:jc w:val="right"/>
              <w:ind w:right="170"/>
              <w:spacing w:after="0"/>
              <w:rPr>
                <w:sz w:val="20"/>
                <w:szCs w:val="20"/>
                <w:color w:val="auto"/>
              </w:rPr>
            </w:pPr>
            <w:r>
              <w:rPr>
                <w:rFonts w:ascii="Arial" w:cs="Arial" w:eastAsia="Arial" w:hAnsi="Arial"/>
                <w:sz w:val="18"/>
                <w:szCs w:val="18"/>
                <w:color w:val="auto"/>
              </w:rPr>
              <w:t>49.2</w:t>
            </w:r>
          </w:p>
        </w:tc>
        <w:tc>
          <w:tcPr>
            <w:tcW w:w="136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63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3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426"/>
        </w:trPr>
        <w:tc>
          <w:tcPr>
            <w:tcW w:w="6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3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8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Cash Received During the Period for Income Taxes</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$(11.1)</w:t>
            </w: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$(14.8)</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2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4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121" w:right="239" w:bottom="1440"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Accounts receivable are reported on the consolidated balance sheet net of an allowance for doubtful accounts. The allowance is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our evaluation of the receivable portfolio under current conditions, overall portfolio quality, review of specific problems and such other factors that, in our judgment, deserve recognition in estimating losses. In the third quarter of 2011, one of Minnesota Power’s Large Power Customers , NewPage Corporation, filed for Chapter 11 bankruptcy protection. Minnesota Power had a pre-bankruptcy petition receivable of $3.2 million as of September 30, 2011. Based on our assessment of the facts and circumstances existing as of September 30, 2011, we have determined that it is not probable that the pre-petition receivable has been impaired at this time. We will continue to assess for impairment as the bankruptcy proceeds and as facts and circumstances change. We continue to provide electric and steam service to this customer and subsequent to September 30, 2011, we received payment of scheduled post-petition receivable balances. We expect continued payment of all other post-petition receivables.</w:t>
      </w:r>
    </w:p>
    <w:p>
      <w:pPr>
        <w:spacing w:after="0" w:line="17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Non-Controlling Interest in Subsidiaries. </w:t>
      </w:r>
      <w:r>
        <w:rPr>
          <w:rFonts w:ascii="Arial" w:cs="Arial" w:eastAsia="Arial" w:hAnsi="Arial"/>
          <w:sz w:val="16"/>
          <w:szCs w:val="16"/>
          <w:color w:val="auto"/>
        </w:rPr>
        <w:t>In the third quarter of 2011, ALLETE purchased the remaining shares of the ALLETE Properties non-controlling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at book value for approximately $9 million by issuing 0.2 million shares of ALLETE common stock. (See Item II. Unregistered Sales of Equity Securities and Use of Proceeds.) This was accounted for as an equity transaction, and no gain or loss is recognized in net income or comprehensive income.</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Fair Value. </w:t>
      </w:r>
      <w:r>
        <w:rPr>
          <w:rFonts w:ascii="Arial" w:cs="Arial" w:eastAsia="Arial" w:hAnsi="Arial"/>
          <w:sz w:val="17"/>
          <w:szCs w:val="17"/>
          <w:color w:val="auto"/>
        </w:rPr>
        <w:t>In May 2011, the FASB issued an accounting standards update on fair value measurement. This update requires disclosure of a sensitivity analysis</w:t>
      </w:r>
      <w:r>
        <w:rPr>
          <w:rFonts w:ascii="Arial" w:cs="Arial" w:eastAsia="Arial" w:hAnsi="Arial"/>
          <w:sz w:val="17"/>
          <w:szCs w:val="17"/>
          <w:i w:val="1"/>
          <w:iCs w:val="1"/>
          <w:color w:val="auto"/>
        </w:rPr>
        <w:t xml:space="preserve"> </w:t>
      </w:r>
      <w:r>
        <w:rPr>
          <w:rFonts w:ascii="Arial" w:cs="Arial" w:eastAsia="Arial" w:hAnsi="Arial"/>
          <w:sz w:val="17"/>
          <w:szCs w:val="17"/>
          <w:color w:val="auto"/>
        </w:rPr>
        <w:t>for fair value measurements within Level 3 and the valuation process used. This guidance will be effective beginning with the quarter ending March 31, 2012, and is not expected to have a material impact on our consolidated financial position, results of operations or cash flows.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Statement of Comprehensive Income. </w:t>
      </w:r>
      <w:r>
        <w:rPr>
          <w:rFonts w:ascii="Arial" w:cs="Arial" w:eastAsia="Arial" w:hAnsi="Arial"/>
          <w:sz w:val="16"/>
          <w:szCs w:val="16"/>
          <w:color w:val="auto"/>
        </w:rPr>
        <w:t>In June 2011, the FASB issued an accounting standards update on the presentation of comprehensive income. This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will be effective beginning with the quarter ending March 31, 2012, and will modify our presentation of other comprehensive income, moving it from the footnotes to the face of the financial statements in a separate, consecutive statement of comprehensive income immediately following the statement of income. The components of net income and other comprehensive income are unchanged and earnings per share continues to be based on net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76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land available-for-sale in Minnesota and earnings on cash and short-term investments.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2011</w:t>
            </w:r>
          </w:p>
        </w:tc>
        <w:tc>
          <w:tcPr>
            <w:tcW w:w="2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74.8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22.7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(10.9)</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12.7</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0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100" w:type="dxa"/>
            <w:vAlign w:val="bottom"/>
          </w:tcPr>
          <w:p>
            <w:pPr>
              <w:spacing w:after="0"/>
              <w:rPr>
                <w:sz w:val="20"/>
                <w:szCs w:val="20"/>
                <w:color w:val="auto"/>
              </w:rPr>
            </w:pPr>
          </w:p>
        </w:tc>
        <w:tc>
          <w:tcPr>
            <w:tcW w:w="2420" w:type="dxa"/>
            <w:vAlign w:val="bottom"/>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 2010</w:t>
            </w:r>
          </w:p>
        </w:tc>
        <w:tc>
          <w:tcPr>
            <w:tcW w:w="2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$224.1</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79.0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89.8</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35.3</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(9.7)</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30.7</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19.5</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1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1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12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819"/>
        </w:trPr>
        <w:tc>
          <w:tcPr>
            <w:tcW w:w="6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2011</w:t>
            </w:r>
          </w:p>
        </w:tc>
        <w:tc>
          <w:tcPr>
            <w:tcW w:w="2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$689.0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229.8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229.8</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276.3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67.1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115.8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(32.6)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24.7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50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September 30, 2011</w:t>
            </w:r>
          </w:p>
        </w:tc>
        <w:tc>
          <w:tcPr>
            <w:tcW w:w="2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$2,754.4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$2,436.0</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$1,902.1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$1,847.1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$1,079.0</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$1,028.6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$143.5</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$128.4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 2010</w:t>
            </w:r>
          </w:p>
        </w:tc>
        <w:tc>
          <w:tcPr>
            <w:tcW w:w="2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$668.9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233.1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233.1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262.9</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59.8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113.1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(28.1)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40.5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1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61.7</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(0.3)</w:t>
            </w: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0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As of September 30, 2010</w:t>
            </w:r>
          </w:p>
        </w:tc>
        <w:tc>
          <w:tcPr>
            <w:tcW w:w="3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$2,579.1</w:t>
            </w:r>
          </w:p>
        </w:tc>
        <w:tc>
          <w:tcPr>
            <w:tcW w:w="1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$2,299.7</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540" w:type="dxa"/>
            <w:vAlign w:val="bottom"/>
          </w:tcPr>
          <w:p>
            <w:pPr>
              <w:jc w:val="right"/>
              <w:ind w:right="410"/>
              <w:spacing w:after="0"/>
              <w:rPr>
                <w:sz w:val="20"/>
                <w:szCs w:val="20"/>
                <w:color w:val="auto"/>
              </w:rPr>
            </w:pPr>
            <w:r>
              <w:rPr>
                <w:rFonts w:ascii="Arial" w:cs="Arial" w:eastAsia="Arial" w:hAnsi="Arial"/>
                <w:sz w:val="18"/>
                <w:szCs w:val="18"/>
                <w:color w:val="auto"/>
              </w:rPr>
              <w:t>$1,742.6</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$1,698.1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7"/>
        </w:trPr>
        <w:tc>
          <w:tcPr>
            <w:tcW w:w="5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5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$1,022.2</w:t>
            </w:r>
          </w:p>
        </w:tc>
        <w:tc>
          <w:tcPr>
            <w:tcW w:w="1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$973.2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3540" w:type="dxa"/>
            <w:vAlign w:val="bottom"/>
          </w:tcPr>
          <w:p>
            <w:pPr>
              <w:jc w:val="right"/>
              <w:ind w:right="410"/>
              <w:spacing w:after="0"/>
              <w:rPr>
                <w:sz w:val="20"/>
                <w:szCs w:val="20"/>
                <w:color w:val="auto"/>
              </w:rPr>
            </w:pPr>
            <w:r>
              <w:rPr>
                <w:rFonts w:ascii="Arial" w:cs="Arial" w:eastAsia="Arial" w:hAnsi="Arial"/>
                <w:sz w:val="18"/>
                <w:szCs w:val="18"/>
                <w:color w:val="auto"/>
              </w:rPr>
              <w:t>$175.5</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$174.3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769" w:right="239" w:bottom="798"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69" w:right="239" w:bottom="798"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and land held-for-sale in Minnesota.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68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Investments</w:t>
            </w:r>
          </w:p>
        </w:tc>
        <w:tc>
          <w:tcPr>
            <w:tcW w:w="46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r>
      <w:tr>
        <w:trPr>
          <w:trHeight w:val="27"/>
        </w:trPr>
        <w:tc>
          <w:tcPr>
            <w:tcW w:w="53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$93.0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680" w:type="dxa"/>
            <w:vAlign w:val="bottom"/>
          </w:tcPr>
          <w:p>
            <w:pPr>
              <w:jc w:val="right"/>
              <w:ind w:right="210"/>
              <w:spacing w:after="0"/>
              <w:rPr>
                <w:sz w:val="20"/>
                <w:szCs w:val="20"/>
                <w:color w:val="auto"/>
              </w:rPr>
            </w:pPr>
            <w:r>
              <w:rPr>
                <w:rFonts w:ascii="Arial" w:cs="Arial" w:eastAsia="Arial" w:hAnsi="Arial"/>
                <w:sz w:val="18"/>
                <w:szCs w:val="18"/>
                <w:color w:val="auto"/>
              </w:rPr>
              <w:t>30.5</w:t>
            </w:r>
          </w:p>
        </w:tc>
        <w:tc>
          <w:tcPr>
            <w:tcW w:w="142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53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4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$129.5</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53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78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2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7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Held-for-sale Beginning Balance (January 1, 2011 and 2010, respectively)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Improvements and Other</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180" w:type="dxa"/>
            <w:vAlign w:val="bottom"/>
          </w:tcPr>
          <w:p>
            <w:pPr>
              <w:ind w:left="280"/>
              <w:spacing w:after="0"/>
              <w:rPr>
                <w:sz w:val="20"/>
                <w:szCs w:val="20"/>
                <w:color w:val="auto"/>
              </w:rPr>
            </w:pPr>
            <w:r>
              <w:rPr>
                <w:rFonts w:ascii="Arial" w:cs="Arial" w:eastAsia="Arial" w:hAnsi="Arial"/>
                <w:sz w:val="18"/>
                <w:szCs w:val="18"/>
                <w:color w:val="auto"/>
              </w:rPr>
              <w:t>Cost of Real Estate Sold</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Held-for-sale Ending Balance</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87.7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Long-Term Finance Receivables (net of allowances of $0.6 and $0.8)</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Real Estate Assets</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$93.0</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7"/>
        </w:trPr>
        <w:tc>
          <w:tcPr>
            <w:tcW w:w="7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Land Held-for-sale. </w:t>
      </w:r>
      <w:r>
        <w:rPr>
          <w:rFonts w:ascii="Arial" w:cs="Arial" w:eastAsia="Arial" w:hAnsi="Arial"/>
          <w:sz w:val="16"/>
          <w:szCs w:val="16"/>
          <w:color w:val="auto"/>
        </w:rPr>
        <w:t>Land held-for-sale is recorded at the lower of cost or fair value as determined by the evaluation of individual land parcels. Land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reviewed for impairment on a quarterly basis and no impairments were recorded for the nine months ended September 30, 2011 (none in 2010).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Finance Receivables. </w:t>
      </w:r>
      <w:r>
        <w:rPr>
          <w:rFonts w:ascii="Arial" w:cs="Arial" w:eastAsia="Arial" w:hAnsi="Arial"/>
          <w:sz w:val="18"/>
          <w:szCs w:val="18"/>
          <w:color w:val="auto"/>
        </w:rPr>
        <w:t>As of September 30, 2011, long-term finance receivables were $2.0 million net of allowance ($3.7 million net of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2010). The decrease is primarily the result of the transfer of properties back to ALLETE Properties by deed-in-lieu of foreclosure, in satisfaction of amounts previously owed under long-term finance receivables. Long-term finance receivables are collateralized by property sold, accrue interest at market-based rates and are net of an allowance for doubtful accounts.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Long-Term Finance Receivables</w:t>
            </w:r>
          </w:p>
        </w:tc>
        <w:tc>
          <w:tcPr>
            <w:tcW w:w="4540" w:type="dxa"/>
            <w:vAlign w:val="bottom"/>
          </w:tcPr>
          <w:p>
            <w:pPr>
              <w:jc w:val="right"/>
              <w:ind w:right="390"/>
              <w:spacing w:after="0"/>
              <w:rPr>
                <w:sz w:val="20"/>
                <w:szCs w:val="20"/>
                <w:color w:val="auto"/>
              </w:rPr>
            </w:pPr>
            <w:r>
              <w:rPr>
                <w:rFonts w:ascii="Arial" w:cs="Arial" w:eastAsia="Arial" w:hAnsi="Arial"/>
                <w:sz w:val="18"/>
                <w:szCs w:val="18"/>
                <w:b w:val="1"/>
                <w:bCs w:val="1"/>
                <w:color w:val="auto"/>
              </w:rPr>
              <w:t>Real</w:t>
            </w:r>
          </w:p>
        </w:tc>
      </w:tr>
      <w:tr>
        <w:trPr>
          <w:trHeight w:val="270"/>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Allowance Roll-Forward</w:t>
            </w:r>
          </w:p>
        </w:tc>
        <w:tc>
          <w:tcPr>
            <w:tcW w:w="4540" w:type="dxa"/>
            <w:vAlign w:val="bottom"/>
          </w:tcPr>
          <w:p>
            <w:pPr>
              <w:jc w:val="right"/>
              <w:ind w:right="330"/>
              <w:spacing w:after="0"/>
              <w:rPr>
                <w:sz w:val="20"/>
                <w:szCs w:val="20"/>
                <w:color w:val="auto"/>
              </w:rPr>
            </w:pPr>
            <w:r>
              <w:rPr>
                <w:rFonts w:ascii="Arial" w:cs="Arial" w:eastAsia="Arial" w:hAnsi="Arial"/>
                <w:sz w:val="18"/>
                <w:szCs w:val="18"/>
                <w:b w:val="1"/>
                <w:bCs w:val="1"/>
                <w:color w:val="auto"/>
              </w:rPr>
              <w:t>Estate</w:t>
            </w:r>
          </w:p>
        </w:tc>
      </w:tr>
      <w:tr>
        <w:trPr>
          <w:trHeight w:val="27"/>
        </w:trPr>
        <w:tc>
          <w:tcPr>
            <w:tcW w:w="68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40" w:type="dxa"/>
            <w:vAlign w:val="bottom"/>
          </w:tcPr>
          <w:p>
            <w:pPr>
              <w:spacing w:after="0"/>
              <w:rPr>
                <w:sz w:val="20"/>
                <w:szCs w:val="20"/>
                <w:color w:val="auto"/>
              </w:rPr>
            </w:pPr>
          </w:p>
        </w:tc>
      </w:tr>
      <w:tr>
        <w:trPr>
          <w:trHeight w:val="27"/>
        </w:trPr>
        <w:tc>
          <w:tcPr>
            <w:tcW w:w="688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December 31, 2010</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Reduction to Reserve</w:t>
            </w:r>
          </w:p>
        </w:tc>
        <w:tc>
          <w:tcPr>
            <w:tcW w:w="45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8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as of September 30, 2011</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688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is exposed to certain risks relating to its business operations that can be managed through the use of derivative instruments. ALLETE may enter into derivative instruments to manage interest rate risk related to certain variable-rate borrowings.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third quarter of 2011, we entered into a variable-to-fixed interest rate swap (Swap), designated as a cash flow hedge, in order to manage the interest rate risk associated with the issuance of a $75.0 million Term Loan. The Term Loan has a variable interest rate equal to the one-month LIBOR plus 1.00 percent, has a maturity of August 25, 3014, and represents approximately 9 percent of the Company’s outstanding long-term debt as of September 30, 2011. (See Note 8.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LIBOR benchmark interest rate over the life of the Swap. If it is determined that a derivative is not or has ceased to be effective as a hedge, the Company prospectively discontinues hedge accounting. The shortcut method is used to assess hedge effectiveness. At inception, all shortcut method requirements were satisfied; thus changes in value of the Swap designated as the hedging instrument will be deemed 100 percent effective. As a result, there was no ineffectiveness recorded for the quarter and nine months ended September 30, 2011. The mark-to-market fluctuation on the cash flow hedge was recorded in accumulated other comprehensive income on the consolidated balance sheet. As of September 30, 2011, a $0.5 million decrease in fair value was recorded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if it is probable that the hedged transactions will not occur. Gains or losses on interest rate hedging transactions are reflected as a component of interest expense on the consolidated statement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8. Fair Value to the consolidated financial statements in our 2010 Form 10-K.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September 30, 2011, and December 31, 2010.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21"/>
        </w:trPr>
        <w:tc>
          <w:tcPr>
            <w:tcW w:w="5680" w:type="dxa"/>
            <w:vAlign w:val="bottom"/>
          </w:tcPr>
          <w:p>
            <w:pPr>
              <w:spacing w:after="0"/>
              <w:rPr>
                <w:sz w:val="24"/>
                <w:szCs w:val="24"/>
                <w:color w:val="auto"/>
              </w:rPr>
            </w:pPr>
          </w:p>
        </w:tc>
        <w:tc>
          <w:tcPr>
            <w:tcW w:w="4960" w:type="dxa"/>
            <w:vAlign w:val="bottom"/>
            <w:gridSpan w:val="3"/>
          </w:tcPr>
          <w:p>
            <w:pPr>
              <w:ind w:left="2160"/>
              <w:spacing w:after="0"/>
              <w:rPr>
                <w:sz w:val="20"/>
                <w:szCs w:val="20"/>
                <w:color w:val="auto"/>
              </w:rPr>
            </w:pPr>
            <w:r>
              <w:rPr>
                <w:rFonts w:ascii="Arial" w:cs="Arial" w:eastAsia="Arial" w:hAnsi="Arial"/>
                <w:sz w:val="18"/>
                <w:szCs w:val="18"/>
                <w:b w:val="1"/>
                <w:bCs w:val="1"/>
                <w:color w:val="auto"/>
                <w:w w:val="90"/>
              </w:rPr>
              <w:t>Fair Value as of September 30, 2011</w:t>
            </w:r>
          </w:p>
        </w:tc>
        <w:tc>
          <w:tcPr>
            <w:tcW w:w="780" w:type="dxa"/>
            <w:vAlign w:val="bottom"/>
          </w:tcPr>
          <w:p>
            <w:pPr>
              <w:spacing w:after="0"/>
              <w:rPr>
                <w:sz w:val="24"/>
                <w:szCs w:val="24"/>
                <w:color w:val="auto"/>
              </w:rPr>
            </w:pP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5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$18.9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5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 Corporate Debt Securities</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2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$24.9</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77"/>
        </w:trPr>
        <w:tc>
          <w:tcPr>
            <w:tcW w:w="56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2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5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Interest Rate Swap</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$13.8</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68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$24.9</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47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2010</w:t>
            </w:r>
          </w:p>
        </w:tc>
        <w:tc>
          <w:tcPr>
            <w:tcW w:w="780" w:type="dxa"/>
            <w:vAlign w:val="bottom"/>
          </w:tcPr>
          <w:p>
            <w:pPr>
              <w:spacing w:after="0"/>
              <w:rPr>
                <w:sz w:val="20"/>
                <w:szCs w:val="20"/>
                <w:color w:val="auto"/>
              </w:rPr>
            </w:pP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2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$19.4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Securities Issued by States of the United States (ARS)</w:t>
            </w:r>
          </w:p>
        </w:tc>
        <w:tc>
          <w:tcPr>
            <w:tcW w:w="2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5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Available-for-sale Securities</w:t>
            </w:r>
          </w:p>
        </w:tc>
        <w:tc>
          <w:tcPr>
            <w:tcW w:w="2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7.5</w:t>
            </w:r>
          </w:p>
        </w:tc>
        <w:tc>
          <w:tcPr>
            <w:tcW w:w="1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$7.5</w:t>
            </w:r>
          </w:p>
        </w:tc>
        <w:tc>
          <w:tcPr>
            <w:tcW w:w="1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$6.7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5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9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$13.3</w:t>
            </w: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5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900" w:type="dxa"/>
            <w:vAlign w:val="bottom"/>
            <w:tcBorders>
              <w:bottom w:val="single" w:sz="8" w:color="auto"/>
            </w:tcBorders>
            <w:shd w:val="clear" w:color="auto" w:fill="CCEEFF"/>
          </w:tcPr>
          <w:p>
            <w:pPr>
              <w:spacing w:after="0"/>
              <w:rPr>
                <w:sz w:val="24"/>
                <w:szCs w:val="24"/>
                <w:color w:val="auto"/>
              </w:rPr>
            </w:pPr>
          </w:p>
        </w:tc>
        <w:tc>
          <w:tcPr>
            <w:tcW w:w="2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Debt Securities</w:t>
            </w:r>
          </w:p>
        </w:tc>
        <w:tc>
          <w:tcPr>
            <w:tcW w:w="4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Issued by States</w:t>
            </w:r>
          </w:p>
        </w:tc>
        <w:tc>
          <w:tcPr>
            <w:tcW w:w="400" w:type="dxa"/>
            <w:vAlign w:val="bottom"/>
          </w:tcPr>
          <w:p>
            <w:pPr>
              <w:spacing w:after="0"/>
              <w:rPr>
                <w:sz w:val="18"/>
                <w:szCs w:val="18"/>
                <w:color w:val="auto"/>
              </w:rPr>
            </w:pPr>
          </w:p>
        </w:tc>
      </w:tr>
      <w:tr>
        <w:trPr>
          <w:trHeight w:val="216"/>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of the United</w:t>
            </w:r>
          </w:p>
        </w:tc>
        <w:tc>
          <w:tcPr>
            <w:tcW w:w="400" w:type="dxa"/>
            <w:vAlign w:val="bottom"/>
          </w:tcPr>
          <w:p>
            <w:pPr>
              <w:spacing w:after="0"/>
              <w:rPr>
                <w:sz w:val="18"/>
                <w:szCs w:val="18"/>
                <w:color w:val="auto"/>
              </w:rPr>
            </w:pPr>
          </w:p>
        </w:tc>
      </w:t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2760" w:type="dxa"/>
            <w:vAlign w:val="bottom"/>
          </w:tcPr>
          <w:p>
            <w:pPr>
              <w:ind w:left="1760"/>
              <w:spacing w:after="0"/>
              <w:rPr>
                <w:sz w:val="20"/>
                <w:szCs w:val="20"/>
                <w:color w:val="auto"/>
              </w:rPr>
            </w:pPr>
            <w:r>
              <w:rPr>
                <w:rFonts w:ascii="Arial" w:cs="Arial" w:eastAsia="Arial" w:hAnsi="Arial"/>
                <w:sz w:val="18"/>
                <w:szCs w:val="18"/>
                <w:b w:val="1"/>
                <w:bCs w:val="1"/>
                <w:color w:val="auto"/>
              </w:rPr>
              <w:t>Derivatives</w:t>
            </w:r>
          </w:p>
        </w:tc>
        <w:tc>
          <w:tcPr>
            <w:tcW w:w="800" w:type="dxa"/>
            <w:vAlign w:val="bottom"/>
          </w:tcPr>
          <w:p>
            <w:pPr>
              <w:spacing w:after="0"/>
              <w:rPr>
                <w:sz w:val="20"/>
                <w:szCs w:val="20"/>
                <w:color w:val="auto"/>
              </w:rPr>
            </w:pPr>
          </w:p>
        </w:tc>
        <w:tc>
          <w:tcPr>
            <w:tcW w:w="15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States (ARS)</w:t>
            </w:r>
          </w:p>
        </w:tc>
        <w:tc>
          <w:tcPr>
            <w:tcW w:w="400" w:type="dxa"/>
            <w:vAlign w:val="bottom"/>
          </w:tcPr>
          <w:p>
            <w:pPr>
              <w:spacing w:after="0"/>
              <w:rPr>
                <w:sz w:val="20"/>
                <w:szCs w:val="20"/>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2010 and 2009, respectively</w:t>
            </w:r>
          </w:p>
        </w:tc>
        <w:tc>
          <w:tcPr>
            <w:tcW w:w="27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$0.7</w:t>
            </w:r>
          </w:p>
        </w:tc>
        <w:tc>
          <w:tcPr>
            <w:tcW w:w="15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$6.7</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$6.7</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Settled During the Period</w:t>
            </w:r>
          </w:p>
        </w:tc>
        <w:tc>
          <w:tcPr>
            <w:tcW w:w="2760" w:type="dxa"/>
            <w:vAlign w:val="bottom"/>
          </w:tcPr>
          <w:p>
            <w:pPr>
              <w:ind w:left="18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(0.7)</w:t>
            </w:r>
          </w:p>
        </w:tc>
        <w:tc>
          <w:tcPr>
            <w:tcW w:w="156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59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Redeemed During the Period</w:t>
            </w:r>
          </w:p>
        </w:tc>
        <w:tc>
          <w:tcPr>
            <w:tcW w:w="276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7"/>
              </w:rPr>
              <w:t>(6.7)</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September 30, 2011 and 2010, respectively</w:t>
            </w:r>
          </w:p>
        </w:tc>
        <w:tc>
          <w:tcPr>
            <w:tcW w:w="2760" w:type="dxa"/>
            <w:vAlign w:val="bottom"/>
            <w:tcBorders>
              <w:top w:val="single" w:sz="8" w:color="auto"/>
            </w:tcBorders>
          </w:tcPr>
          <w:p>
            <w:pPr>
              <w:ind w:left="18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$6.7</w:t>
            </w:r>
          </w:p>
        </w:tc>
      </w:tr>
      <w:tr>
        <w:trPr>
          <w:trHeight w:val="27"/>
        </w:trPr>
        <w:tc>
          <w:tcPr>
            <w:tcW w:w="5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2010, the $0.7 million of financial transmission rights derivatives were settled. On January 5, 2011, the remaining $6.7 million of ARS were redeemed at carrying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policy is to recognize transfers in and transfers out as of the actual date of the event or of the change in circumstances that caused the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2011 and 2010, there were no transfers in or out of Levels 1, 2 or 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769" w:right="239" w:bottom="879"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69" w:right="239" w:bottom="879"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FAIR VALUE (Continued)</w:t>
      </w:r>
    </w:p>
    <w:p>
      <w:pPr>
        <w:spacing w:after="0" w:line="25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 listed below, the estimated fair value of all financial instruments approximates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The fair value for the item listed below was based on quoted market prices for the same or similar instruments.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2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4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September 30, 2011</w:t>
            </w:r>
          </w:p>
        </w:tc>
        <w:tc>
          <w:tcPr>
            <w:tcW w:w="4120" w:type="dxa"/>
            <w:vAlign w:val="bottom"/>
          </w:tcPr>
          <w:p>
            <w:pPr>
              <w:jc w:val="center"/>
              <w:ind w:left="1690"/>
              <w:spacing w:after="0"/>
              <w:rPr>
                <w:sz w:val="20"/>
                <w:szCs w:val="20"/>
                <w:color w:val="auto"/>
              </w:rPr>
            </w:pPr>
            <w:r>
              <w:rPr>
                <w:rFonts w:ascii="Arial" w:cs="Arial" w:eastAsia="Arial" w:hAnsi="Arial"/>
                <w:sz w:val="18"/>
                <w:szCs w:val="18"/>
                <w:color w:val="auto"/>
                <w:w w:val="90"/>
              </w:rPr>
              <w:t>$857.2</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0"/>
              </w:rPr>
              <w:t>$962.5</w:t>
            </w:r>
          </w:p>
        </w:tc>
      </w:tr>
      <w:tr>
        <w:trPr>
          <w:trHeight w:val="27"/>
        </w:trPr>
        <w:tc>
          <w:tcPr>
            <w:tcW w:w="5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2010</w:t>
            </w:r>
          </w:p>
        </w:tc>
        <w:tc>
          <w:tcPr>
            <w:tcW w:w="412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90"/>
              </w:rPr>
              <w:t>$785.0</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$796.7</w:t>
            </w:r>
          </w:p>
        </w:tc>
      </w:tr>
      <w:tr>
        <w:trPr>
          <w:trHeight w:val="20"/>
        </w:trPr>
        <w:tc>
          <w:tcPr>
            <w:tcW w:w="546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2010 Rate Case. </w:t>
      </w:r>
      <w:r>
        <w:rPr>
          <w:rFonts w:ascii="Arial" w:cs="Arial" w:eastAsia="Arial" w:hAnsi="Arial"/>
          <w:sz w:val="16"/>
          <w:szCs w:val="16"/>
          <w:color w:val="auto"/>
        </w:rPr>
        <w:t>On November 2, 2009, Minnesota Power filed an $81 million retail rate increase request to recover the costs of significant investments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current and future system reliability, enhance 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45.71 percent debt.</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 2010, Minnesota Power received a written order from the MPUC approving a retail rate increase of $53.5 million, a 10.38 percent return on common equity and a 54.29 percent equity ratio, subject to reconsideration. On May 24, 2011, the MPUC issued an order authorizing Minnesota Power to implement final rates of $53.5 million, effective June 1, 2011. The May 24, 2011 order authorized Minnesota Power to collect a $3.2 million differential between interim rates and final rates for the period from November 2, 2010, through May 31, 2011, all of which was recorded in the second quarter of 2011.</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stipulation and settlement agreement approved by the MPUC as part of this rate case, Minnesota Power agreed to forgo collection of $20.5 million in revenue receivable that it was entitled to under a prior rider for the Boswell Unit 3 environmental retrofit. The agreement required the Company to capitalize, as part of rate base, the $20.5 million to property, plant and equipment representing AFUDC. In conjunction with the settlement agreement, and upon receipt of the final rate order in February 2011, the Company reversed a $6.2 million deferred tax liability related to the revenue receivable Minnesota Power agreed to forgo. The $20.5 million revenue receivable was previously included in regulatory assets on the Company’s consolidated balance sheet.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22, 2011, Minnesota Power timely filed an appeal of the MPUC’s interim rate decision in the Company’s 2010 rate case with the Minnesota Court of Appeals. The Company is appealing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Oral argument was held on September 21, 2011, and an appellate decision is expected by the end of December 2011. If the appeal is successful, the Minnesota Court of Appeals would remand the case to the MPUC for further action consistent with its decision. The Company cannot predict the outcome of the matter at this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76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Power’s non-affiliated municipal customers consist of 16 municipalities in Minnesota and 1 private utility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a wholly-owned subsidiary of ALLETE, is also a private utility in Wisconsin and a customer of Minnesota Power. In 2008, Minnesota Power entered into formula-based rate contracts with these customers. In February 2011, Minnesota Power entered into a new formula-based contract with the City of Nashwauk, effective May 1, 2012, through April 30, 2022. In June 2011, Minnesota Power entered into restated contracts, effective July 1, 2011, through June 30, 2019, with the remaining 15 Minnesota municipal customers, and effective August 1, 2011, through June 30, 2019, with SWL&amp;P. The rates included in these contracts are calculated using a cost-based formula methodology that is set each July using estimated costs and provides for a true-up calculation for actual costs. Both the new and restated contract terms include a termination clause requiring a three-year notice to terminate. Under the City of Nashwauk contract, no termination notice may be given prior to April 30, 2019. Under the restated contracts, no termination notices may be given prior to June 30, 2016.</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2010 Wisconsin Rate Increase. </w:t>
      </w:r>
      <w:r>
        <w:rPr>
          <w:rFonts w:ascii="Arial" w:cs="Arial" w:eastAsia="Arial" w:hAnsi="Arial"/>
          <w:sz w:val="18"/>
          <w:szCs w:val="18"/>
          <w:color w:val="auto"/>
        </w:rPr>
        <w:t>SWL&amp;P’s 2011 retail rates are based on a 2010 PSCW retail rate order, effective January 1, 2011, that allows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The new rates reflect a 2.4 percent average increase in retail utility rates for SWL&amp;P customers (a 12.8 percent increase in water rates, a 2.5 percent increase in natural gas rates and a 0.7 percent increase in electric rates). On an annualized basis, the rate increase will generate approximately $2 million in additional revenue.</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On August 26, 2011, the Company filed with the MPUC for approval of certain affiliated interest agreements between ALLETE</w:t>
      </w:r>
      <w:r>
        <w:rPr>
          <w:rFonts w:ascii="Arial" w:cs="Arial" w:eastAsia="Arial" w:hAnsi="Arial"/>
          <w:sz w:val="17"/>
          <w:szCs w:val="17"/>
          <w:b w:val="1"/>
          <w:bCs w:val="1"/>
          <w:color w:val="auto"/>
        </w:rPr>
        <w:t xml:space="preserve"> </w:t>
      </w:r>
      <w:r>
        <w:rPr>
          <w:rFonts w:ascii="Arial" w:cs="Arial" w:eastAsia="Arial" w:hAnsi="Arial"/>
          <w:sz w:val="17"/>
          <w:szCs w:val="17"/>
          <w:color w:val="auto"/>
        </w:rPr>
        <w:t>and ALLETE Clean Energy. These agreements relate to various relationships with ALLETE, including the accounting for certain shared services, as well as provide for the transfer of transmission and wind development rights in North Dakota to ALLETE Clean Energy. These transmission and wind development rights are in addition to those needed by Minnesota Power to meet Minnesota’s renewable energy standard requirements.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The Patient Protection and Affordable Care Act of 2010 (PPACA). </w:t>
      </w:r>
      <w:r>
        <w:rPr>
          <w:rFonts w:ascii="Arial" w:cs="Arial" w:eastAsia="Arial" w:hAnsi="Arial"/>
          <w:sz w:val="17"/>
          <w:szCs w:val="17"/>
          <w:color w:val="auto"/>
        </w:rPr>
        <w:t>In March 2010, PPACA was signed into law. One of the provisions changed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in the first quarter of 2010. Consequently, the reversal of previously recorded tax benefits resulted in a non-recurring charge to net income of $4.0 million in the first quarter of 2010. In October 2010, we submitted a filing with the MPUC requesting deferral of the retail portion of the tax charge taken in 2010 resulting from PPACA. On May 24, 2011, the MPUC approved our request for deferral until the next rate case and as a result we recorded an income tax benefit of $2.9 million in the second quarter of 2011 and a related regulatory asset of $5.0 million. (See Note 10. Income Tax Expense.)</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credited to customers in rates. No regulatory assets or liabilities are currently earning a return.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18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03"/>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1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1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Deferred Fuel</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$17.1</w:t>
            </w:r>
          </w:p>
        </w:tc>
        <w:tc>
          <w:tcPr>
            <w:tcW w:w="14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20" w:type="dxa"/>
            <w:vAlign w:val="bottom"/>
          </w:tcPr>
          <w:p>
            <w:pPr>
              <w:spacing w:after="0"/>
              <w:rPr>
                <w:sz w:val="20"/>
                <w:szCs w:val="20"/>
                <w:color w:val="auto"/>
              </w:rPr>
            </w:pPr>
          </w:p>
        </w:tc>
        <w:tc>
          <w:tcPr>
            <w:tcW w:w="81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18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Future Benefit Obligations Under</w:t>
            </w:r>
          </w:p>
        </w:tc>
        <w:tc>
          <w:tcPr>
            <w:tcW w:w="18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Defined Benefit Pension and Other Postretirement Benefit Plans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245.3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Boswell Unit 3 Environmental Rider</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Asset Retirement Obligation</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Medicare Part D</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Assets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286.9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64"/>
        </w:trPr>
        <w:tc>
          <w:tcPr>
            <w:tcW w:w="20" w:type="dxa"/>
            <w:vAlign w:val="bottom"/>
          </w:tcPr>
          <w:p>
            <w:pPr>
              <w:spacing w:after="0"/>
              <w:rPr>
                <w:sz w:val="22"/>
                <w:szCs w:val="22"/>
                <w:color w:val="auto"/>
              </w:rPr>
            </w:pPr>
          </w:p>
        </w:tc>
        <w:tc>
          <w:tcPr>
            <w:tcW w:w="81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75"/>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Regulatory Assets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$304.0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r>
      <w:tr>
        <w:trPr>
          <w:trHeight w:val="264"/>
        </w:trPr>
        <w:tc>
          <w:tcPr>
            <w:tcW w:w="20" w:type="dxa"/>
            <w:vAlign w:val="bottom"/>
          </w:tcPr>
          <w:p>
            <w:pPr>
              <w:spacing w:after="0"/>
              <w:rPr>
                <w:sz w:val="22"/>
                <w:szCs w:val="22"/>
                <w:color w:val="auto"/>
              </w:rPr>
            </w:pPr>
          </w:p>
        </w:tc>
        <w:tc>
          <w:tcPr>
            <w:tcW w:w="81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$21.6</w:t>
            </w:r>
          </w:p>
        </w:tc>
        <w:tc>
          <w:tcPr>
            <w:tcW w:w="14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Plant Removal Obligations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20" w:type="dxa"/>
            <w:vAlign w:val="bottom"/>
          </w:tcPr>
          <w:p>
            <w:pPr>
              <w:spacing w:after="0"/>
              <w:rPr>
                <w:sz w:val="21"/>
                <w:szCs w:val="21"/>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4"/>
        </w:trPr>
        <w:tc>
          <w:tcPr>
            <w:tcW w:w="20" w:type="dxa"/>
            <w:vAlign w:val="bottom"/>
          </w:tcPr>
          <w:p>
            <w:pPr>
              <w:spacing w:after="0"/>
              <w:rPr>
                <w:sz w:val="19"/>
                <w:szCs w:val="19"/>
                <w:color w:val="auto"/>
              </w:rPr>
            </w:pPr>
          </w:p>
        </w:tc>
        <w:tc>
          <w:tcPr>
            <w:tcW w:w="81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7"/>
              </w:rPr>
              <w:t>(a)  Current regulatory assets are included in prepayments and other on the consolidated balance sheet.</w:t>
            </w:r>
          </w:p>
        </w:tc>
        <w:tc>
          <w:tcPr>
            <w:tcW w:w="18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In the first nine months of 2011, we invested $2.0 million in ATC. We do not expect to make any additional investments in 2011.</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Investment Balance as of December 31, 2010</w:t>
            </w:r>
          </w:p>
        </w:tc>
        <w:tc>
          <w:tcPr>
            <w:tcW w:w="4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42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Equity Investment Balance as of September 30, 2011</w:t>
            </w:r>
          </w:p>
        </w:tc>
        <w:tc>
          <w:tcPr>
            <w:tcW w:w="4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426"/>
        </w:trPr>
        <w:tc>
          <w:tcPr>
            <w:tcW w:w="8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ATC’s summarized financial data for the quarter and nine months ended September 30, 2011 and 2010, is as follows:</w:t>
            </w:r>
          </w:p>
        </w:tc>
        <w:tc>
          <w:tcPr>
            <w:tcW w:w="9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594"/>
        </w:trPr>
        <w:tc>
          <w:tcPr>
            <w:tcW w:w="4200" w:type="dxa"/>
            <w:vAlign w:val="bottom"/>
          </w:tcPr>
          <w:p>
            <w:pPr>
              <w:spacing w:after="0"/>
              <w:rPr>
                <w:sz w:val="24"/>
                <w:szCs w:val="24"/>
                <w:color w:val="auto"/>
              </w:rPr>
            </w:pPr>
          </w:p>
        </w:tc>
        <w:tc>
          <w:tcPr>
            <w:tcW w:w="51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51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4240" w:type="dxa"/>
            <w:vAlign w:val="bottom"/>
          </w:tcPr>
          <w:p>
            <w:pPr>
              <w:jc w:val="right"/>
              <w:ind w:right="672"/>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2010</w:t>
            </w: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42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$142.8</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$136.9</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$420.6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4240" w:type="dxa"/>
            <w:vAlign w:val="bottom"/>
          </w:tcPr>
          <w:p>
            <w:pPr>
              <w:jc w:val="right"/>
              <w:ind w:right="372"/>
              <w:spacing w:after="0"/>
              <w:rPr>
                <w:sz w:val="20"/>
                <w:szCs w:val="20"/>
                <w:color w:val="auto"/>
              </w:rPr>
            </w:pPr>
            <w:r>
              <w:rPr>
                <w:rFonts w:ascii="Arial" w:cs="Arial" w:eastAsia="Arial" w:hAnsi="Arial"/>
                <w:sz w:val="18"/>
                <w:szCs w:val="18"/>
                <w:color w:val="auto"/>
              </w:rPr>
              <w:t>66.4</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60.2</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192.5</w:t>
            </w:r>
          </w:p>
        </w:tc>
        <w:tc>
          <w:tcPr>
            <w:tcW w:w="92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27"/>
        </w:trPr>
        <w:tc>
          <w:tcPr>
            <w:tcW w:w="4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2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19.7</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424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$56.7</w:t>
            </w: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$55.0</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$166.5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r>
      <w:tr>
        <w:trPr>
          <w:trHeight w:val="27"/>
        </w:trPr>
        <w:tc>
          <w:tcPr>
            <w:tcW w:w="42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200" w:type="dxa"/>
            <w:vAlign w:val="bottom"/>
            <w:shd w:val="clear" w:color="auto" w:fill="CCEEFF"/>
          </w:tcPr>
          <w:p>
            <w:pPr>
              <w:spacing w:after="0"/>
              <w:rPr>
                <w:sz w:val="22"/>
                <w:szCs w:val="22"/>
                <w:color w:val="auto"/>
              </w:rPr>
            </w:pPr>
          </w:p>
        </w:tc>
        <w:tc>
          <w:tcPr>
            <w:tcW w:w="4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4240" w:type="dxa"/>
            <w:vAlign w:val="bottom"/>
          </w:tcPr>
          <w:p>
            <w:pPr>
              <w:jc w:val="right"/>
              <w:ind w:right="372"/>
              <w:spacing w:after="0"/>
              <w:rPr>
                <w:sz w:val="20"/>
                <w:szCs w:val="20"/>
                <w:color w:val="auto"/>
              </w:rPr>
            </w:pPr>
            <w:r>
              <w:rPr>
                <w:rFonts w:ascii="Arial" w:cs="Arial" w:eastAsia="Arial" w:hAnsi="Arial"/>
                <w:sz w:val="18"/>
                <w:szCs w:val="18"/>
                <w:color w:val="auto"/>
              </w:rPr>
              <w:t>$4.7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42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98"/>
        </w:trPr>
        <w:tc>
          <w:tcPr>
            <w:tcW w:w="4200" w:type="dxa"/>
            <w:vAlign w:val="bottom"/>
          </w:tcPr>
          <w:p>
            <w:pPr>
              <w:spacing w:after="0"/>
              <w:rPr>
                <w:sz w:val="24"/>
                <w:szCs w:val="24"/>
                <w:color w:val="auto"/>
              </w:rPr>
            </w:pPr>
          </w:p>
        </w:tc>
        <w:tc>
          <w:tcPr>
            <w:tcW w:w="4240" w:type="dxa"/>
            <w:vAlign w:val="bottom"/>
          </w:tcPr>
          <w:p>
            <w:pPr>
              <w:jc w:val="right"/>
              <w:ind w:right="1452"/>
              <w:spacing w:after="0"/>
              <w:rPr>
                <w:sz w:val="20"/>
                <w:szCs w:val="20"/>
                <w:color w:val="auto"/>
              </w:rPr>
            </w:pPr>
            <w:r>
              <w:rPr>
                <w:rFonts w:ascii="Arial" w:cs="Arial" w:eastAsia="Arial" w:hAnsi="Arial"/>
                <w:sz w:val="14"/>
                <w:szCs w:val="14"/>
                <w:color w:val="auto"/>
              </w:rPr>
              <w:t>ALLETE Third Quarter 2011 Form 10-Q</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769" w:right="239" w:bottom="271" w:gutter="0" w:footer="0" w:header="0"/>
        </w:sectPr>
      </w:pPr>
    </w:p>
    <w:p>
      <w:pPr>
        <w:ind w:left="112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69" w:right="239" w:bottom="271"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September 30, 2011, total short-term debt outstanding was $18.4 million ($14.4 million as of December 31, 2010)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notes payable.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September 30, 2011, total long-term debt outstanding was $844.4 million ($771.6 million as of December 31, 2010).</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25, 2011, ALLETE, Inc. entered into a $75.0 million Term Loan Agreement with JPMorgan Chase Bank, N.A., as Administrative Agent and a Lender, and Bank of America, N.A., as a Lender (Term Loan). The Term Loan is an unsecured, single-draw loan that is due on August 25, 2014. The interest rate on the Term Loan is equal to the one-month LIBOR plus 1.00 percent; however, we also entered into an interest rate swap agreement which effectively fixed the interest rate at 1.825 percent over the term of the loan. (See Note 4. Derivatives.) Proceeds from the Term Loan will be used for general corporate purposes. As of September 30, 2011, there was $75.0 million outstanding on the Term Loan.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2011, ALLETE, Inc. entered into a new $250 million Credit Agreement (Agreement) with JPMorgan Chase Bank, N.A., as Administrative Agent, and several other lenders that are parties thereto. The Agreement was effective July 1, 2011, and replaced our previous $150 million credit facility. The Agreement is unsecured and has a maturity date of June 30, 2015, which may be extended for one year. Such extension is subject to bank approvals. Advances from the Agreement may be used for general corporate purposes, to provide liquidity in support of ALLETE’s commercial paper program and to issue up to $40 million in letters of credit.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Indebtedness to Total Capitalization (as the amounts are calculated in accordance with the respective long-term debt arrangements) of less than or equal to 0.65 to 1.00 measured quarterly. As of September 30, 2011, our ratio was approximately 0.45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September 30, 2011,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5280" w:type="dxa"/>
            <w:vAlign w:val="bottom"/>
          </w:tcPr>
          <w:p>
            <w:pPr>
              <w:spacing w:after="0"/>
              <w:rPr>
                <w:sz w:val="24"/>
                <w:szCs w:val="24"/>
                <w:color w:val="auto"/>
              </w:rPr>
            </w:pPr>
          </w:p>
        </w:tc>
        <w:tc>
          <w:tcPr>
            <w:tcW w:w="40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80" w:type="dxa"/>
            <w:vAlign w:val="bottom"/>
          </w:tcPr>
          <w:p>
            <w:pPr>
              <w:spacing w:after="0"/>
              <w:rPr>
                <w:sz w:val="23"/>
                <w:szCs w:val="23"/>
                <w:color w:val="auto"/>
              </w:rPr>
            </w:pPr>
          </w:p>
        </w:tc>
        <w:tc>
          <w:tcPr>
            <w:tcW w:w="40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80" w:type="dxa"/>
            <w:vAlign w:val="bottom"/>
          </w:tcPr>
          <w:p>
            <w:pPr>
              <w:spacing w:after="0"/>
              <w:rPr>
                <w:sz w:val="23"/>
                <w:szCs w:val="23"/>
                <w:color w:val="auto"/>
              </w:rPr>
            </w:pPr>
          </w:p>
        </w:tc>
        <w:tc>
          <w:tcPr>
            <w:tcW w:w="29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5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2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Investment and Other Income (Expense)</w:t>
            </w:r>
          </w:p>
        </w:tc>
        <w:tc>
          <w:tcPr>
            <w:tcW w:w="29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2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NOTE 10. INCOME TAX EXPENSE</w:t>
            </w:r>
          </w:p>
        </w:tc>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5220" w:type="dxa"/>
            <w:vAlign w:val="bottom"/>
          </w:tcPr>
          <w:p>
            <w:pPr>
              <w:spacing w:after="0"/>
              <w:rPr>
                <w:sz w:val="24"/>
                <w:szCs w:val="24"/>
                <w:color w:val="auto"/>
              </w:rPr>
            </w:pPr>
          </w:p>
        </w:tc>
        <w:tc>
          <w:tcPr>
            <w:tcW w:w="41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220" w:type="dxa"/>
            <w:vAlign w:val="bottom"/>
          </w:tcPr>
          <w:p>
            <w:pPr>
              <w:spacing w:after="0"/>
              <w:rPr>
                <w:sz w:val="23"/>
                <w:szCs w:val="23"/>
                <w:color w:val="auto"/>
              </w:rPr>
            </w:pPr>
          </w:p>
        </w:tc>
        <w:tc>
          <w:tcPr>
            <w:tcW w:w="41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220" w:type="dxa"/>
            <w:vAlign w:val="bottom"/>
          </w:tcPr>
          <w:p>
            <w:pPr>
              <w:spacing w:after="0"/>
              <w:rPr>
                <w:sz w:val="23"/>
                <w:szCs w:val="23"/>
                <w:color w:val="auto"/>
              </w:rPr>
            </w:pPr>
          </w:p>
        </w:tc>
        <w:tc>
          <w:tcPr>
            <w:tcW w:w="3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52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0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$(31.7)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5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3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(30.7)</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52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020" w:type="dxa"/>
            <w:vAlign w:val="bottom"/>
          </w:tcPr>
          <w:p>
            <w:pPr>
              <w:jc w:val="right"/>
              <w:ind w:right="170"/>
              <w:spacing w:after="0"/>
              <w:rPr>
                <w:sz w:val="20"/>
                <w:szCs w:val="20"/>
                <w:color w:val="auto"/>
              </w:rPr>
            </w:pPr>
            <w:r>
              <w:rPr>
                <w:rFonts w:ascii="Arial" w:cs="Arial" w:eastAsia="Arial" w:hAnsi="Arial"/>
                <w:sz w:val="18"/>
                <w:szCs w:val="18"/>
                <w:color w:val="auto"/>
              </w:rPr>
              <w:t>8.5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41.0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5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22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02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2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0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$12.7</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$11.2</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$24.7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r>
    </w:tbl>
    <w:p>
      <w:pPr>
        <w:spacing w:after="0" w:line="26" w:lineRule="exact"/>
        <w:rPr>
          <w:sz w:val="20"/>
          <w:szCs w:val="20"/>
          <w:color w:val="auto"/>
        </w:rPr>
      </w:pPr>
    </w:p>
    <w:p>
      <w:pPr>
        <w:jc w:val="both"/>
        <w:ind w:left="340" w:hanging="332"/>
        <w:spacing w:after="0" w:line="253"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For the nine months ended September 30, 2011, the federal and state current tax expense (benefit) of zero and ($0.1) million, respectively, (zero and $0.1 million for the quarter ended September 30, 2011) is due to a net operating loss (NOL) which resulted primarily from the bonus depreciation provision of the Small Business Jobs Act of 2010. The 2011 federal and state NOL will be carried forward to offset future taxable income. For the quarter and nine months ended September 30, 2010, we recorded a federal current tax benefit as a result of tax planning initiatives and the bonus depreciation provision in the Small Business Jobs Act of 2010. The 2010 federal NOL was partially utilized by carrying it back against prior years’ income with the remainder carried forward to offset future years’ income.</w:t>
      </w:r>
    </w:p>
    <w:p>
      <w:pPr>
        <w:spacing w:after="0" w:line="1" w:lineRule="exact"/>
        <w:rPr>
          <w:rFonts w:ascii="Arial" w:cs="Arial" w:eastAsia="Arial" w:hAnsi="Arial"/>
          <w:sz w:val="18"/>
          <w:szCs w:val="18"/>
          <w:i w:val="1"/>
          <w:iCs w:val="1"/>
          <w:color w:val="auto"/>
        </w:rPr>
      </w:pPr>
    </w:p>
    <w:p>
      <w:pPr>
        <w:jc w:val="both"/>
        <w:ind w:left="340" w:hanging="332"/>
        <w:spacing w:after="0" w:line="29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nine months ended September 30, 2011, includes a second quarter income tax benefit of $2.9 million related to the MPUC approval of our request to defer the retail portion of the tax charge taken in 2010 as a result of PPACA and a first quarter benefit for the reversal of a $6.2 million deferred tax liability related to a revenue receivable that Minnesota Power agreed to forgo as part of a stipulation and settlement agreement in its 2010 rate case. Included in the nine months ended September 30, 2010, is a first quarter charge of $4.0 million as a result of PPACA. (See Note 6.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nine months ended September 30, 2011, the effective tax rate was 24.9 percent (39.6 percent for the nine months ended September 30, 2010). The effective tax rate for the nine months ended September 30, 2011, was lowered by 2.9 percent due to the non-recurring income tax benefit related to the MPUC approval of our request to defer the retail portion of the tax charge taken in 2010 resulting from PPACA and by 6.2 percent due to the non-recurring reversal of the deferred tax liability related to a revenue receivable that Minnesota Power agreed to forgo as part of a stipulation and settlement agreement in its 2010 rate case. The effective tax rate deviated from the statutory rate of approximately 41 percent primarily due to the non-recurring items discussed above, deductions for AFUDC – Equity, investment tax credits, renewable tax credits and depletion.</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2011, we had gross unrecognized tax benefits of $11.4 million. Of this total, $0.6 million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unrecognized tax benefits that, if recognized, would favorably impact the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total amount of unrecognized tax benefits as of September 30, 2011, will change by an immaterial amount in the next 12 months.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comprehensive income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3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6980" w:type="dxa"/>
            <w:vAlign w:val="bottom"/>
          </w:tcPr>
          <w:p>
            <w:pPr>
              <w:spacing w:after="0"/>
              <w:rPr>
                <w:sz w:val="23"/>
                <w:szCs w:val="23"/>
                <w:color w:val="auto"/>
              </w:rPr>
            </w:pPr>
          </w:p>
        </w:tc>
        <w:tc>
          <w:tcPr>
            <w:tcW w:w="23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6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$20.5</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income taxes of $(1.1), $0.3, $(0.3) and $(0.1)</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Unrealized Loss on Derivatives</w:t>
            </w: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8"/>
                <w:szCs w:val="18"/>
                <w:color w:val="auto"/>
              </w:rPr>
              <w:t>Net of income taxes of $(0.2), $—, $(0.2) and $—</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Plans</w:t>
            </w:r>
          </w:p>
        </w:tc>
        <w:tc>
          <w:tcPr>
            <w:tcW w:w="1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302"/>
        </w:trPr>
        <w:tc>
          <w:tcPr>
            <w:tcW w:w="6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of income taxes of $0.3, $0.2, $0.8 and $0.7</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6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2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0.7</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ALLETE</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$20.3</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6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 AND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basic and diluted earnings per share, if any, arises from outstanding stock options and performance share awards granted under our Executive and Director Long-Term Incentive Compensation Plans. For the quarter and nine months ended September 30, 2011 and 2010, 0.4 million options to purchase shares of common stock were excluded from the computation of diluted earnings per share because the option exercise prices were greater than the average market prices; therefore, their effect would have been anti-dilutive.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35.6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34.4</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$0.57</w:t>
            </w:r>
          </w:p>
        </w:tc>
        <w:tc>
          <w:tcPr>
            <w:tcW w:w="1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$0.57</w:t>
            </w:r>
          </w:p>
        </w:tc>
        <w:tc>
          <w:tcPr>
            <w:tcW w:w="1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$74.7</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$62.0</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35.1</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34.1</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$2.13</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13.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2010</w:t>
            </w:r>
          </w:p>
        </w:tc>
        <w:tc>
          <w:tcPr>
            <w:tcW w:w="12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September 30,</w:t>
            </w:r>
          </w:p>
        </w:tc>
        <w:tc>
          <w:tcPr>
            <w:tcW w:w="1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6.8</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(8.7)</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50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7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$5.7</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20.5</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19.7</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8.1</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(26.0)</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9.1</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Transition Obligation</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2011, $6.6 million was contributed to our defined benefit pension plan ($1.5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2010). For the nine months ended September 30, 2011, $10.9 million was contributed to our other postretirement benefit plan ($12.4 million for the nine months ended September 30, 2010). We expect to contribute an additional $27 million to our defined benefit pension plan in 2011, which will reduce our anticipated 2012 contributions, and we expect to contribute an additional $1 million to our other postretirement benefit plan in 2011.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provides guidance for employers that sponsor postretirement health care plans that provide prescription drug benefits. We provide postretirement health benefits that include prescription drug benefits, which qualify us for the federal subsidy under the Act. For the nine months ended September 30, 2011, we received $0.2 million in prescription drug reimbursements.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AND CONTINGENCIES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Agreements. </w:t>
      </w:r>
      <w:r>
        <w:rPr>
          <w:rFonts w:ascii="Arial" w:cs="Arial" w:eastAsia="Arial" w:hAnsi="Arial"/>
          <w:sz w:val="18"/>
          <w:szCs w:val="18"/>
          <w:color w:val="auto"/>
        </w:rPr>
        <w:t>Our long-term PPAs have been evaluated under the accounting guidance for variable interest entities. We have determined that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we have no variable interest in the PPA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fixed capacity and energy payments.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September 30, 2011, Square Butte had total debt outstanding of $421.6 million. Annual debt service for Square Butte is expected to be approximately $39 million in each of the five years, 2011 through 2015, of which Minnesota Power’s obligation is 50 percent. Fuel expenses are recoverable through our fuel adjustment clause and include the cost of coal purchased from BNI Coal, our subsidiary, under a long-term contract.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conjunction with the purchase of the existing 250 kV DC transmission line from Square Butte in December 2009,</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entered into a power sales agreement with Minnkota Power. Under the power sales 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 power will be sold under this agreement until Minnkota Power has placed in service a new AC transmission line, which is anticipated to occur in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new AC transmission line will allow Minnkota Power to transmit its entitlement from Square Butte directly to its customers, which in turn will enable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to transmit new wind generation on the DC transmission line.</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Wind PPAs. </w:t>
      </w:r>
      <w:r>
        <w:rPr>
          <w:rFonts w:ascii="Arial" w:cs="Arial" w:eastAsia="Arial" w:hAnsi="Arial"/>
          <w:sz w:val="16"/>
          <w:szCs w:val="16"/>
          <w:color w:val="auto"/>
        </w:rPr>
        <w:t>In 2006 and 2007, Minnesota Power entered into two long-term wind PPAs with an affiliate of NextEra Energy, Inc. to purchase the output from</w:t>
      </w:r>
      <w:r>
        <w:rPr>
          <w:rFonts w:ascii="Arial" w:cs="Arial" w:eastAsia="Arial" w:hAnsi="Arial"/>
          <w:sz w:val="16"/>
          <w:szCs w:val="16"/>
          <w:i w:val="1"/>
          <w:iCs w:val="1"/>
          <w:color w:val="auto"/>
        </w:rPr>
        <w:t xml:space="preserve"> </w:t>
      </w:r>
      <w:r>
        <w:rPr>
          <w:rFonts w:ascii="Arial" w:cs="Arial" w:eastAsia="Arial" w:hAnsi="Arial"/>
          <w:sz w:val="16"/>
          <w:szCs w:val="16"/>
          <w:color w:val="auto"/>
        </w:rPr>
        <w:t>Oliver Wind I (50 MW) and Oliver Wind II (48 MW) – 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PPAs. </w:t>
      </w:r>
      <w:r>
        <w:rPr>
          <w:rFonts w:ascii="Arial" w:cs="Arial" w:eastAsia="Arial" w:hAnsi="Arial"/>
          <w:sz w:val="18"/>
          <w:szCs w:val="18"/>
          <w:color w:val="auto"/>
        </w:rPr>
        <w:t>Minnesota Power has a PPA with Manitoba Hydro that expires in April 2015. Under this agreement Minnesota Power is purchasing 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from May 2011 through April 2022. This energy-only transaction primarily consists of surplus hydro energy on Manitoba Hydro’s system that is delivered to Minnesota Power on a non-firm basis. The pricing is based on forward market prices. Under this agreement, Minnesota Power will be purchasing at least one million MWh of energy over the contract term. On Mar. 31, 2011, the MPUC approved this PPA with Manitoba Hydro.</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2009, we purchased an existing 250 kV DC transmission line from Square Butte. The 465-mile</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line runs from Center, North Dakota to Duluth, Minnesota. We use this line to transport increasing amounts of wind energy from North Dakota, while gradually phasing out coal-based electricity currently being delivered to our system over this transmission line from Square Butte’s coal-fired generating unit.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1 is a two phase, 82 MW wind project in North Dakota. All permitting has been received and the first phase was completed in 2010. Phase one included the construction of a 22-mile, 230 kV transmission line and the installation of sixteen 2.3-MW wind turbines. Phase two is expected to be completed in late 2011 and consists of the installation of fifteen 3.0-MW wind turbines. Bison 1 is expected to have a total capital cost of approximately $177 million, of which $158.8 million was spent through September 30, 2011. In 2009, the MPUC approved Minnesota Power’s petition seeking current cost recovery for investments and expenditures related to Bison 1 and in July 2010, the MPUC approved our petition establishing rates effective Aug. 1, 2010. On Mar. 31, 2011, Minnesota Power petitioned the MPUC to update the rates for additional investments and expenditures related to Bison 1 and a hearing is scheduled for November 3, 2011.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76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Dakota Wind Development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Total project costs for Bison 2 and Bison 3 are estimated to be approximately $160 million each and site preparation is currently underway for both projects. On Aug. 24, 2011, and Oct. 20, 2011, the MPUC approved Minnesota Power’s petition seeking current cost recovery for investments and expenditures related to Bison 2 and Bison 3, respectively. On Aug. 10, 2011, and Oct. 12, 2011, the NDPSC issued a Certificate of Site Compatibility for Bison 2 and Bison 3, respectively, which authorized site construction to commence. We anticipate filing petitions with the MPUC in the first half of 2012 to establish customer billing rates for the approved cost recovery.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and transportation agreements providing for the purchase and delivery of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our coal requirements. These coal and transportation agreements, including option terms, expire in various years between late 2011 and 2015. Our minimum annual payment obligation is $15.7 million in 2011, $15.8 million in 2012 and $16.3 million in 2013.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purchase the dragline at fair market value or surrender the dragline and pay a $3.0 million termination fee. We lease other properties and equipment under operating lease agreements with terms expiring through 2016. The aggregate amount of minimum lease payments for all operating leases is $8.1 million in 2011, $8.4 million in 2012, $8.5 million in 2013, $8.7 million in 2014, $8.4 million in 2015 and $44.7 million thereafter.</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on May 11, 2011. The billing factor allows us to charge our retail customers on a current basis for the costs of constructing certain transmission facilities plus a return on the capital invested. On Jun. 29, 2011, we filed an updated billing factor that includes additional transmission projects and expenses, which we expect to be approved in late 2011.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$19.7 million was spent through September 30, 2011. As future CapX2020 projects are identified, Minnesota Power may elect to participate on a project-by-project basis.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Construction of the project is expected to be completed in late 2011. On Jun. 10, 2011, the MPUC approved the route permit for the Minnesota portion of the Fargo to St. Cloud project. The North Dakota permitting process is underway. The entire 238-mile, 345 kV line from Fargo to Monticello is expected to be in service by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76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2010, the MPUC approved a route permit for the Bemidji to Grand Rapids, Minnesota line and 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On June 22,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Square Butte, located in North Dakota, burns lignite coal. All of Minnesota Power’s generating facilities are equipped with pollution control equipment such as scrubbers, bag 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At this time, these facilities are substantially compliant with applicable emission requirements.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w:t>
      </w:r>
      <w:r>
        <w:rPr>
          <w:rFonts w:ascii="Arial" w:cs="Arial" w:eastAsia="Arial" w:hAnsi="Arial"/>
          <w:sz w:val="17"/>
          <w:szCs w:val="17"/>
          <w:color w:val="auto"/>
        </w:rPr>
        <w:t>. In August 2008, Minnesota Power received a Notice of Violation (NOV) from the EPA asserting violations of the New Source Review</w:t>
      </w:r>
      <w:r>
        <w:rPr>
          <w:rFonts w:ascii="Arial" w:cs="Arial" w:eastAsia="Arial" w:hAnsi="Arial"/>
          <w:sz w:val="17"/>
          <w:szCs w:val="17"/>
          <w:i w:val="1"/>
          <w:iCs w:val="1"/>
          <w:color w:val="auto"/>
        </w:rPr>
        <w:t xml:space="preserve"> </w:t>
      </w:r>
      <w:r>
        <w:rPr>
          <w:rFonts w:ascii="Arial" w:cs="Arial" w:eastAsia="Arial" w:hAnsi="Arial"/>
          <w:sz w:val="17"/>
          <w:szCs w:val="17"/>
          <w:color w:val="auto"/>
        </w:rPr>
        <w:t>(NSR) 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in both NOVs were in full compliance with the Clean Air Act, NSR requirements and applicable permits. We are engaged in discussions with the EPA regarding resolution of these matters, but we are unable to predict the outcome of these discussions.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Since 2006, Minnesota Power has significantly reduced emissions at Laskin and Boswell and continues to reduce emissions at Boswell.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76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151515"/>
        </w:rPr>
        <w:t>Cross-State Air Pollution Rule (CSAPR)</w:t>
      </w:r>
      <w:r>
        <w:rPr>
          <w:rFonts w:ascii="Arial" w:cs="Arial" w:eastAsia="Arial" w:hAnsi="Arial"/>
          <w:sz w:val="16"/>
          <w:szCs w:val="16"/>
          <w:color w:val="000000"/>
        </w:rPr>
        <w:t>. On July 6, 2011, the EPA finalized the CSAPR, which went into effect on October 7, 2011. The CSAPR requires 27</w:t>
      </w:r>
      <w:r>
        <w:rPr>
          <w:rFonts w:ascii="Arial" w:cs="Arial" w:eastAsia="Arial" w:hAnsi="Arial"/>
          <w:sz w:val="16"/>
          <w:szCs w:val="16"/>
          <w:i w:val="1"/>
          <w:iCs w:val="1"/>
          <w:color w:val="151515"/>
        </w:rPr>
        <w:t xml:space="preserve"> </w:t>
      </w:r>
      <w:r>
        <w:rPr>
          <w:rFonts w:ascii="Arial" w:cs="Arial" w:eastAsia="Arial" w:hAnsi="Arial"/>
          <w:sz w:val="16"/>
          <w:szCs w:val="16"/>
          <w:color w:val="000000"/>
        </w:rPr>
        <w:t>states to significantly improve air quality by reducing power plant emissions that contribute to ozone and/or fine particle pollution in other states. These regulations do not directly require the installation of controls. Instead, they require facilities to have enough emission allowances to cover their emissions on an annual basis. These allowances are given to facilities annually by EPA and can be bought and sold. This final rule, referred to as the Transport Rule during the proposal stage, replaces the EPA’s 2005 Clean Air Interstate Rule (CAIR). Minnesota participation in the CAIR was stayed by EPA administrative action while the EPA completed review of air quality modeling issues in conjunction with development of a final replacement rule. In their final determination, the EPA listed Minnesota as a CSAPR-affected state based on new, 24-hour fine particulate NAAQS analysis. The CSAPR-related emission restrictions become effective for Minnesota utilities in 2012. Although the CSAPR went into effect on October 7, 2011, on October 6, 2011, the EPA proposed changes to state CSAPR allowance allocations. These proposed changes were published on October 14, 2011, and do not affect the State of Minnesota. We are unable to predict whether there will be any further changes to allocations that will affect the State of Minnesota and/or Minnesota Power.</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Our analysis, based on our expected generation rates, indicates these recent emission reductions satisfy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2012. We will continue to evaluate our compliance strategy for CSAPR and if any capital investments or allowance purchases are required, we would likely seek recovery of those costs. We are unable to predict any additional CSAPR compliance costs we might incur at this time.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 A decision by the EPA is pending on whether to approve the Minnesota SIP. If approved, Minnesota Power will have up to five years to bring Taconite Harbor Unit 3 into compliance with the regional haze rule requirements. It is uncertain what controls will ultimately be required at Taconite Harbor Unit 3 in connection with the regional haze rule.</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Electric Generating Unit (EGU) Maximum Achievable Control Technology (MACT) Rule</w:t>
      </w:r>
      <w:r>
        <w:rPr>
          <w:rFonts w:ascii="Arial" w:cs="Arial" w:eastAsia="Arial" w:hAnsi="Arial"/>
          <w:sz w:val="17"/>
          <w:szCs w:val="17"/>
          <w:color w:val="auto"/>
        </w:rPr>
        <w:t>. Under Section 112 of the Clean Air Act, the EPA is required to set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 standards for hazardous air pollutants for certain source categories. The EPA released their proposed EGU MACT rule on March 16, 2011, addressing such emissions from coal-fired utility units greater than 25 MW. The final rule is expected to be issued in December 2011. Costs for complying with potential future mercury and other hazardous air pollutant regulations under the Clean Air Act cannot be estimated at this time.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EPA National Emission Standards for Hazardous Air Pollutants for Major Sources: Industrial, Commercial and Institutional Boilers and Process Heaters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2011, the final rule was published in the Federal Register. The rule was stayed by the EPA on May 16, 2011, to allow the EPA time to consider additional comments received. The EPA currently plans to re-propose the rule, with a final rule expected in April 2012. Major sources have three years to achieve compliance with the final rule. This rule may result in additional control measures being required at Rapids Energy Center and Hibbard. Costs for complying with the proposed rule cannot be estimated at this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76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Minnesota Mercury Emission Reduction Act</w:t>
      </w:r>
      <w:r>
        <w:rPr>
          <w:rFonts w:ascii="Arial" w:cs="Arial" w:eastAsia="Arial" w:hAnsi="Arial"/>
          <w:sz w:val="16"/>
          <w:szCs w:val="16"/>
          <w:color w:val="auto"/>
        </w:rPr>
        <w:t>. Under Minnesota law, a mercury emissions reduction plan for Boswell Unit 4 is required to be submitted by July</w:t>
      </w:r>
      <w:r>
        <w:rPr>
          <w:rFonts w:ascii="Arial" w:cs="Arial" w:eastAsia="Arial" w:hAnsi="Arial"/>
          <w:sz w:val="16"/>
          <w:szCs w:val="16"/>
          <w:i w:val="1"/>
          <w:iCs w:val="1"/>
          <w:color w:val="auto"/>
        </w:rPr>
        <w:t xml:space="preserve"> </w:t>
      </w:r>
      <w:r>
        <w:rPr>
          <w:rFonts w:ascii="Arial" w:cs="Arial" w:eastAsia="Arial" w:hAnsi="Arial"/>
          <w:sz w:val="16"/>
          <w:szCs w:val="16"/>
          <w:color w:val="auto"/>
        </w:rPr>
        <w:t>1, 2015, with implementation no later than December 31, 2018. The statute also calls for an evaluation of a mercury control alternative which provides for environmental and public health benefits without imposing excessive costs on the utility’s customers. Costs for the Boswell Unit 4 emission reduction plan cannot be estimated at this time. Until Minnesota Power files its mercury emission reduction plan for Boswell 4, it must file an annual report updating the MPUC and other stakeholders on the status of emission reduction planning for Boswell 4. The first such update was filed with the MPUC on June 30, 2011.</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they will reduce emissions to attain the NAAQS. These state plans often include more stringent air emission limitations on sources of air pollutants. Four NAAQS have either recently been revised or are currently proposed for revision, as described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Ozone NAAQS. </w:t>
      </w:r>
      <w:r>
        <w:rPr>
          <w:rFonts w:ascii="Arial" w:cs="Arial" w:eastAsia="Arial" w:hAnsi="Arial"/>
          <w:sz w:val="18"/>
          <w:szCs w:val="18"/>
          <w:color w:val="auto"/>
        </w:rPr>
        <w:t>The EPA has proposed to more stringently control emissions that result in ground level ozone. In January 2010, the EPA proposed to revise</w:t>
      </w:r>
      <w:r>
        <w:rPr>
          <w:rFonts w:ascii="Arial" w:cs="Arial" w:eastAsia="Arial" w:hAnsi="Arial"/>
          <w:sz w:val="18"/>
          <w:szCs w:val="18"/>
          <w:i w:val="1"/>
          <w:iCs w:val="1"/>
          <w:color w:val="auto"/>
        </w:rPr>
        <w:t xml:space="preserve"> </w:t>
      </w:r>
      <w:r>
        <w:rPr>
          <w:rFonts w:ascii="Arial" w:cs="Arial" w:eastAsia="Arial" w:hAnsi="Arial"/>
          <w:sz w:val="18"/>
          <w:szCs w:val="18"/>
          <w:color w:val="auto"/>
        </w:rPr>
        <w:t>the 2008 eight-hour ozone standard and to adopt a secondary standard for the protection of sensitive vegetation from ozone-related damage. The EPA was scheduled to decide upon the 2008 eight-hour ozone standard at the end of July 2011, but has announced that they are deferring revision until planned review in 2013.</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Particulate Matter NAAQS. </w:t>
      </w:r>
      <w:r>
        <w:rPr>
          <w:rFonts w:ascii="Arial" w:cs="Arial" w:eastAsia="Arial" w:hAnsi="Arial"/>
          <w:sz w:val="16"/>
          <w:szCs w:val="16"/>
          <w:color w:val="auto"/>
        </w:rPr>
        <w:t>The EPA finalized the NAAQS Particulate Matter standards in September 2006. The EPA established a more stringent 24-hour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fine particulate (PM</w:t>
      </w:r>
      <w:r>
        <w:rPr>
          <w:rFonts w:ascii="Arial" w:cs="Arial" w:eastAsia="Arial" w:hAnsi="Arial"/>
          <w:sz w:val="11"/>
          <w:szCs w:val="11"/>
          <w:color w:val="auto"/>
        </w:rPr>
        <w:t>2.5</w:t>
      </w:r>
      <w:r>
        <w:rPr>
          <w:rFonts w:ascii="Arial" w:cs="Arial" w:eastAsia="Arial" w:hAnsi="Arial"/>
          <w:sz w:val="16"/>
          <w:szCs w:val="16"/>
          <w:color w:val="auto"/>
        </w:rPr>
        <w:t>) standard and kept the annual average fine particulate matter standard and the 24-hour coarse particulate matter standard unchanged. The District of Columbia Circuit Court of Appeals has remanded the PM</w:t>
      </w:r>
      <w:r>
        <w:rPr>
          <w:rFonts w:ascii="Arial" w:cs="Arial" w:eastAsia="Arial" w:hAnsi="Arial"/>
          <w:sz w:val="11"/>
          <w:szCs w:val="11"/>
          <w:color w:val="auto"/>
        </w:rPr>
        <w:t>2.5</w:t>
      </w:r>
      <w:r>
        <w:rPr>
          <w:rFonts w:ascii="Arial" w:cs="Arial" w:eastAsia="Arial" w:hAnsi="Arial"/>
          <w:sz w:val="16"/>
          <w:szCs w:val="16"/>
          <w:color w:val="auto"/>
        </w:rPr>
        <w:t xml:space="preserve"> standard to the EPA, requiring consideration of lower annual average standard values. The EPA plans to finalize the new PM</w:t>
      </w:r>
      <w:r>
        <w:rPr>
          <w:rFonts w:ascii="Arial" w:cs="Arial" w:eastAsia="Arial" w:hAnsi="Arial"/>
          <w:sz w:val="11"/>
          <w:szCs w:val="11"/>
          <w:color w:val="auto"/>
        </w:rPr>
        <w:t>2.5</w:t>
      </w:r>
      <w:r>
        <w:rPr>
          <w:rFonts w:ascii="Arial" w:cs="Arial" w:eastAsia="Arial" w:hAnsi="Arial"/>
          <w:sz w:val="16"/>
          <w:szCs w:val="16"/>
          <w:color w:val="auto"/>
        </w:rPr>
        <w:t xml:space="preserve"> standards in 2011 and state attainment status determination will likely not occur prior to 2013. As early as late 2014, affected sources would have to take additional control measures if modeling demonstrates non-compliance at their property boundary. The EPA has indicated that ambient air quality monitoring for 2008 through 2010 will be used as a basis for states to characterize their attainment status.</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During 2010, the EPA finalized a new one-hour NAAQS for SO</w:t>
      </w:r>
      <w:r>
        <w:rPr>
          <w:rFonts w:ascii="Arial" w:cs="Arial" w:eastAsia="Arial" w:hAnsi="Arial"/>
          <w:sz w:val="11"/>
          <w:szCs w:val="11"/>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11"/>
          <w:szCs w:val="11"/>
          <w:color w:val="auto"/>
        </w:rPr>
        <w:t>2</w:t>
      </w:r>
      <w:r>
        <w:rPr>
          <w:rFonts w:ascii="Arial" w:cs="Arial" w:eastAsia="Arial" w:hAnsi="Arial"/>
          <w:sz w:val="17"/>
          <w:szCs w:val="17"/>
          <w:color w:val="auto"/>
        </w:rPr>
        <w:t>. Monitoring data indicates that Minnesota will likely be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these new standards; however, the one-hour SO</w:t>
      </w:r>
      <w:r>
        <w:rPr>
          <w:rFonts w:ascii="Arial" w:cs="Arial" w:eastAsia="Arial" w:hAnsi="Arial"/>
          <w:sz w:val="11"/>
          <w:szCs w:val="11"/>
          <w:color w:val="auto"/>
        </w:rPr>
        <w:t>2</w:t>
      </w:r>
      <w:r>
        <w:rPr>
          <w:rFonts w:ascii="Arial" w:cs="Arial" w:eastAsia="Arial" w:hAnsi="Arial"/>
          <w:sz w:val="17"/>
          <w:szCs w:val="17"/>
          <w:color w:val="auto"/>
        </w:rPr>
        <w:t xml:space="preserve"> NAAQS also requires the EPA to evaluate modeling data to determine attainment. The MPCA intends to complete this initial modeling effort by February 2012, using facility data from sources that emit more than 100 tons per year of SO</w:t>
      </w:r>
      <w:r>
        <w:rPr>
          <w:rFonts w:ascii="Arial" w:cs="Arial" w:eastAsia="Arial" w:hAnsi="Arial"/>
          <w:sz w:val="11"/>
          <w:szCs w:val="11"/>
          <w:color w:val="auto"/>
        </w:rPr>
        <w:t>2</w:t>
      </w:r>
      <w:r>
        <w:rPr>
          <w:rFonts w:ascii="Arial" w:cs="Arial" w:eastAsia="Arial" w:hAnsi="Arial"/>
          <w:sz w:val="17"/>
          <w:szCs w:val="17"/>
          <w:color w:val="auto"/>
        </w:rPr>
        <w:t>. Minnesota Power provided such data for all of our steam generating facilities. It is unclear what the outcome of this evaluation will be.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NAAQS modeling efforts could also result in more stringent emission limits on our steam generating facilities, and possibly additional control measures on some of our units. The MPCA informed affected sources that compliance strategies needed based on these modeling results must be agreed to by February 2013. One-hour SO</w:t>
      </w:r>
      <w:r>
        <w:rPr>
          <w:rFonts w:ascii="Arial" w:cs="Arial" w:eastAsia="Arial" w:hAnsi="Arial"/>
          <w:sz w:val="12"/>
          <w:szCs w:val="12"/>
          <w:color w:val="auto"/>
        </w:rPr>
        <w:t>2</w:t>
      </w:r>
      <w:r>
        <w:rPr>
          <w:rFonts w:ascii="Arial" w:cs="Arial" w:eastAsia="Arial" w:hAnsi="Arial"/>
          <w:sz w:val="18"/>
          <w:szCs w:val="18"/>
          <w:color w:val="auto"/>
        </w:rPr>
        <w:t xml:space="preserve"> NAAQS attainment is required by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unable to predict the nature or timing of any additional NAAQS regulation or compliance costs we might incur at this time.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Minnesota Power is addressing climate change by taking the following steps that also ensure reliable and environmentally compliant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resources to meet our customers’ requirements:</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Support research of technologies to reduce carbon emissions from generation facilities and support carbon sequestration efforts; and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overall carbon emission reductions.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76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PSD/Tailoring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existing facilities, the rule does not require amending our existing Title V Operating Permits to include GHG requirements. Implementation of the requirement to add GHG provisions to permits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 GHG increase of 75,000 tons or more per year of total GHG on a CO</w:t>
      </w:r>
      <w:r>
        <w:rPr>
          <w:rFonts w:ascii="Arial" w:cs="Arial" w:eastAsia="Arial" w:hAnsi="Arial"/>
          <w:sz w:val="12"/>
          <w:szCs w:val="12"/>
          <w:color w:val="auto"/>
        </w:rPr>
        <w:t>2</w:t>
      </w:r>
      <w:r>
        <w:rPr>
          <w:rFonts w:ascii="Arial" w:cs="Arial" w:eastAsia="Arial" w:hAnsi="Arial"/>
          <w:sz w:val="18"/>
          <w:szCs w:val="18"/>
          <w:color w:val="auto"/>
        </w:rPr>
        <w:t xml:space="preserve"> equivalent basis.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these control technologies could be determined to be BACT on a project-by-project basis. In the near term, one option appears to be energy efficiency maximization.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challenges to the EPA’s regulation of GHG emissions, including the Tailoring Rule, have been filed by others and are awaiting judicial determination. Comments to the permitting guidance were also submitted by Minnesota Power and others and may be addressed by the EPA in the form of revised guidance documents.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to be obtained from the EPA (or, when delegated, from individual state pollution control agencies)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 We are in substantial compliance with these permits.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Clean Water Act – Aquatic Organisms. </w:t>
      </w:r>
      <w:r>
        <w:rPr>
          <w:rFonts w:ascii="Arial" w:cs="Arial" w:eastAsia="Arial" w:hAnsi="Arial"/>
          <w:sz w:val="18"/>
          <w:szCs w:val="18"/>
          <w:color w:val="auto"/>
        </w:rPr>
        <w:t>On April 20, 2011, the EPA published in the Federal Register proposed regulations under section 316(b) of the Clean</w:t>
      </w:r>
      <w:r>
        <w:rPr>
          <w:rFonts w:ascii="Arial" w:cs="Arial" w:eastAsia="Arial" w:hAnsi="Arial"/>
          <w:sz w:val="18"/>
          <w:szCs w:val="18"/>
          <w:i w:val="1"/>
          <w:iCs w:val="1"/>
          <w:color w:val="auto"/>
        </w:rPr>
        <w:t xml:space="preserve"> </w:t>
      </w:r>
      <w:r>
        <w:rPr>
          <w:rFonts w:ascii="Arial" w:cs="Arial" w:eastAsia="Arial" w:hAnsi="Arial"/>
          <w:sz w:val="18"/>
          <w:szCs w:val="18"/>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The EPA is obligated to finalize the rule by July 27, 2012. Minnesota Power is in the process of evaluating the potential impacts the proposed rule may have on its facilities. We are unable to predict the compliance costs we might incur; however, the costs could have a material impact on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76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14.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Coal Ash Management Facilities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generates coal ash at all five of its steam electric generating facilities. Two facilities store ash in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costs we might incur; however, the costs could have a material impact on our financial results.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September 30, 2011, we have a $0.5 million liability for this site and a corresponding regulatory asset as we expect recovery of remediation costs to be allowed by the PSCW.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September 30, 2011, BNI Coal had surety bonds outstanding of $29.7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which meet the requirements for BNI Coal’s total reclamation liability. BNI Coal does not believe it is likely that any of these outstanding bonds will be drawn upon.</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September 30, 2011, ALLETE Properties, through its subsidiaries, had surety bonds outstanding of $10.2 million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performance and maintenance obligations to governmental entities to construct improvements in the Company’s various projects. The cost of the remaining work to be completed on these improvements is estimated to be approximately $8.0 million and ALLETE Properties does not believe it is likely that any of these outstanding bonds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September 30, 2011, we owned 73 percent of the assessable land in the Town Center District (69 percent at December 31, 2010) and 93 percent of the assessable land in the Palm Coast Park District (93 percent at December 31, 2010). At these ownership levels, our annual assessments are approximately $1.5 million for Town Center and $2.2 million for Palm Coast Park. As we sell property, the obligation to pay special assessments will pass to the new landowners. Under current accounting rules, these bonds are not reflected as debt on our consolidated balance sheet.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expense related to any damages that may result from the lawsuit has not been recorded as of September 30, 2011, because a potential loss is not currently probable or reasonably estimable; however, the Company believes it has adequate insurance coverage for any potential loss.</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affect on earnings and cash flows in the year of resolution, none of these matters are expected to materially change our present liquidity position or have a material adverse affect on our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6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2010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22 of our 2010 Form 10-K. The risks and uncertainties described in this Form 10-Q and our 2010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144,000 retail customers and wholesale electric service to 16 municipalities. Minnesota Power also provides regulated utility electric service to one private utility in Wisconsin. SWL&amp;P is also a private utility in Wisconsin and provides regulated electric, natural gas and water service in northwestern Wisconsin to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5,500 acres of land available-for-sale in Minnesota and earnings on cash and investments.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2011,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net income discussion summarizes a comparison of the nine months ended September 30, 2011, to the nine months ended September 30, 2010.</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attributable to ALLETE for the nine months ended September 30, 2011, was $74.7 million, or $2.12 per diluted share, compared to $62.0 million, or $1.81 per diluted share, for the same period of 2010. The first nine months of 2011 included the reversal of a $6.2 million, or $0.18 per share, deferred tax liability related to a revenue receivable Minnesota Power agreed to forgo as part of a stipulation and settlement agreement in its 2010 rate case and the recognition of a $2.9 million, or $0.08 per share, income tax benefit related to the MPUC approval of our request to defer the retail portion of the tax charge taken in 2010 resulting from PPACA (see Note 6. Regulatory Matters). Net income for the first nine months of 2010 was reduced by a $4.0 million, or $0.12 per share, income tax charge resulting from PPACA which eliminated the deduction for expenses reimbursed under Medicare Part D. Net income for 2011 included increases in retail and municipal MWh sales, current cost recovery rider revenue and renewable tax credits, which were partially offset by higher expenses.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was $80.5 million for the nine months ended September 30, 2011, compared to $65.2 million for the same period of 2010.</w:t>
      </w:r>
      <w:r>
        <w:rPr>
          <w:rFonts w:ascii="Arial" w:cs="Arial" w:eastAsia="Arial" w:hAnsi="Arial"/>
          <w:sz w:val="18"/>
          <w:szCs w:val="18"/>
          <w:b w:val="1"/>
          <w:bCs w:val="1"/>
          <w:color w:val="auto"/>
        </w:rPr>
        <w:t xml:space="preserve"> </w:t>
      </w:r>
      <w:r>
        <w:rPr>
          <w:rFonts w:ascii="Arial" w:cs="Arial" w:eastAsia="Arial" w:hAnsi="Arial"/>
          <w:sz w:val="18"/>
          <w:szCs w:val="18"/>
          <w:color w:val="auto"/>
        </w:rPr>
        <w:t>2011 included the reversal of 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a portion of the tax charge taken in 2010 resulting from PPACA. Net income for the first nine months of 2010 was reduced by a $3.6 million (after-tax) charge resulting from PPACA. Net income for 2011 included increases in retail and municipal MWh sales, current cost recovery rider revenue and renewable tax credits, which were partially offset by higher costs under our Square Butte PPA, increased operating and maintenance expense and increased depreciation, property tax and interest expenses.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a net loss of $5.8 million for the nine months ending September 30, 2011, compared to a net loss of $3.2 million in 2010.</w:t>
      </w:r>
      <w:r>
        <w:rPr>
          <w:rFonts w:ascii="Arial" w:cs="Arial" w:eastAsia="Arial" w:hAnsi="Arial"/>
          <w:sz w:val="17"/>
          <w:szCs w:val="17"/>
          <w:b w:val="1"/>
          <w:bCs w:val="1"/>
          <w:color w:val="auto"/>
        </w:rPr>
        <w:t xml:space="preserve"> </w:t>
      </w:r>
      <w:r>
        <w:rPr>
          <w:rFonts w:ascii="Arial" w:cs="Arial" w:eastAsia="Arial" w:hAnsi="Arial"/>
          <w:sz w:val="17"/>
          <w:szCs w:val="17"/>
          <w:color w:val="auto"/>
        </w:rPr>
        <w:t>The net loss in 2010 included an income tax benefit of $1.1 million (including interest) resulting from the completion of a state income tax audit. In addition, the net loss in 2011 was due to increased operating and maintenance, interest, state income tax and investment-related expenses.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SEPTEMBER 30, 2011 AND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$2.6 million, or 1 percent, from 2010 primarily due to increased sales to our retail and municipal customers,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recoveries, implementation of final rates and increased current cost recovery rider revenue. These increases were partially offset by lower sales to Other Power Suppliers.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and kilowatt-hour sales to retail and municipal customers increased $4.1 million and 2.0 percent, respectively, from 2010 primarily due to increased sales to industrial customers. Increased revenue from those sales was offset by a $6.2 million and a 14.6 percent decrease in revenue and kilowatt-hour sales, respectively, to Other Power Suppliers. Sales to Other Power Suppliers are sold at market-based prices into the MISO market on a daily basis or through bilateral agreements of various durations.</w:t>
      </w: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369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374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1,851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1,799</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257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2,742</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537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629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3,279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3,317</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2011 (25 percent in 2010). Revenue from electric sales to paper and pulp mills accounted for 9 percent of consolidated operating revenue in 2011 (9 percent in 2010). Revenue from electric sales to pipelines and other industrials accounted for 7 percent of consolidated operating revenue in 2011 (6 percent in 2010).</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$1.6 million, or 9 percent, primarily due to an increase in kilowatt-hour sales and higher fuel and purchased power costs attributable to our retail and municipal customers. (See Operating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Current cost recovery rider revenue increased by $3.2 million due to higher capital expenditures primarily related to our Bison 1 and CapX2020 projects.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$1.5 million, or 1 percent, from 2010.</w:t>
      </w:r>
    </w:p>
    <w:p>
      <w:pPr>
        <w:spacing w:after="0" w:line="225"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$4.2 million, or 5 percent, from 2010. A decrease in purchased kilowatt-hours was partially offset by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company generation and higher coal prices. Fuel and purchased power expense related to our retail and municipal customers, which is recovered through the fuel adjustment clause (see Operating Revenue), increased due to higher kilowatt-hour sales to these customers.</w:t>
      </w:r>
    </w:p>
    <w:p>
      <w:pPr>
        <w:spacing w:after="0" w:line="16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was similar to 2010. Increased employee benefit, property tax and MISO expenses were substantially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lower plant operating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QUARTERS ENDED SEPTEMBER 30, 2011 AND 2010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$2.5 million, or 13 percent, from 2010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$1.2 million, or 15 percent, from 2010 primarily due to higher long-term debt balances.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$0.7 million, or 6 percent, from 2010 primarily due to higher pretax income partially offset by additional renewable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$0.2 million, or 1 percent, from 2010 primarily due to a $0.3 million increase in revenue at BNI Coal, which operates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cost-plus contract and recorded higher sales revenue as a result of higher expenses in 2011. (See Operating Expense.)</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$0.7 million, or 3 percent, from 2010 reflecting higher corporate development expenses of $1.6 million. 2011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higher expenses at BNI Coal of $0.2 million primarily due to higher fuel costs and equipment repairs; these costs are recovered through the cost-plus contract. (See Operating Revenue.) These increases were partially offset by decreased expenses at ALLETE Properties of $1.0 million primarily due to a reduction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quarter ended September 30, 2011, the effective tax rate was 38.2 percent (36.5 percent for the quarter ended September 30, 2010). The effective tax rate for both years deviated from the statutory rate (approximately 41 percent) due to deductions for AFUDC – Equity, investment tax credits, renewable tax credits and depletion. We expect the effective tax rate for the full year 2011 to be approximately 25 percent. (See Note 10.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2011 AND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$17.2 million, or 3 percent, from 2010 primarily due to increased sales to our retail and municipal customers,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recoveries, implementation of final rates and increased current cost recovery rider revenue. These increases were partially offset by lower sales to Other Power Suppliers.</w:t>
      </w:r>
    </w:p>
    <w:p>
      <w:pPr>
        <w:spacing w:after="0" w:line="18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Revenue and kilowatt-hour sales to retail and municipal customers increased $22.1 million and 7.1 percent, respectively, from 2010 primarily due to a 10.4 percent increase in sales to our industrial customers and the implementation of final rates. Increased revenue from those sales was offset by a $25.8 million and a 22.0 percent decrease in revenue and kilowatt-hour sales, respectively, to Other Power Suppliers. Sales to Other Power Suppliers are sold at market-based prices into the MISO market on a daily basis or through bilateral agreements of various durations.</w:t>
      </w: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1,074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1,074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5,470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757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746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8,166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7,623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37"/>
        </w:trPr>
        <w:tc>
          <w:tcPr>
            <w:tcW w:w="49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1,690</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2,168</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9,856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9,791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769"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69"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NINE MONTHS ENDED SEPTEMBER 30, 2011 AND 2010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2011 (24 percent in 2010). Revenue from electric sales to paper and pulp mills accounted for 9 percent of consolidated operating revenue in 2011 (9 percent in 2010). Revenue from electric sales to pipelines and other industrials accounted for 7 percent of consolidated operating revenue in 2011 (6 percent in 2010).</w:t>
      </w:r>
    </w:p>
    <w:p>
      <w:pPr>
        <w:spacing w:after="0" w:line="14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Fuel adjustment clause recoveries increased $12.0 million, or 22 percent, from 2010 due to an increase in kilowatt-hour sales and higher fuel and purchased power costs attributable to our retail and municipal customers.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Current cost recovery rider revenue increased by $9.3 million due to higher capital expenditures primarily related to our Bison 1 and CapX2020 projects.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$13.1 million, or 3 percent, from 2010.</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$3.3 million, or 1 percent, from 2010. A reduction in purchased kilowatt-hours and lower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prices was partially offset by increased company generation and increased costs under our Square Butte PPA. Fuel and purchased power expense related to our retail and municipal customers is recovered through the fuel adjustment clause (see Operating Revenue) and increased due to higher kilowatt-hour sales to these customers.</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$9.5 million, or 5 percent, from 2010 primarily reflecting increased salary, benefit and property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$6.9 million, or 12 percent, from 2010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$3.6 million, or 15 percent, from 2010 primarily due to higher long-term debt balances.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$16.3 million, or 37 percent, from 2010 primarily due to the reversal of a $6.2 million deferred tax liability related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receivable Minnesota Power agreed to forgo as part of a stipulation and settlement agreement in its 2010 rate case and the recognition of a non-recurring $2.9 million income tax benefit related to the MPUC approval of our request to defer the retail portion of the tax charge taken in 2010 resulting from PPACA. Also contributing to the decrease were additional renewable tax credits in 2011, as well as a non-recurring income tax charge of $3.6 million resulting from PPACA in the first quarter of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$2.9 million, or 5 percent, from 2010 primarily due to a $3.2 million increase in revenue at BNI Coal, which operates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cost-plus contract and recorded higher sales revenue as a result of higher expenses in 2011. (See Operating Expense.)</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ALLETE Properties</w:t>
            </w:r>
          </w:p>
        </w:tc>
        <w:tc>
          <w:tcPr>
            <w:tcW w:w="2740" w:type="dxa"/>
            <w:vAlign w:val="bottom"/>
          </w:tcPr>
          <w:p>
            <w:pPr>
              <w:spacing w:after="0"/>
              <w:rPr>
                <w:sz w:val="20"/>
                <w:szCs w:val="20"/>
                <w:color w:val="auto"/>
              </w:rPr>
            </w:pPr>
          </w:p>
        </w:tc>
        <w:tc>
          <w:tcPr>
            <w:tcW w:w="132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2011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780" w:type="dxa"/>
            <w:vAlign w:val="bottom"/>
          </w:tcPr>
          <w:p>
            <w:pPr>
              <w:spacing w:after="0"/>
              <w:rPr>
                <w:sz w:val="20"/>
                <w:szCs w:val="20"/>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Revenue and Sales Activity</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Quantity</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Quantity</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Dollars in Millions</w:t>
            </w:r>
          </w:p>
        </w:tc>
        <w:tc>
          <w:tcPr>
            <w:tcW w:w="2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Land Sales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27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5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ALLETE Properties Revenue</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5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w:t>
      </w:r>
    </w:p>
    <w:p>
      <w:pPr>
        <w:spacing w:after="0" w:line="9" w:lineRule="exact"/>
        <w:rPr>
          <w:rFonts w:ascii="Arial" w:cs="Arial" w:eastAsia="Arial" w:hAnsi="Arial"/>
          <w:sz w:val="18"/>
          <w:szCs w:val="18"/>
          <w:i w:val="1"/>
          <w:iCs w:val="1"/>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For the nine months ended September 30, 2011, Other Revenue includes a forfeited deposit due to the transfer of properties back to ALLETE Properties by deed-in-lieu of foreclosure, in satisfaction of amounts previously owed under long-term financing receivables. For the nine months ended September 30, 2010, Other Revenue primarily includes a $0.7 million pre-tax gain resulting from the transfer of property back to ALLETE Properties by deed-in-lieu of foreclosure, in satisfaction of amounts previously owed under long-term financing receivables from an entity which filed for bankruptcy in June 2009.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76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COMPARISON OF THE NINE MONTHS ENDED SEPTEMBER 30, 2011 AND 2010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$4.3 million, or 8 percent, from 2010 reflecting higher expenses at BNI Coal of $2.8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these costs were recovered through the cost-plus contract. (See Operating Revenue.) The remaining increase in 2011 was attributable to higher corporate development, interest and investment-related expenses. These increases were partially offset by decreased expenses at ALLETE Properties of $2.4 million primarily due to reduction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For the nine months ended September 30, 2011, the effective tax rate was 24.9 percent (39.6 percent for the nine months ended September 30, 2010). The effective tax rate for the nine months ended September 30, 2011, was lowered by 2.9 percent due to the income tax benefit related to the MPUC approval of our request to defer the retail portion of the tax charge taken in 2010 resulting from PPACA and by 6.2 percent due to the reversal of the deferred tax liability related to a revenue receivable that Minnesota Power agreed to forgo as part of a stipulation and settlement agreement in its 2010 rate case. The effective tax rate deviated from the statutory rate (approximately 41 percent) due to the non-recurring items discussed above, deductions for AFUDC – Equity, investment tax credits, renewable tax credits and depletion. We expect the effective tax rate for the full year 2011 to be approximately 25 percent. (See Note 10. Income Tax Expense.)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2010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2010 Form 10-K.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a key long-term objective of achieving a minimum average earnings per share growth of 5 percent per year and maintaining a competitive dividend payout. To accomplish this, we intend to take the actions necessary to earn our allowed rate of return in our regulated businesses, while we pursue growth initiatives in renewable energy, transmission and other energy-centric businesses.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over the long-term, less carbon intensive and more sustainable renewable energy sources will play an increasingly important role in our nation’s energy mix. Minnesota Power intends to develop additional renewable resources which will be used to meet regulated renewable supply requirements. In addition, in July 2011, we established ALLETE Clean Energy, Inc., a wholly-owned subsidiary of ALLETE. ALLETE Clean Energy operates independently of Minnesota Power to acquire or develop new projects aimed at delivering energy with minimal environmental impact, including wind, hydro, biomass, solar and natural gas. ALLETE Clean Energy intends to market to electric utilities, cooperatives, municipalities, independent power marketers and large end-users across North America through long-term PPAs, and will be subject to applicable state and federal regulatory approvals.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wind development, we will capitalize on our existing presence in North Dakota through BNI Coal, our recently acquired DC transmission line and our Bison 1, 2 and 3 wind projects. We have a long-term business presence and established landowner relationships in North Dakota. See Renewable Energy below for more discussion on the DC line acquisition and our Bison 1, 2 and 3 wind projects.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76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00" w:lineRule="exact"/>
        <w:rPr>
          <w:sz w:val="20"/>
          <w:szCs w:val="20"/>
          <w:color w:val="auto"/>
        </w:rPr>
      </w:pPr>
    </w:p>
    <w:p>
      <w:pPr>
        <w:spacing w:after="0" w:line="2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plan to make investments in Upper Midwest transmission opportunities that strengthen or enhance the regional transmission grid or take advantage of our geographical location between sources of renewable energy and end users. Minnesota Power is participating with other regional utilities in making regional transmission investments as a member of the CapX2020 initiative. In addition, we plan to make additional investments to fund our pro rata share of ATC’s future capital expansion program. Both the CapX2020 initiative and our investment in ATC are discussed in more detail under Transmission below.</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exploring investing in other energy-centric businesses that will complement our non-regulated renewable energy business or leverage demand trends related to transmission, environmental control or energy efficiency.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ALLETE intends to sell its Florida land assets at reasonable prices, over time or in bulk transactions, and reinvest the proceeds in its growth initiatives.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does not intend to acquire additional real estate.</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maintain its competitively priced production of energy, while complying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permit conditions and renewable requirements, and to earn our allowed rate of return.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continue to pursue current cost recovery rider approval for environmental and renewable investments, and will work with our legislators and regulators to earn a fair return. We project that our Regulated Operations will earn close to its allowed rate of return in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On February 22, 2011, Minnesota Power timely filed an appeal of the MPUC’s interim rate decision in the Company’s 2010 rate case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Minnesota Court of Appeals. The Company is appealing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Oral argument was held on September 21, 2011, and an appellate decision is expected by the end of December 2011. If the appeal is successful, the Minnesota Court of Appeals would remand the case to the MPUC for further action consistent with its decision. The Company cannot predict the outcome of the matter at this time.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Power’s non-affiliated municipal customers consist of 16 municipalities in Minnesota and 1 private utility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a wholly-owned subsidiary of ALLETE, is also a private utility in Wisconsin and a customer of Minnesota Power. In 2008, Minnesota Power entered into formula-based rate contracts with these customers. In February 2011, Minnesota Power entered into a new formula-based contract with the City of Nashwauk, effective May 1, 2012, through April 30, 2022. In June 2011, Minnesota Power entered into restated contracts, effective July 1, 2011, through June 30, 2019, with the remaining 15 Minnesota municipal customers, and effective August 1, 2011, through June 30, 2019, with SWL&amp;P. The rates included in these contracts are calculated using a cost-based formula methodology that is set each July using estimated costs and provides for a true-up calculation for actual costs. Both the new and restated contract terms include a termination clause requiring a three-year notice to terminate. Under the City of Nashwauk contract, no termination notice may be given prior to April 30, 2019. Under the restated contracts, no termination notices may be given prior to June 30, 2016.</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paper production and pipeline industries. Approximately 56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Regulated Utility kilowatt-hour sales in the nine months ended September 30, 2011 (51 percent in the nine months ended September 30, 2010) were made to our industrial customers, which include the taconite, paper and pulp and pipeline industries.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76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2010, the domestic steel industry rebounded from the low levels of production seen in 2009. According to the American Iron and Steel Institute (AISI), an association of North American steel producers, United States raw steel production operated at approximately 70 percent of capacity in 2010. AISI projects that U.S. steel production levels will be at about 75 percent of capacity in 2011 (for the nine months ended September 30, 2011, steel production was at 75 percent). There has been a general historical correlation between U.S. steel production and Minnesota taconite production. Based on these projections, 2011 taconite production levels in Minnesota are on track to exceed 2010 production levels of 36 million tons. We will market available power to Other Power Suppliers, when necessary, in an effort to mitigate the earnings impact of any lower industrial sales. Other Power Supply sales are dependent upon the availability of generation and are sold at market-based prices into the MISO market on a daily basis or through bilateral agreements of various durations.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City of Nashwauk. </w:t>
      </w:r>
      <w:r>
        <w:rPr>
          <w:rFonts w:ascii="Arial" w:cs="Arial" w:eastAsia="Arial" w:hAnsi="Arial"/>
          <w:sz w:val="18"/>
          <w:szCs w:val="18"/>
          <w:color w:val="auto"/>
        </w:rPr>
        <w:t>In February 2011, the Company entered into a new formula-based wholesale electric sales agreement with the City of Nashwauk for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City’s electric service requirements, effective May 1, 2012, through April 30, 2022. On July 27, 2011, the City of Nashwauk entered into a long-term electric service agreement with Essar Steel Minnesota, LLC (Essar) for service beginning in 2012 for Essar’s proposed taconite facility. The proposed taconite facility would result in 70 to 110 MW of additional load for Minnesota Power, and is currently under construction. An expansion to include a direct reduced iron and steel-making facility is also being considered for 2015. Under the terms of a facilities construction agreement, Minnesota Power has begun site preparation and transmission construction for a 230 kV transmission line which is expected to cost approximately $26 million and is scheduled to be in service in September 2012.</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Keewatin Taconite</w:t>
      </w:r>
      <w:r>
        <w:rPr>
          <w:rFonts w:ascii="Arial" w:cs="Arial" w:eastAsia="Arial" w:hAnsi="Arial"/>
          <w:sz w:val="18"/>
          <w:szCs w:val="18"/>
          <w:color w:val="auto"/>
        </w:rPr>
        <w:t>. In February 2008, United States Steel Corporation announced its intent to restart a pellet line at its Keewatin Taconite processing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(Keetac). If restarted, this pellet line, which has been idle since 1980, could bring 3.6 million tons of additional pellet making capability to northeastern Minnesota and could result in over 60 MW of additional load. The Final Environmental Impact Statement relating to the facility has been judged to be adequate by the Minnesota Department of Natural Resources. In September 2011, the MPCA Citizens Board approved the new air emissions permit for the facility. The new air emissions permit will make Keetac the first taconite plant in the world with a pollution control system aimed at reducing airborne mercury emissions. Water quality permits from the MPCA were received on October 25, 2011. Other project permits are expected to be approved and issued in the coming months with production expected to begin in 2015.</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Magnetation, Inc. </w:t>
      </w:r>
      <w:r>
        <w:rPr>
          <w:rFonts w:ascii="Arial" w:cs="Arial" w:eastAsia="Arial" w:hAnsi="Arial"/>
          <w:sz w:val="17"/>
          <w:szCs w:val="17"/>
          <w:color w:val="auto"/>
        </w:rPr>
        <w:t>In May 2011, Minnesota Power entered into an agreement to provide electric service to Magnetation, Inc. (Magnetation), a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northeastern Minnesota, that will produce iron ore concentrate from low-grade natural ore tailing basins, already mined stockpiles and newly mined iron formations. The plant is expected to begin operations in the spring of 2012 and would result in 5 to 7 MW of additional load for Minnesota Power. On August 11, 2011, we filed a petition with the MPUC for approval of our electric service agreement with Magnetation.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2011, Magnetation and Steel Dynamics, Inc. (Steel Dynamics), the majority owner of Mesabi Nugget Delaware, LLC (Mesabi Nugget), entered into a letter of intent to construct a $50 million plant near Chisholm, Minnesota, to supply iron ore concentrate to Mesabi Nugget until it begins its own mining operations. Construction of the new plant is currently anticipated to begin in spring 2012, with operations expected to begin in 2013. This is anticipated to be 5 to 7 MW of additional load for Minnesota Power.</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October 2011, Magnetation and integrated steelmaker, AK Steel, Corporation (AK Steel), announced a joint venture, Magnetation LLC, that could lead to the construction of two facilities near Calumet and Coleraine, Minnesota. This would result in a total of up to approximately 10 to 15 MW of additional load for Minnesota Power. Magnetation and AK Steel have also indicated the potential for a three million ton pellet plant near the Coleraine plant, which would result in 15 to 25 MW of additional load in 2016.</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Renewable Energy. </w:t>
      </w:r>
      <w:r>
        <w:rPr>
          <w:rFonts w:ascii="Arial" w:cs="Arial" w:eastAsia="Arial" w:hAnsi="Arial"/>
          <w:sz w:val="17"/>
          <w:szCs w:val="17"/>
          <w:color w:val="auto"/>
        </w:rPr>
        <w:t>In February 2007, Minnesota enacted a law requiring 25 percent of Minnesota Power’s total retail energy sales in Minnesota to 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The MPUC approved our Integrated Resource Plan at its April 7, 2011 hearing and issued its final order on May 6, 2011.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meet the 12 percent renewable energy requirement by the end of 2012.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76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taken several steps to begin executing its renewable energy strategy through key renewable projects that will ensure we meet the identified state mandate. We have executed two long-term power purchase agreements with an affiliate of NextEra Energy, Inc., for wind energy in North Dakota (Oliver Wind I and II). Other steps include Taconite Ridge, our wind facility located in northeastern Minnesota, our Bison 1, 2 and 3 wind development projects and our Hibbard biomass upgrade project.</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North Dakota Wind Development. </w:t>
      </w:r>
      <w:r>
        <w:rPr>
          <w:rFonts w:ascii="Arial" w:cs="Arial" w:eastAsia="Arial" w:hAnsi="Arial"/>
          <w:sz w:val="16"/>
          <w:szCs w:val="16"/>
          <w:color w:val="auto"/>
        </w:rPr>
        <w:t>In December 2009, we purchased an existing 250 kV DC transmission line from Square Butte. The 465-mile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line runs from Center, North Dakota to Duluth, Minnesota. We use this line to transport increasing amounts of wind energy from North Dakota, while gradually phasing out coal-based electricity currently being delivered to our system over this transmission line from Square Butte’s coal-fired generating unit.</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1 is a two phase, 82 MW wind project in North Dakota. All permitting has been received and the first phase was completed in 2010. Phase one included the construction of a 22-mile, 230 kV transmission line and the installation of sixteen 2.3-MW wind turbines. Phase two is expected to be completed in late 2011 and consists of the installation of fifteen 3.0-MW wind turbines. Bison 1 is expected to have a total capital cost of approximately $177 million, of which $158.8 million was spent through September 30, 2011. In 2009, the MPUC approved Minnesota Power’s petition seeking current cost recovery for investments and expenditures related to Bison 1 and in July 2010, the MPUC approved our petition establishing rates effective Aug. 1, 2010. On Mar. 31, 2011, Minnesota Power petitioned the MPUC to update the rates for additional investments and expenditures related to Bison 1 and a hearing is scheduled for November 3, 2011.</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Total project costs for Bison 2 and Bison 3 are estimated to be approximately $160 million each and site preparation is currently underway for both projects. On Aug. 24, 2011, and Oct. 20, 2011, the MPUC approved Minnesota Power’s petition seeking current cost recovery for investments and expenditures related to Bison 2 and Bison 3, respectively. On Aug. 10, 2011, and Oct. 12, 2011, the NDPSC issued a Certificate of Site Compatibility for Bison 2 and Bison 3, respectively, which authorized site construction to commence. We anticipate filing petitions with the MPUC in the first half of 2012 to establish customer billing rates for the approved cost recovery.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PPA with Manitoba Hydro, for the purchase of 50 MW of capacity and energy associated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which expires in 2015. In addition, Minnesota Power signed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Mar. 31, 2011, the MPUC approved this PPA with Manitoba Hydro.</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19, 2011, Minnesota Power and Manitoba Hydro signed a long-term PPA. The PPA calls for Manitoba Hydro to sell 250 MW of capacity and energy to Minnesota Power under a power sales and an energy exchange agreement for 15 years beginning in 2020 and requires construction of additional transmission capacity between Manitoba and the United States.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September 16, 2011, we filed a petition with the MPUC to approve our PPA with Manitoba Hydro.</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2009, Minnesota Power filed with the MPUC its 2010 Integrated Resource Plan, a comprehensive estimate of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the emission of GHGs (primarily CO</w:t>
      </w:r>
      <w:r>
        <w:rPr>
          <w:rFonts w:ascii="Arial" w:cs="Arial" w:eastAsia="Arial" w:hAnsi="Arial"/>
          <w:sz w:val="12"/>
          <w:szCs w:val="12"/>
          <w:color w:val="auto"/>
        </w:rPr>
        <w:t>2</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76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Resource Plan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achieve these objectives over the coming years, we plan to reshape our generation portfolio by adding approximately 300 MW of renewable energy to our generation mix and exploring options to incorporate peaking or intermediate resources. The first phase of the Bison 1 wind project in North Dakota was put into service in 2010 and the second phase is expected to be in service in late 2011, increasing our renewable generation by a total of 82 MW. The Bison 2 105 MW and the Bison 3 105 MW wind projects, along with the Hibbard Biomass Upgrade Project, will continue our expansion into renewable energy to meet our Integrated Resource Plan goals.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project average annual long-term growth, excluding prospective additional load from industrial and municipal customers, of approximately one percent in electric usage through 2025. We will also focus on conservation and demand side management to meet the energy savings goals established in Minnesota legislation. The MPUC approved our Integrated Resource Plan in its final order issued on May 6, 2011. Minnesota Power is required to file a baseload diversification study within nine months of receiving the final order. Minnesota Power’s next Integrated Resource Plan must be filed with the MPUC no later than July 1, 2013.</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Transmission. </w:t>
      </w:r>
      <w:r>
        <w:rPr>
          <w:rFonts w:ascii="Arial" w:cs="Arial" w:eastAsia="Arial" w:hAnsi="Arial"/>
          <w:sz w:val="18"/>
          <w:szCs w:val="18"/>
          <w:color w:val="auto"/>
        </w:rPr>
        <w:t>We are making investments in Upper Midwest transmission opportunities that strengthen or enhance the regional transmission grid.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on May 11, 2011. The billing factor allows us to charge our retail customers on a current basis for the costs of constructing certain transmission facilities plus a return on the capital invested. On Jun. 29, 2011, we filed an updated billing factor that includes additional transmission projects and expenses, which we expect to be approved in late 2011.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$19.7 million was spent through September 30, 2011. As future CapX2020 projects are identified, Minnesota Power may elect to participate on a project-by-project basis.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Construction of the project is expected to be completed in late 2011. On Jun. 10, 2011, the MPUC approved the route permit for the Minnesota portion of the Fargo to St. Cloud project. The North Dakota permitting process is underway. The entire 238-mile, 345 kV line from Fargo to Monticello is expected to be in service by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76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2010, the MPUC approved a route permit for the Bemidji to Grand Rapids, Minnesota line and 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On June 22,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As of September 30, 2011, our equity investment in ATC was $97.9 million, representing an approximate 8 percent ownership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ATC rates are based on a FERC approved 12.2 percent return on common equity dedicated to utility plant. In September 2011, ATC updated its 10-year transmission assessment covering the years 2011 through 2020 which identifies between $3.8 and $4.4 billion in transmission system improvements. This investment is expected to be funded by ATC through a combination of internally generated cash, debt and investor contributions. As opportunities arise, we plan to make additional investments in ATC through general capital calls based upon our pro-rata ownership interest in ATC. In the first nine months of 2011, we invested $2.0 million in ATC. We do not expect to make any additional investments in 2011. (See Note 7. Investment in ATC.)</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13, 2011, ATC and Duke Energy Corporation announced the creation of a joint venture, Duke-American Transmission Co. (DATC) that intends to build, own and operate new electric transmission infrastructure in the United States and Canada. DATC is subject to the rules and regulations of FERC, MISO, PJM Interconnection LLC and various other independent system operators and state regulatory authorities. In September 2011, DATC announced its first set of planned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2011 (3.8 million tons were sold in 2010) and has sold 3.1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September 30, 2011 (3.2 million tons were sold as of September 30, 2010).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currently in the planning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6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w:t>
            </w: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460" w:type="dxa"/>
            <w:vAlign w:val="bottom"/>
            <w:gridSpan w:val="2"/>
          </w:tcPr>
          <w:p>
            <w:pPr>
              <w:ind w:left="1280"/>
              <w:spacing w:after="0"/>
              <w:rPr>
                <w:sz w:val="20"/>
                <w:szCs w:val="20"/>
                <w:color w:val="auto"/>
              </w:rPr>
            </w:pPr>
            <w:r>
              <w:rPr>
                <w:rFonts w:ascii="Arial" w:cs="Arial" w:eastAsia="Arial" w:hAnsi="Arial"/>
                <w:sz w:val="18"/>
                <w:szCs w:val="18"/>
                <w:b w:val="1"/>
                <w:bCs w:val="1"/>
                <w:color w:val="auto"/>
              </w:rPr>
              <w:t>Ownership</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4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1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1840" w:type="dxa"/>
            <w:vAlign w:val="bottom"/>
          </w:tcPr>
          <w:p>
            <w:pPr>
              <w:ind w:left="1260"/>
              <w:spacing w:after="0"/>
              <w:rPr>
                <w:sz w:val="20"/>
                <w:szCs w:val="20"/>
                <w:color w:val="auto"/>
              </w:rPr>
            </w:pPr>
            <w:r>
              <w:rPr>
                <w:rFonts w:ascii="Arial" w:cs="Arial" w:eastAsia="Arial" w:hAnsi="Arial"/>
                <w:sz w:val="18"/>
                <w:szCs w:val="18"/>
                <w:color w:val="auto"/>
              </w:rPr>
              <w:t>100%</w:t>
            </w:r>
          </w:p>
        </w:tc>
        <w:tc>
          <w:tcPr>
            <w:tcW w:w="620" w:type="dxa"/>
            <w:vAlign w:val="bottom"/>
          </w:tcPr>
          <w:p>
            <w:pPr>
              <w:ind w:left="160"/>
              <w:spacing w:after="0"/>
              <w:rPr>
                <w:sz w:val="20"/>
                <w:szCs w:val="20"/>
                <w:color w:val="auto"/>
              </w:rPr>
            </w:pPr>
            <w:r>
              <w:rPr>
                <w:rFonts w:ascii="Arial" w:cs="Arial" w:eastAsia="Arial" w:hAnsi="Arial"/>
                <w:sz w:val="18"/>
                <w:szCs w:val="18"/>
                <w:i w:val="1"/>
                <w:iCs w:val="1"/>
                <w:color w:val="auto"/>
              </w:rPr>
              <w:t>(e)</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966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2,373</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2,252,200</w:t>
            </w:r>
          </w:p>
        </w:tc>
      </w:tr>
      <w:tr>
        <w:trPr>
          <w:trHeight w:val="27"/>
        </w:trPr>
        <w:tc>
          <w:tcPr>
            <w:tcW w:w="4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18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3,842</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3,564</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3,056,800</w:t>
            </w: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18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4,808</w:t>
            </w:r>
          </w:p>
        </w:tc>
        <w:tc>
          <w:tcPr>
            <w:tcW w:w="1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5,937</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5,309,000</w:t>
            </w:r>
          </w:p>
        </w:tc>
      </w:tr>
      <w:tr>
        <w:trPr>
          <w:trHeight w:val="27"/>
        </w:trPr>
        <w:tc>
          <w:tcPr>
            <w:tcW w:w="4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45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1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18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2,924</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3,215,000</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18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3,049</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(d)</w:t>
            </w: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18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10,781</w:t>
            </w:r>
          </w:p>
        </w:tc>
        <w:tc>
          <w:tcPr>
            <w:tcW w:w="1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8,887</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8,524,000</w:t>
            </w:r>
          </w:p>
        </w:tc>
      </w:tr>
    </w:tbl>
    <w:p>
      <w:pPr>
        <w:spacing w:after="0" w:line="2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ind w:left="340" w:right="2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Lake Swamp wetland mitigation bank is a permitted, regionally significant wetlands mitigation bank. Wetland mitigation credits will be used at Ormond Crossings and will also be available-for-sale to developers of other projects that are located in the bank’s service area.</w:t>
      </w:r>
    </w:p>
    <w:p>
      <w:pPr>
        <w:ind w:left="340" w:hanging="332"/>
        <w:spacing w:after="0" w:line="261"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During the third quarter of 2011, the remaining shares of the ALLETE Properties non-controlling interest were purchased for approximately $9 million by issuing 0.2 million shares of ALLETE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-979805</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1,975 acres of other land available-for-sale.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at reasonable prices when opportunities arise. However,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ALLETE’s aggregate federal and multi-state statutory tax rate is approximately 41 percent for 2011. On an ongoing basis, ALLETE has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tax credits and other tax adjustments that will reduce the statutory rate to the expected effective tax rate. These tax credits and adjustments historically have included items such as investment tax credits, renewable tax credits, AFUDC – Equity, domestic manufacturer’s deduction, depletion and other items. The annual effective rate can also be impacted by such items as changes in income and income tax rates, state and federal tax law changes that become effective during the year, business combinations and configuration changes, tax planning initiatives, regulatory action and resolution of prior years’ tax matters. We expect the effective tax rate for the full year 2011 to be approximately 25 percent. (See Note 10. Income Tax Expense.)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cash flow needs. As of September 30, 2011, we had a cash balance of $135.1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$255.4 million in available consolidated lines of credit and a debt-to-capital ratio of 45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18"/>
                <w:szCs w:val="18"/>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2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$1,051.4</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$976.0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9.0</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857.2</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45</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785.0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5.6</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$1,914.2</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$1,771.0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8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ectPr>
          <w:pgSz w:w="11900" w:h="16838" w:orient="portrait"/>
          <w:cols w:equalWidth="0" w:num="1">
            <w:col w:w="11420"/>
          </w:cols>
          <w:pgMar w:left="240" w:top="769"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69"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LIQUIDITY (Continued)</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9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Nine Months Ended September 30,</w:t>
            </w:r>
          </w:p>
        </w:tc>
        <w:tc>
          <w:tcPr>
            <w:tcW w:w="19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7"/>
        </w:trPr>
        <w:tc>
          <w:tcPr>
            <w:tcW w:w="8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$44.9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185.1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(154.9)</w:t>
            </w:r>
          </w:p>
        </w:tc>
        <w:tc>
          <w:tcPr>
            <w:tcW w:w="104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60.0</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90.2</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w:t>
            </w:r>
          </w:p>
        </w:tc>
      </w:tr>
      <w:tr>
        <w:trPr>
          <w:trHeight w:val="27"/>
        </w:trPr>
        <w:tc>
          <w:tcPr>
            <w:tcW w:w="8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$135.1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0"/>
        </w:trPr>
        <w:tc>
          <w:tcPr>
            <w:tcW w:w="8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$185.1 million for the nine months ended September 30, 2011 ($188.0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2010). The decrease was primarily due to a decrease in accounts payable and increased contributions to our pension and other post-retirement employee benefit plans partially offset by higher 2011 net income and a decrease in accounts receivables.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$154.9 million for the nine months ended September 30, 2011 ($177.7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2010). The decrease in cash used for investing activities was primarily due to lower capital expenditures in 2011 and the redemption of ARS for $6.7 million in January 2011.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$60.0 million for the nine months ended September 30, 2011 ($56.3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2010). Cash from financing activities in 2011 was similar to 2010 as increased proceeds from the issuances of common stock were mostly offset by lower net proceeds of long-term debt in 2011.</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As of September 30, 2011, we had available consolidated bank lines of credit aggregating $255.4 million, the majority of which expire in June 2015. In addition, we have 1.5 million original issue shares of our common stock available for issuance through Invest Direct, our direct stock purchase and dividend reinvestment plan, and 2.7 million</w:t>
      </w:r>
      <w:r>
        <w:rPr>
          <w:sz w:val="1"/>
          <w:szCs w:val="1"/>
          <w:color w:val="auto"/>
        </w:rPr>
        <w:drawing>
          <wp:inline distT="0" distB="0" distL="0" distR="0">
            <wp:extent cx="3429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original issue shares of common stock available for issuance through a Distribution Agreement with KCCI, Inc. The amount and timing of future sales of our securities will depend upon market conditions and our specific needs.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KCCI, Inc., in February 2008, as amended, with respect to the issuance and sale of up to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of 6.6 million shares of our common stock, without par value. For the nine months ended September 30, 2011, 0.4 million shares of common stock were issued under this agreement, for net proceeds of $16.0 million (0.2 million shares were issued for the nine months ended September 30, 2010, for net proceeds of $6.0 million). As of September 30, 2011, 2.7 million shares of common stock remain available for issuance pursuant to the amended distribution agreement. The shares issued in 2011 and 2010 were offered for sale, from time to time, in accordance with the terms of the amended distribution agreement pursuant to Registration Statement Nos. 333-170289 and 333-147965. The remaining shares may be offered for sale, from time to time, in accordance with the terms of the amended distribution agreement pursuant to Registration Statement No. 333-170289.</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we issued 0.4 million shares of common stock through Invest Direct, the Employee Stock Purchase Plan, and the Retirement Savings and Stock Ownership Plan, resulting in net proceeds of $14.1 million. These shares of common stock were registered under Registration Statement Nos. 333-150681, 333-105225 and 333-162890,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2011, the remaining shares of the ALLETE Properties non-controlling interest were purchased at book value for approximately $9 million by issuing 0.2 million unregistered shares of ALLETE common stock. This was accounted for as an equity transaction, and no gain or loss is recognized in net income or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6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(Continued)</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Pension and Other Postretirement Benefit Plans</w:t>
      </w:r>
      <w:r>
        <w:rPr>
          <w:rFonts w:ascii="Arial" w:cs="Arial" w:eastAsia="Arial" w:hAnsi="Arial"/>
          <w:sz w:val="16"/>
          <w:szCs w:val="16"/>
          <w:color w:val="auto"/>
        </w:rPr>
        <w:t>. Management considers various factors when making funding decisions, such as regulatory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actuarially determined minimum contribution requirements and contributions required to avoid benefit restrictions for the defined benefit pension plans. We expect to contribute an additional $27 million to our defined benefit pension plan in 2011, which will reduce our anticipated 2012 contributions, and we expect to contribute an additional $1 million to our other postretirement benefit plan in 2011. (See Note 13. Pension and Other Postretirement Benefit Plans.)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arrangements are summarized in our 2010 Form 10-K, with additional disclosure in Note 14. Commitments, Guarantees and Contingencies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capital expenditures for 2011 are expected to be $278.0 million. For the nine months ended September 30, 2011, capital expenditures totaled $143.5 million ($175.5 million for the nine months ended September 30, 2010). The expenditures were primarily made in the Regulated Operations segment.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2011 through 2015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3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Regulated Utility Operations</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Base and Other</w:t>
            </w:r>
          </w:p>
        </w:tc>
        <w:tc>
          <w:tcPr>
            <w:tcW w:w="19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$107</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$97</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 xml:space="preserve">Current Cost Recovery </w:t>
            </w:r>
            <w:r>
              <w:rPr>
                <w:rFonts w:ascii="Arial" w:cs="Arial" w:eastAsia="Arial" w:hAnsi="Arial"/>
                <w:sz w:val="18"/>
                <w:szCs w:val="18"/>
                <w:i w:val="1"/>
                <w:iCs w:val="1"/>
                <w:color w:val="auto"/>
              </w:rPr>
              <w:t>(a)</w:t>
            </w: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Renewable </w:t>
            </w:r>
            <w:r>
              <w:rPr>
                <w:rFonts w:ascii="Arial" w:cs="Arial" w:eastAsia="Arial" w:hAnsi="Arial"/>
                <w:sz w:val="18"/>
                <w:szCs w:val="18"/>
                <w:i w:val="1"/>
                <w:iCs w:val="1"/>
                <w:color w:val="auto"/>
              </w:rPr>
              <w:t>(b)</w:t>
            </w:r>
          </w:p>
        </w:tc>
        <w:tc>
          <w:tcPr>
            <w:tcW w:w="19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124</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291</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3940" w:type="dxa"/>
            <w:vAlign w:val="bottom"/>
          </w:tcPr>
          <w:p>
            <w:pPr>
              <w:ind w:left="50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(c)</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3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Cost Recovery</w:t>
            </w:r>
          </w:p>
        </w:tc>
        <w:tc>
          <w:tcPr>
            <w:tcW w:w="19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317</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37"/>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Regulated Utility Capital Expenditures</w:t>
            </w:r>
          </w:p>
        </w:tc>
        <w:tc>
          <w:tcPr>
            <w:tcW w:w="1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257</w:t>
            </w: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414</w:t>
            </w: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128</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122</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r>
      <w:tr>
        <w:trPr>
          <w:trHeight w:val="27"/>
        </w:trPr>
        <w:tc>
          <w:tcPr>
            <w:tcW w:w="3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37"/>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$278</w:t>
            </w: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$439</w:t>
            </w: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$142</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$130</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$119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w:t>
            </w:r>
          </w:p>
        </w:tc>
      </w:tr>
    </w:tbl>
    <w:p>
      <w:pPr>
        <w:spacing w:after="0" w:line="2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current capital expenditures recoverable outside of a rate case.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Renewable riders include Bison 1, Bison 2, Bison 3 and Hibbard Projects.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Transmission capital expenditures include CapX2020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Pending environmental regulations could result in significant capital expenditures in the future that are not included in the table above. Currently, future CapX2020 transmission projects are under discussion. As future CapX2020 projects are identified, Minnesota Power may elect to participate on a project-by-project basis.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Environmental Matters are summarized in our 2010 Form 10-K, with additional disclosure in Note 14. Commitments, Guarantees and Contingencies of this Form 10-Q. We are unable to predict the outcome of the matters discussed.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76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Coal’s labor agreement with the International Brotherhood of Electrical Workers Local 1593 was accepted on March 1, 2011. The contract went into effect on April 1, 2011, and expires on March 31,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of September 30, 2011,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3.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environment,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(in Minnesota) and natural gas (in Wisconsin).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September 30, 2011,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September 30, 2011.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76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2011,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There has been no change in our internal control over financial reporting that occurred during our most recent fiscal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that has materially affected, or is reasonably likely to materially affect, our internal control over financial reporting. The Company is undertaking a project with the objective of improving business process and information systems. The focus of the project is the upgrade or addition of certain financial and supply-chain applications; these changes are not the result of any identified deficiencies in our internal control over financial reporting. The Company expects the project to result in greater efficiencies and enhance the processes used by employees to record financial transactions, purchase materials and service, process payments and analyze data. Implementation is expected in the first quarter of 2012.</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Interim Rate Decision. </w:t>
      </w:r>
      <w:r>
        <w:rPr>
          <w:rFonts w:ascii="Arial" w:cs="Arial" w:eastAsia="Arial" w:hAnsi="Arial"/>
          <w:sz w:val="18"/>
          <w:szCs w:val="18"/>
          <w:color w:val="auto"/>
        </w:rPr>
        <w:t>On February 22, 2011, Minnesota Power timely filed an appeal of the MPUC’s interim rate decision in the Company’s 2010 rate case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Minnesota Court of Appeals. The Company is appealing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Oral argument was held on September 21, 2011, and an appellate decision is due by the end of December 2011. If the appeal is successful, the Minnesota Court of Appeals would remand the case to the MPUC for further action consistent with its decision. The Company cannot predict the outcome of the matter at this time.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CapX2020 Bemidji to Grand Rapids Line. </w:t>
      </w:r>
      <w:r>
        <w:rPr>
          <w:rFonts w:ascii="Arial" w:cs="Arial" w:eastAsia="Arial" w:hAnsi="Arial"/>
          <w:sz w:val="17"/>
          <w:szCs w:val="17"/>
          <w:color w:val="auto"/>
        </w:rPr>
        <w:t>In November 2010, the MPUC approved a route permit for the Bemidji to Grand Rapids, Minnesota 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On June 22,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2010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3, 2011, ALLETE issued 0.2 million shares of unregistered ALLETE Common Stock to the minority shareholders of ALLETE Properties, in exchange for such minority shareholders’ shares of ALLETE Properties’ stock. The ALLETE Common Stock was issued in reliance on an exemption from registration under Rule 506 of Regulation D of the Securities Act of 1933.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Mine Safety Disclosures – Required by the Dodd-Frank Wall Street Reform and Consumer Protection Act. </w:t>
      </w:r>
      <w:r>
        <w:rPr>
          <w:rFonts w:ascii="Arial" w:cs="Arial" w:eastAsia="Arial" w:hAnsi="Arial"/>
          <w:sz w:val="18"/>
          <w:szCs w:val="18"/>
          <w:color w:val="auto"/>
        </w:rPr>
        <w:t>The Dodd-Frank Act requires issuers to include in</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reports filed with the SEC certain information relating to citations or orders for violations of standards under the Federal Mine Safety and Health Act of 1977 (Mine Safety Act).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September 30, 2011, there were no citations, orders or notices received under Sections 104, 104(a), 104(b), 104(d), 107(a) or 104(e) of the Mine Safety Act, no violations of Section 110(b)(2) of the Mine Safety Act and there were no fatalities.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373" w:lineRule="exact"/>
        <w:rPr>
          <w:sz w:val="20"/>
          <w:szCs w:val="20"/>
          <w:color w:val="auto"/>
        </w:rPr>
      </w:pPr>
    </w:p>
    <w:p>
      <w:pPr>
        <w:jc w:val="both"/>
        <w:ind w:left="1300" w:right="120" w:hanging="463"/>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 Loan Agreement dated as of August 25, 2011 among ALLETE, Inc. as Borrower, the lenders party thereto, JPMorgan Chase Bank, N.A., as Administrative Agent, and JPMorgan Securities LLC, as Sole Lead Arranger and Sole Book Runner (filed as Exhibit 4 to the August 31, 2011, Form 8-K, File No. 1-3548).</w:t>
      </w:r>
    </w:p>
    <w:p>
      <w:pPr>
        <w:spacing w:after="0" w:line="19"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291"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291" w:lineRule="exact"/>
        <w:rPr>
          <w:sz w:val="20"/>
          <w:szCs w:val="20"/>
          <w:color w:val="auto"/>
        </w:rPr>
      </w:pPr>
    </w:p>
    <w:p>
      <w:pPr>
        <w:ind w:left="1300" w:right="340" w:hanging="55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2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101.INS</w:t>
            </w:r>
          </w:p>
        </w:tc>
        <w:tc>
          <w:tcPr>
            <w:tcW w:w="160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486"/>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7"/>
              </w:rPr>
              <w:t>101.SCH</w:t>
            </w:r>
          </w:p>
        </w:tc>
        <w:tc>
          <w:tcPr>
            <w:tcW w:w="160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486"/>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101.CAL</w:t>
            </w:r>
          </w:p>
        </w:tc>
        <w:tc>
          <w:tcPr>
            <w:tcW w:w="1600" w:type="dxa"/>
            <w:vAlign w:val="bottom"/>
          </w:tcPr>
          <w:p>
            <w:pPr>
              <w:ind w:left="200"/>
              <w:spacing w:after="0"/>
              <w:rPr>
                <w:sz w:val="20"/>
                <w:szCs w:val="20"/>
                <w:color w:val="auto"/>
              </w:rPr>
            </w:pPr>
            <w:r>
              <w:rPr>
                <w:rFonts w:ascii="Arial" w:cs="Arial" w:eastAsia="Arial" w:hAnsi="Arial"/>
                <w:sz w:val="18"/>
                <w:szCs w:val="18"/>
                <w:color w:val="auto"/>
                <w:w w:val="97"/>
              </w:rPr>
              <w:t>XBRL Calculation</w:t>
            </w:r>
          </w:p>
        </w:tc>
      </w:tr>
      <w:tr>
        <w:trPr>
          <w:trHeight w:val="486"/>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0"/>
              </w:rPr>
              <w:t>101.DEF</w:t>
            </w:r>
          </w:p>
        </w:tc>
        <w:tc>
          <w:tcPr>
            <w:tcW w:w="160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486"/>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2"/>
              </w:rPr>
              <w:t>101.LAB</w:t>
            </w:r>
          </w:p>
        </w:tc>
        <w:tc>
          <w:tcPr>
            <w:tcW w:w="160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486"/>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101.PRE</w:t>
            </w:r>
          </w:p>
        </w:tc>
        <w:tc>
          <w:tcPr>
            <w:tcW w:w="1600" w:type="dxa"/>
            <w:vAlign w:val="bottom"/>
          </w:tcPr>
          <w:p>
            <w:pPr>
              <w:ind w:left="200"/>
              <w:spacing w:after="0"/>
              <w:rPr>
                <w:sz w:val="20"/>
                <w:szCs w:val="20"/>
                <w:color w:val="auto"/>
              </w:rPr>
            </w:pPr>
            <w:r>
              <w:rPr>
                <w:rFonts w:ascii="Arial" w:cs="Arial" w:eastAsia="Arial" w:hAnsi="Arial"/>
                <w:sz w:val="18"/>
                <w:szCs w:val="18"/>
                <w:color w:val="auto"/>
                <w:w w:val="90"/>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2011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November 2, 2011</w:t>
            </w: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/s/ Mark A. Schober</w:t>
            </w:r>
          </w:p>
        </w:tc>
      </w:tr>
      <w:tr>
        <w:trPr>
          <w:trHeight w:val="27"/>
        </w:trPr>
        <w:tc>
          <w:tcPr>
            <w:tcW w:w="64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Mark A. Schober</w:t>
            </w:r>
          </w:p>
        </w:tc>
      </w:tr>
      <w:tr>
        <w:trPr>
          <w:trHeight w:val="270"/>
        </w:trPr>
        <w:tc>
          <w:tcPr>
            <w:tcW w:w="648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November 2, 2011</w:t>
            </w:r>
          </w:p>
        </w:tc>
        <w:tc>
          <w:tcPr>
            <w:tcW w:w="3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/s/ Steven Q. DeVinck</w:t>
            </w:r>
          </w:p>
        </w:tc>
      </w:tr>
      <w:tr>
        <w:trPr>
          <w:trHeight w:val="27"/>
        </w:trPr>
        <w:tc>
          <w:tcPr>
            <w:tcW w:w="29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Steven Q. DeVinck</w:t>
            </w:r>
          </w:p>
        </w:tc>
      </w:tr>
      <w:tr>
        <w:trPr>
          <w:trHeight w:val="270"/>
        </w:trPr>
        <w:tc>
          <w:tcPr>
            <w:tcW w:w="29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0"/>
              </w:rPr>
              <w:t>Controller and Vice President – Business Support</w:t>
            </w:r>
          </w:p>
        </w:tc>
      </w:tr>
      <w:tr>
        <w:trPr>
          <w:trHeight w:val="593"/>
        </w:trPr>
        <w:tc>
          <w:tcPr>
            <w:tcW w:w="2920" w:type="dxa"/>
            <w:vAlign w:val="bottom"/>
          </w:tcPr>
          <w:p>
            <w:pPr>
              <w:spacing w:after="0"/>
              <w:rPr>
                <w:sz w:val="24"/>
                <w:szCs w:val="24"/>
                <w:color w:val="auto"/>
              </w:rPr>
            </w:pPr>
          </w:p>
        </w:tc>
        <w:tc>
          <w:tcPr>
            <w:tcW w:w="8460" w:type="dxa"/>
            <w:vAlign w:val="bottom"/>
            <w:gridSpan w:val="2"/>
          </w:tcPr>
          <w:p>
            <w:pPr>
              <w:ind w:left="1560"/>
              <w:spacing w:after="0"/>
              <w:rPr>
                <w:sz w:val="20"/>
                <w:szCs w:val="20"/>
                <w:color w:val="auto"/>
              </w:rPr>
            </w:pPr>
            <w:r>
              <w:rPr>
                <w:rFonts w:ascii="Arial" w:cs="Arial" w:eastAsia="Arial" w:hAnsi="Arial"/>
                <w:sz w:val="14"/>
                <w:szCs w:val="14"/>
                <w:color w:val="auto"/>
              </w:rPr>
              <w:t>ALLETE Third Quarter 2011 Form 10-Q</w:t>
            </w:r>
          </w:p>
        </w:tc>
      </w:tr>
    </w:tbl>
    <w:p>
      <w:pPr>
        <w:jc w:val="right"/>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2011,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6"/>
          <w:szCs w:val="16"/>
          <w:u w:val="single" w:color="auto"/>
          <w:color w:val="auto"/>
        </w:rPr>
        <w:t>/s/ Alan R. Hodnik</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2011,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6"/>
          <w:szCs w:val="16"/>
          <w:u w:val="single" w:color="auto"/>
          <w:color w:val="auto"/>
        </w:rPr>
        <w:t>/s/ Mark A. Schober</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September 30, 2011,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6"/>
          <w:szCs w:val="16"/>
          <w:u w:val="single" w:color="auto"/>
          <w:color w:val="auto"/>
        </w:rPr>
        <w:t>/s/ Alan R. Hodnik</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6"/>
          <w:szCs w:val="16"/>
          <w:u w:val="single" w:color="auto"/>
          <w:color w:val="auto"/>
        </w:rPr>
        <w:t>/s/ Mark A. Schober</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9" w:name="page50"/>
    <w:bookmarkEnd w:id="49"/>
    <w:p>
      <w:pPr>
        <w:ind w:left="10720"/>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00"/>
          </w:cols>
          <w:pgMar w:left="240" w:top="764"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November 2, 2011</w:t>
      </w:r>
    </w:p>
    <w:p>
      <w:pPr>
        <w:spacing w:after="0" w:line="96" w:lineRule="exact"/>
        <w:rPr>
          <w:sz w:val="20"/>
          <w:szCs w:val="20"/>
          <w:color w:val="auto"/>
        </w:rPr>
      </w:pPr>
    </w:p>
    <w:p>
      <w:pPr>
        <w:sectPr>
          <w:pgSz w:w="11900" w:h="16838" w:orient="portrait"/>
          <w:cols w:equalWidth="0" w:num="2">
            <w:col w:w="8000" w:space="720"/>
            <w:col w:w="2680"/>
          </w:cols>
          <w:pgMar w:left="240" w:top="764"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764"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764"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ALLETE, Inc. reports third quarter earnings of 57 cents per share;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Expects to finish year at higher end of guidance range</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DULUTH, Minn. - ALLETE (NYSE: ALE) today reported third quarter 2011 earnings of 57 cents per share on net income of $20.5 million and revenue of $226.9 million. In the same period a year ago, ALLETE earned 56 cents per share on net income of $19.6 million and revenue of $224.1 million.</w:t>
      </w:r>
    </w:p>
    <w:p>
      <w:pPr>
        <w:spacing w:after="0" w:line="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Quarterly net income from ALLETE's Regulated Operations segment improved about eight percent from $22.1 million in 2010 to $23.8 million in 2011, primarily due to an increase in industrial electric sales and higher current cost recovery revenue at Minnesota Power compared to last year. The additional revenue was partially offset by increased expense for depreciation, interest and property taxes related to recent capital investments.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quarterly and year-to-date financial results reflect strong production levels from our large industrial customers,” said ALLETE Chairman, President and CEO Alan R. Hodnik. “These customers expect to operate at near full-production levels for the remainder of the year. Looking ahead, we are particularly encouraged by new industrial customer activity that signals growth in our region for the future.”</w:t>
      </w:r>
    </w:p>
    <w:p>
      <w:pPr>
        <w:spacing w:after="0" w:line="8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Investments and Other segment recorded a net loss of $3.3 million compared to a net loss of $2.5 million in 2010. Results for the quarter included increased operating and maintenance and state tax expenses. Earnings at BNI Coal were similar to the same period a year ago, and ALLETE Properties recorded a smaller net loss than in the third quarter of 2010.</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Quarterly earnings were diluted by two cents per share because of a higher common share balance from the funding of major capital improvements.</w:t>
      </w:r>
    </w:p>
    <w:p>
      <w:pPr>
        <w:spacing w:after="0" w:line="1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Hodnik said that ALLETE now expects to finish 2011 with earnings in the higher end of a range between $2.40 and $2.60 per share, excluding a one-time eight cent per share income tax benefit recorded in the second quarter.</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will host a conference call and webcast at 10:00 a.m. Eastern time today to discuss details of its performance for the quarter. Interested parties may listen live by calling (877) 303-5852, or by accessing the webcast at www.allete.com. A replay of the call will be available through November 5, 2011 by dialing (800) 585-8367, pass code 15710427.</w:t>
      </w:r>
    </w:p>
    <w:p>
      <w:pPr>
        <w:spacing w:after="0" w:line="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ALLETE's corporate headquarters are in Duluth, Minn. In addition to its electric utilities, Minnesota Power and Superior Water, Light &amp; Power Co. of Wisconsin, ALLETE owns BNI Coal in Center, N.D., ALLETE Clean Energy, also based in Duluth, and has an eight percent equity interest in the American Transmission Co. More information about the company is available at www.allete.com.</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400"/>
          </w:cols>
          <w:pgMar w:left="240" w:top="764" w:right="259" w:bottom="1440" w:gutter="0" w:footer="0" w:header="0"/>
          <w:type w:val="continuous"/>
        </w:sectPr>
      </w:pPr>
    </w:p>
    <w:bookmarkStart w:id="50" w:name="page51"/>
    <w:bookmarkEnd w:id="50"/>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9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480" w:type="dxa"/>
            <w:vAlign w:val="bottom"/>
          </w:tcPr>
          <w:p>
            <w:pPr>
              <w:spacing w:after="0"/>
              <w:rPr>
                <w:sz w:val="23"/>
                <w:szCs w:val="23"/>
                <w:color w:val="auto"/>
              </w:rPr>
            </w:pPr>
          </w:p>
        </w:tc>
        <w:tc>
          <w:tcPr>
            <w:tcW w:w="29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480" w:type="dxa"/>
            <w:vAlign w:val="bottom"/>
          </w:tcPr>
          <w:p>
            <w:pPr>
              <w:spacing w:after="0"/>
              <w:rPr>
                <w:sz w:val="23"/>
                <w:szCs w:val="23"/>
                <w:color w:val="auto"/>
              </w:rPr>
            </w:pPr>
          </w:p>
        </w:tc>
        <w:tc>
          <w:tcPr>
            <w:tcW w:w="18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5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$226.9</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$224.1</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$689.0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$668.9</w:t>
            </w:r>
          </w:p>
        </w:tc>
      </w:tr>
      <w:tr>
        <w:trPr>
          <w:trHeight w:val="277"/>
        </w:trPr>
        <w:tc>
          <w:tcPr>
            <w:tcW w:w="54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Fuel and Purchased Power</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74.8</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79.0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229.8</w:t>
            </w:r>
          </w:p>
        </w:tc>
        <w:tc>
          <w:tcPr>
            <w:tcW w:w="96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90.5</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89.8</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22.7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67.1</w:t>
            </w:r>
          </w:p>
        </w:tc>
        <w:tc>
          <w:tcPr>
            <w:tcW w:w="9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188.0</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188.8</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573.2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w:t>
            </w:r>
          </w:p>
        </w:tc>
      </w:tr>
      <w:tr>
        <w:trPr>
          <w:trHeight w:val="284"/>
        </w:trPr>
        <w:tc>
          <w:tcPr>
            <w:tcW w:w="5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38.9</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35.3</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77"/>
        </w:trPr>
        <w:tc>
          <w:tcPr>
            <w:tcW w:w="54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(32.6)</w:t>
            </w: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Earnings in ATC</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Other</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77"/>
        </w:trPr>
        <w:tc>
          <w:tcPr>
            <w:tcW w:w="54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33.2</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9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7"/>
        </w:trPr>
        <w:tc>
          <w:tcPr>
            <w:tcW w:w="54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1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77"/>
        </w:trPr>
        <w:tc>
          <w:tcPr>
            <w:tcW w:w="54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8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60"/>
              <w:spacing w:after="0"/>
              <w:rPr>
                <w:sz w:val="20"/>
                <w:szCs w:val="20"/>
                <w:color w:val="auto"/>
              </w:rPr>
            </w:pPr>
            <w:r>
              <w:rPr>
                <w:rFonts w:ascii="Arial" w:cs="Arial" w:eastAsia="Arial" w:hAnsi="Arial"/>
                <w:sz w:val="18"/>
                <w:szCs w:val="18"/>
                <w:color w:val="auto"/>
              </w:rPr>
              <w:t>Basic</w:t>
            </w:r>
          </w:p>
        </w:tc>
        <w:tc>
          <w:tcPr>
            <w:tcW w:w="1880" w:type="dxa"/>
            <w:vAlign w:val="bottom"/>
          </w:tcPr>
          <w:p>
            <w:pPr>
              <w:jc w:val="right"/>
              <w:ind w:right="170"/>
              <w:spacing w:after="0"/>
              <w:rPr>
                <w:sz w:val="20"/>
                <w:szCs w:val="20"/>
                <w:color w:val="auto"/>
              </w:rPr>
            </w:pPr>
            <w:r>
              <w:rPr>
                <w:rFonts w:ascii="Arial" w:cs="Arial" w:eastAsia="Arial" w:hAnsi="Arial"/>
                <w:sz w:val="18"/>
                <w:szCs w:val="18"/>
                <w:color w:val="auto"/>
              </w:rPr>
              <w:t>35.6</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34.4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35.1</w:t>
            </w: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35.7</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34.5</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77"/>
        </w:trPr>
        <w:tc>
          <w:tcPr>
            <w:tcW w:w="54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$0.57</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$0.57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$0.56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$2.12</w:t>
            </w: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5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54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$0.445</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$1.335</w:t>
            </w: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5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 30,</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Dec. 31,</w:t>
            </w:r>
          </w:p>
        </w:tc>
        <w:tc>
          <w:tcPr>
            <w:tcW w:w="43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Sept.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34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Cash and Short-Term Investments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c>
          <w:tcPr>
            <w:tcW w:w="43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1,902.1</w:t>
            </w:r>
          </w:p>
        </w:tc>
        <w:tc>
          <w:tcPr>
            <w:tcW w:w="900" w:type="dxa"/>
            <w:vAlign w:val="bottom"/>
          </w:tcPr>
          <w:p>
            <w:pPr>
              <w:jc w:val="right"/>
              <w:spacing w:after="0"/>
              <w:rPr>
                <w:sz w:val="20"/>
                <w:szCs w:val="20"/>
                <w:color w:val="auto"/>
              </w:rPr>
            </w:pPr>
            <w:r>
              <w:rPr>
                <w:rFonts w:ascii="Arial" w:cs="Arial" w:eastAsia="Arial" w:hAnsi="Arial"/>
                <w:sz w:val="18"/>
                <w:szCs w:val="18"/>
                <w:color w:val="auto"/>
              </w:rPr>
              <w:t>1,805.6</w:t>
            </w:r>
          </w:p>
        </w:tc>
        <w:tc>
          <w:tcPr>
            <w:tcW w:w="43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373.0</w:t>
            </w:r>
          </w:p>
        </w:tc>
        <w:tc>
          <w:tcPr>
            <w:tcW w:w="84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Investment in ATC</w:t>
            </w: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97.9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4340" w:type="dxa"/>
            <w:vAlign w:val="bottom"/>
          </w:tcPr>
          <w:p>
            <w:pPr>
              <w:ind w:left="80"/>
              <w:spacing w:after="0"/>
              <w:rPr>
                <w:sz w:val="20"/>
                <w:szCs w:val="20"/>
                <w:color w:val="auto"/>
              </w:rPr>
            </w:pPr>
            <w:r>
              <w:rPr>
                <w:rFonts w:ascii="Arial" w:cs="Arial" w:eastAsia="Arial" w:hAnsi="Arial"/>
                <w:sz w:val="18"/>
                <w:szCs w:val="18"/>
                <w:color w:val="auto"/>
                <w:w w:val="95"/>
              </w:rPr>
              <w:t>Defined Benefit Pension &amp; Other Postretirement Benefit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217.1</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298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Plans</w:t>
            </w:r>
          </w:p>
        </w:tc>
        <w:tc>
          <w:tcPr>
            <w:tcW w:w="10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43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1,051.4</w:t>
            </w:r>
          </w:p>
        </w:tc>
        <w:tc>
          <w:tcPr>
            <w:tcW w:w="840" w:type="dxa"/>
            <w:vAlign w:val="bottom"/>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1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19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1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9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3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588"/>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3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3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High</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$42.10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$37.75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$42.10</w:t>
            </w:r>
          </w:p>
        </w:tc>
        <w:tc>
          <w:tcPr>
            <w:tcW w:w="880" w:type="dxa"/>
            <w:vAlign w:val="bottom"/>
          </w:tcPr>
          <w:p>
            <w:pPr>
              <w:jc w:val="right"/>
              <w:spacing w:after="0"/>
              <w:rPr>
                <w:sz w:val="20"/>
                <w:szCs w:val="20"/>
                <w:color w:val="auto"/>
              </w:rPr>
            </w:pPr>
            <w:r>
              <w:rPr>
                <w:rFonts w:ascii="Arial" w:cs="Arial" w:eastAsia="Arial" w:hAnsi="Arial"/>
                <w:sz w:val="18"/>
                <w:szCs w:val="18"/>
                <w:color w:val="auto"/>
              </w:rPr>
              <w:t>$37.87</w:t>
            </w: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$35.51</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$33.16</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$35.51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Close</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$36.63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$36.43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$36.63</w:t>
            </w:r>
          </w:p>
        </w:tc>
        <w:tc>
          <w:tcPr>
            <w:tcW w:w="88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$28.56</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$27.23</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$28.56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594"/>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Millions</w:t>
            </w:r>
          </w:p>
        </w:tc>
        <w:tc>
          <w:tcPr>
            <w:tcW w:w="3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3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3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43"/>
        </w:trPr>
        <w:tc>
          <w:tcPr>
            <w:tcW w:w="53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369</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374</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1,074</w:t>
            </w:r>
          </w:p>
        </w:tc>
        <w:tc>
          <w:tcPr>
            <w:tcW w:w="88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7"/>
        </w:trPr>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43"/>
        </w:trPr>
        <w:tc>
          <w:tcPr>
            <w:tcW w:w="53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1,851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1,799</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5,470</w:t>
            </w:r>
          </w:p>
        </w:tc>
        <w:tc>
          <w:tcPr>
            <w:tcW w:w="880" w:type="dxa"/>
            <w:vAlign w:val="bottom"/>
          </w:tcPr>
          <w:p>
            <w:pPr>
              <w:jc w:val="right"/>
              <w:spacing w:after="0"/>
              <w:rPr>
                <w:sz w:val="20"/>
                <w:szCs w:val="20"/>
                <w:color w:val="auto"/>
              </w:rPr>
            </w:pPr>
            <w:r>
              <w:rPr>
                <w:rFonts w:ascii="Arial" w:cs="Arial" w:eastAsia="Arial" w:hAnsi="Arial"/>
                <w:sz w:val="18"/>
                <w:szCs w:val="18"/>
                <w:color w:val="auto"/>
              </w:rPr>
              <w:t>4,956</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2,742</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2,688</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8,166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537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629</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1,690</w:t>
            </w:r>
          </w:p>
        </w:tc>
        <w:tc>
          <w:tcPr>
            <w:tcW w:w="88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3,279</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3,317</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9,856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314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3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3,302</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3,344</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9,930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r>
      <w:tr>
        <w:trPr>
          <w:trHeight w:val="20"/>
        </w:trPr>
        <w:tc>
          <w:tcPr>
            <w:tcW w:w="536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T"/>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4"/>
      <w:numFmt w:val="bullet"/>
      <w:start w:val="1"/>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2019-12-10T01:50:32Z</dcterms:created>
  <dcterms:modified xsi:type="dcterms:W3CDTF">2019-12-10T01:50:32Z</dcterms:modified>
</cp:coreProperties>
</file>