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85"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00" w:right="3340" w:firstLine="335"/>
        <w:spacing w:after="0" w:line="399" w:lineRule="auto"/>
        <w:tabs>
          <w:tab w:leader="none" w:pos="245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year ended </w:t>
      </w:r>
      <w:r>
        <w:rPr>
          <w:rFonts w:ascii="Arial" w:cs="Arial" w:eastAsia="Arial" w:hAnsi="Arial"/>
          <w:sz w:val="16"/>
          <w:szCs w:val="16"/>
          <w:b w:val="1"/>
          <w:bCs w:val="1"/>
          <w:color w:val="auto"/>
        </w:rPr>
        <w:t>December 31, 2018</w:t>
      </w:r>
    </w:p>
    <w:p>
      <w:pPr>
        <w:spacing w:after="0" w:line="36" w:lineRule="exact"/>
        <w:rPr>
          <w:sz w:val="24"/>
          <w:szCs w:val="24"/>
          <w:color w:val="auto"/>
        </w:rPr>
      </w:pPr>
    </w:p>
    <w:p>
      <w:pPr>
        <w:ind w:left="2460" w:right="3160" w:hanging="825"/>
        <w:spacing w:after="0" w:line="358" w:lineRule="auto"/>
        <w:tabs>
          <w:tab w:leader="none" w:pos="2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jc w:val="center"/>
              <w:ind w:left="1659"/>
              <w:spacing w:after="0"/>
              <w:rPr>
                <w:sz w:val="20"/>
                <w:szCs w:val="20"/>
                <w:color w:val="auto"/>
              </w:rPr>
            </w:pPr>
            <w:r>
              <w:rPr>
                <w:rFonts w:ascii="Arial" w:cs="Arial" w:eastAsia="Arial" w:hAnsi="Arial"/>
                <w:sz w:val="16"/>
                <w:szCs w:val="16"/>
                <w:b w:val="1"/>
                <w:bCs w:val="1"/>
                <w:color w:val="auto"/>
                <w:w w:val="90"/>
              </w:rPr>
              <w:t>Minnesota</w:t>
            </w:r>
          </w:p>
        </w:tc>
        <w:tc>
          <w:tcPr>
            <w:tcW w:w="4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tcPr>
          <w:p>
            <w:pPr>
              <w:jc w:val="center"/>
              <w:ind w:right="639"/>
              <w:spacing w:after="0"/>
              <w:rPr>
                <w:sz w:val="20"/>
                <w:szCs w:val="20"/>
                <w:color w:val="auto"/>
              </w:rPr>
            </w:pPr>
            <w:r>
              <w:rPr>
                <w:rFonts w:ascii="Arial" w:cs="Arial" w:eastAsia="Arial" w:hAnsi="Arial"/>
                <w:sz w:val="16"/>
                <w:szCs w:val="16"/>
                <w:b w:val="1"/>
                <w:bCs w:val="1"/>
                <w:color w:val="auto"/>
                <w:w w:val="91"/>
              </w:rPr>
              <w:t>41-0418150</w:t>
            </w:r>
          </w:p>
        </w:tc>
        <w:tc>
          <w:tcPr>
            <w:tcW w:w="0" w:type="dxa"/>
            <w:vAlign w:val="bottom"/>
          </w:tcPr>
          <w:p>
            <w:pPr>
              <w:spacing w:after="0"/>
              <w:rPr>
                <w:sz w:val="1"/>
                <w:szCs w:val="1"/>
                <w:color w:val="auto"/>
              </w:rPr>
            </w:pPr>
          </w:p>
        </w:tc>
      </w:tr>
      <w:tr>
        <w:trPr>
          <w:trHeight w:val="257"/>
        </w:trPr>
        <w:tc>
          <w:tcPr>
            <w:tcW w:w="7760" w:type="dxa"/>
            <w:vAlign w:val="bottom"/>
            <w:gridSpan w:val="2"/>
          </w:tcPr>
          <w:p>
            <w:pPr>
              <w:jc w:val="center"/>
              <w:ind w:right="22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680" w:type="dxa"/>
            <w:vAlign w:val="bottom"/>
            <w:gridSpan w:val="2"/>
          </w:tcPr>
          <w:p>
            <w:pPr>
              <w:jc w:val="center"/>
              <w:ind w:right="79"/>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2"/>
              </w:rPr>
              <w:t>30 West Superior Street, Duluth, Minnesota 55802-2093</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w w:val="95"/>
              </w:rPr>
              <w:t>(Address of principal executive offices, including zip code)</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3"/>
              </w:rPr>
              <w:t>(218) 279-5000</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660" w:type="dxa"/>
            <w:vAlign w:val="bottom"/>
          </w:tcPr>
          <w:p>
            <w:pPr>
              <w:jc w:val="center"/>
              <w:ind w:left="1179"/>
              <w:spacing w:after="0"/>
              <w:rPr>
                <w:sz w:val="20"/>
                <w:szCs w:val="20"/>
                <w:color w:val="auto"/>
              </w:rPr>
            </w:pPr>
            <w:r>
              <w:rPr>
                <w:rFonts w:ascii="Arial" w:cs="Arial" w:eastAsia="Arial" w:hAnsi="Arial"/>
                <w:sz w:val="16"/>
                <w:szCs w:val="16"/>
                <w:color w:val="auto"/>
                <w:w w:val="90"/>
              </w:rPr>
              <w:t>Title of each class</w:t>
            </w:r>
          </w:p>
        </w:tc>
        <w:tc>
          <w:tcPr>
            <w:tcW w:w="6780" w:type="dxa"/>
            <w:vAlign w:val="bottom"/>
            <w:gridSpan w:val="3"/>
          </w:tcPr>
          <w:p>
            <w:pPr>
              <w:jc w:val="center"/>
              <w:ind w:left="381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57"/>
        </w:trPr>
        <w:tc>
          <w:tcPr>
            <w:tcW w:w="3660" w:type="dxa"/>
            <w:vAlign w:val="bottom"/>
          </w:tcPr>
          <w:p>
            <w:pPr>
              <w:jc w:val="center"/>
              <w:ind w:left="1179"/>
              <w:spacing w:after="0"/>
              <w:rPr>
                <w:sz w:val="20"/>
                <w:szCs w:val="20"/>
                <w:color w:val="auto"/>
              </w:rPr>
            </w:pPr>
            <w:r>
              <w:rPr>
                <w:rFonts w:ascii="Arial" w:cs="Arial" w:eastAsia="Arial" w:hAnsi="Arial"/>
                <w:sz w:val="16"/>
                <w:szCs w:val="16"/>
                <w:color w:val="auto"/>
                <w:w w:val="93"/>
              </w:rPr>
              <w:t>Common Stock, without par value</w:t>
            </w:r>
          </w:p>
        </w:tc>
        <w:tc>
          <w:tcPr>
            <w:tcW w:w="4100" w:type="dxa"/>
            <w:vAlign w:val="bottom"/>
          </w:tcPr>
          <w:p>
            <w:pPr>
              <w:spacing w:after="0"/>
              <w:rPr>
                <w:sz w:val="22"/>
                <w:szCs w:val="22"/>
                <w:color w:val="auto"/>
              </w:rPr>
            </w:pPr>
          </w:p>
        </w:tc>
        <w:tc>
          <w:tcPr>
            <w:tcW w:w="2680" w:type="dxa"/>
            <w:vAlign w:val="bottom"/>
            <w:gridSpan w:val="2"/>
          </w:tcPr>
          <w:p>
            <w:pPr>
              <w:jc w:val="center"/>
              <w:ind w:right="119"/>
              <w:spacing w:after="0"/>
              <w:rPr>
                <w:sz w:val="20"/>
                <w:szCs w:val="20"/>
                <w:color w:val="auto"/>
              </w:rPr>
            </w:pPr>
            <w:r>
              <w:rPr>
                <w:rFonts w:ascii="Arial" w:cs="Arial" w:eastAsia="Arial" w:hAnsi="Arial"/>
                <w:sz w:val="16"/>
                <w:szCs w:val="16"/>
                <w:color w:val="auto"/>
                <w:w w:val="92"/>
              </w:rPr>
              <w:t>New York Stock Exchange</w:t>
            </w:r>
          </w:p>
        </w:tc>
        <w:tc>
          <w:tcPr>
            <w:tcW w:w="0" w:type="dxa"/>
            <w:vAlign w:val="bottom"/>
          </w:tcPr>
          <w:p>
            <w:pPr>
              <w:spacing w:after="0"/>
              <w:rPr>
                <w:sz w:val="1"/>
                <w:szCs w:val="1"/>
                <w:color w:val="auto"/>
              </w:rPr>
            </w:pPr>
          </w:p>
        </w:tc>
      </w:tr>
      <w:tr>
        <w:trPr>
          <w:trHeight w:val="284"/>
        </w:trPr>
        <w:tc>
          <w:tcPr>
            <w:tcW w:w="36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540" w:type="dxa"/>
            <w:vAlign w:val="bottom"/>
          </w:tcPr>
          <w:p>
            <w:pPr>
              <w:spacing w:after="0"/>
              <w:rPr>
                <w:sz w:val="21"/>
                <w:szCs w:val="21"/>
                <w:color w:val="auto"/>
              </w:rPr>
            </w:pPr>
          </w:p>
        </w:tc>
        <w:tc>
          <w:tcPr>
            <w:tcW w:w="2140" w:type="dxa"/>
            <w:vAlign w:val="bottom"/>
            <w:vMerge w:val="restart"/>
          </w:tcPr>
          <w:p>
            <w:pPr>
              <w:ind w:left="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776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40" w:type="dxa"/>
            <w:vAlign w:val="bottom"/>
          </w:tcPr>
          <w:p>
            <w:pPr>
              <w:ind w:left="6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8"/>
                <w:szCs w:val="18"/>
                <w:color w:val="auto"/>
              </w:rPr>
              <w:t>x</w:t>
            </w: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00" w:type="dxa"/>
            <w:vAlign w:val="bottom"/>
            <w:gridSpan w:val="3"/>
          </w:tcPr>
          <w:p>
            <w:pPr>
              <w:spacing w:after="0" w:line="207"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2140" w:type="dxa"/>
            <w:vAlign w:val="bottom"/>
          </w:tcPr>
          <w:p>
            <w:pPr>
              <w:ind w:left="140"/>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46" w:lineRule="exact"/>
        <w:rPr>
          <w:sz w:val="24"/>
          <w:szCs w:val="24"/>
          <w:color w:val="auto"/>
        </w:rPr>
      </w:pPr>
    </w:p>
    <w:p>
      <w:pPr>
        <w:jc w:val="both"/>
        <w:spacing w:after="0" w:line="276"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p>
    <w:p>
      <w:pPr>
        <w:ind w:left="1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180" w:lineRule="exact"/>
        <w:rPr>
          <w:sz w:val="24"/>
          <w:szCs w:val="24"/>
          <w:color w:val="auto"/>
        </w:rPr>
      </w:pPr>
    </w:p>
    <w:p>
      <w:pPr>
        <w:jc w:val="both"/>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right="20"/>
        <w:spacing w:after="0" w:line="22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3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18" w:right="239" w:bottom="1440" w:gutter="0" w:footer="0" w:header="0"/>
        </w:sectPr>
      </w:pPr>
    </w:p>
    <w:p>
      <w:pPr>
        <w:spacing w:after="0" w:line="89" w:lineRule="exact"/>
        <w:rPr>
          <w:sz w:val="24"/>
          <w:szCs w:val="24"/>
          <w:color w:val="auto"/>
        </w:rPr>
      </w:pPr>
    </w:p>
    <w:p>
      <w:pPr>
        <w:ind w:left="1300"/>
        <w:spacing w:after="0" w:line="38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ind w:left="80"/>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200"/>
        <w:spacing w:after="0" w:line="184" w:lineRule="exact"/>
        <w:tabs>
          <w:tab w:leader="none" w:pos="14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0" w:lineRule="exact"/>
        <w:rPr>
          <w:sz w:val="24"/>
          <w:szCs w:val="24"/>
          <w:color w:val="auto"/>
        </w:rPr>
      </w:pPr>
    </w:p>
    <w:p>
      <w:pPr>
        <w:spacing w:after="0" w:line="184" w:lineRule="exact"/>
        <w:tabs>
          <w:tab w:leader="none" w:pos="2020" w:val="left"/>
        </w:tabs>
        <w:rPr>
          <w:sz w:val="20"/>
          <w:szCs w:val="20"/>
          <w:color w:val="auto"/>
        </w:rPr>
      </w:pP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24" w:lineRule="exact"/>
        <w:rPr>
          <w:sz w:val="24"/>
          <w:szCs w:val="24"/>
          <w:color w:val="auto"/>
        </w:rPr>
      </w:pPr>
    </w:p>
    <w:p>
      <w:pPr>
        <w:ind w:left="10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4">
            <w:col w:w="2840" w:space="80"/>
            <w:col w:w="180" w:space="380"/>
            <w:col w:w="2900" w:space="180"/>
            <w:col w:w="4860"/>
          </w:cols>
          <w:pgMar w:left="240" w:top="818" w:right="239" w:bottom="1440" w:gutter="0" w:footer="0" w:header="0"/>
          <w:type w:val="continuous"/>
        </w:sectPr>
      </w:pPr>
    </w:p>
    <w:p>
      <w:pPr>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29, 2018, was $3,959,298,983.</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2019, there were 51,519,442 shares of ALLETE Common Stock, without par value, outstanding.</w:t>
      </w:r>
    </w:p>
    <w:p>
      <w:pPr>
        <w:spacing w:after="0" w:line="163"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2019 Annual Meeting of Shareholders are incorporated by reference in Part III.</w:t>
      </w:r>
    </w:p>
    <w:p>
      <w:pPr>
        <w:sectPr>
          <w:pgSz w:w="11900" w:h="16838" w:orient="portrait"/>
          <w:cols w:equalWidth="0" w:num="1">
            <w:col w:w="11420"/>
          </w:cols>
          <w:pgMar w:left="240" w:top="81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40" w:type="dxa"/>
            <w:vAlign w:val="bottom"/>
            <w:gridSpan w:val="49"/>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Definitions</w:t>
              </w:r>
            </w:hyperlink>
          </w:p>
        </w:tc>
        <w:tc>
          <w:tcPr>
            <w:tcW w:w="1120" w:type="dxa"/>
            <w:vAlign w:val="bottom"/>
            <w:gridSpan w:val="3"/>
            <w:shd w:val="clear" w:color="auto" w:fill="CCEEFF"/>
          </w:tcPr>
          <w:p>
            <w:pPr>
              <w:ind w:left="94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040" w:type="dxa"/>
            <w:vAlign w:val="bottom"/>
            <w:gridSpan w:val="49"/>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9040" w:type="dxa"/>
            <w:vAlign w:val="bottom"/>
            <w:gridSpan w:val="49"/>
            <w:shd w:val="clear" w:color="auto" w:fill="CCEEFF"/>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Part I</w:t>
              </w:r>
            </w:hyperlink>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 1. Business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14"/>
            <w:shd w:val="clear" w:color="auto" w:fill="CCEEFF"/>
          </w:tcPr>
          <w:p>
            <w:pPr>
              <w:spacing w:after="0" w:line="202"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Regulated Operations</w:t>
              </w:r>
            </w:hyperlink>
          </w:p>
        </w:tc>
        <w:tc>
          <w:tcPr>
            <w:tcW w:w="6400" w:type="dxa"/>
            <w:vAlign w:val="bottom"/>
            <w:gridSpan w:val="30"/>
            <w:shd w:val="clear" w:color="auto" w:fill="CCEEFF"/>
          </w:tcPr>
          <w:p>
            <w:pPr>
              <w:spacing w:after="0"/>
              <w:rPr>
                <w:sz w:val="17"/>
                <w:szCs w:val="17"/>
                <w:color w:val="auto"/>
              </w:rPr>
            </w:pPr>
          </w:p>
        </w:tc>
        <w:tc>
          <w:tcPr>
            <w:tcW w:w="112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Electric Sales / Customers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Seasonality</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Power Supply</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Transmission and Distribution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Investment in ATC</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Regulatory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Regional Organizations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Minnesota Legislation</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Competition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Franchises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00" w:type="dxa"/>
            <w:vAlign w:val="bottom"/>
            <w:gridSpan w:val="37"/>
            <w:shd w:val="clear" w:color="auto" w:fill="CCEEFF"/>
          </w:tcPr>
          <w:p>
            <w:pP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Energy Infrastructure and Related Services</w:t>
              </w:r>
            </w:hyperlink>
          </w:p>
        </w:tc>
        <w:tc>
          <w:tcPr>
            <w:tcW w:w="4860" w:type="dxa"/>
            <w:vAlign w:val="bottom"/>
            <w:gridSpan w:val="7"/>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gridSpan w:val="37"/>
          </w:tcPr>
          <w:p>
            <w:pPr>
              <w:ind w:left="2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ALLETE Clean Energy</w:t>
              </w:r>
            </w:hyperlink>
          </w:p>
        </w:tc>
        <w:tc>
          <w:tcPr>
            <w:tcW w:w="4860" w:type="dxa"/>
            <w:vAlign w:val="bottom"/>
            <w:gridSpan w:val="7"/>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U.S. Water Services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Corporate and Other</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BNI Energy</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Investment in Nobles 2</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ALLETE Properties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Non-Rate Base Generation and Miscellaneous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gridSpan w:val="18"/>
            <w:shd w:val="clear" w:color="auto" w:fill="CCEEFF"/>
          </w:tcPr>
          <w:p>
            <w:pPr>
              <w:spacing w:after="0" w:line="202"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Environmental Matters</w:t>
              </w:r>
            </w:hyperlink>
          </w:p>
        </w:tc>
        <w:tc>
          <w:tcPr>
            <w:tcW w:w="6300" w:type="dxa"/>
            <w:vAlign w:val="bottom"/>
            <w:gridSpan w:val="26"/>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18"/>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Employees</w:t>
              </w:r>
            </w:hyperlink>
          </w:p>
        </w:tc>
        <w:tc>
          <w:tcPr>
            <w:tcW w:w="6300" w:type="dxa"/>
            <w:vAlign w:val="bottom"/>
            <w:gridSpan w:val="26"/>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Availability of Information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Registrant</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1B. Unresolved Staff Comments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12"/>
            <w:shd w:val="clear" w:color="auto" w:fill="CCEEFF"/>
          </w:tcPr>
          <w:p>
            <w:pPr>
              <w:spacing w:after="0" w:line="202"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Item 2. Properties</w:t>
              </w:r>
            </w:hyperlink>
          </w:p>
        </w:tc>
        <w:tc>
          <w:tcPr>
            <w:tcW w:w="6680" w:type="dxa"/>
            <w:vAlign w:val="bottom"/>
            <w:gridSpan w:val="32"/>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 Legal Proceedings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20" w:type="dxa"/>
            <w:vAlign w:val="bottom"/>
            <w:gridSpan w:val="30"/>
            <w:shd w:val="clear" w:color="auto" w:fill="CCEEFF"/>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 Mine Safety Disclosures</w:t>
              </w:r>
            </w:hyperlink>
          </w:p>
        </w:tc>
        <w:tc>
          <w:tcPr>
            <w:tcW w:w="5640" w:type="dxa"/>
            <w:vAlign w:val="bottom"/>
            <w:gridSpan w:val="14"/>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5"/>
            <w:vMerge w:val="restart"/>
          </w:tcPr>
          <w:p>
            <w:pPr>
              <w:ind w:left="40"/>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2320" w:type="dxa"/>
            <w:vAlign w:val="bottom"/>
            <w:gridSpan w:val="30"/>
            <w:vMerge w:val="restart"/>
          </w:tcPr>
          <w:p>
            <w:pPr>
              <w:spacing w:after="0"/>
              <w:rPr>
                <w:sz w:val="17"/>
                <w:szCs w:val="17"/>
                <w:color w:val="auto"/>
              </w:rPr>
            </w:pPr>
          </w:p>
        </w:tc>
        <w:tc>
          <w:tcPr>
            <w:tcW w:w="5640" w:type="dxa"/>
            <w:vAlign w:val="bottom"/>
            <w:gridSpan w:val="14"/>
            <w:vMerge w:val="restart"/>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196"/>
        </w:trPr>
        <w:tc>
          <w:tcPr>
            <w:tcW w:w="1080" w:type="dxa"/>
            <w:vAlign w:val="bottom"/>
            <w:gridSpan w:val="5"/>
            <w:vMerge w:val="continue"/>
          </w:tcPr>
          <w:p>
            <w:pPr>
              <w:spacing w:after="0"/>
              <w:rPr>
                <w:sz w:val="17"/>
                <w:szCs w:val="17"/>
                <w:color w:val="auto"/>
              </w:rPr>
            </w:pPr>
          </w:p>
        </w:tc>
        <w:tc>
          <w:tcPr>
            <w:tcW w:w="2320" w:type="dxa"/>
            <w:vAlign w:val="bottom"/>
            <w:gridSpan w:val="30"/>
            <w:vMerge w:val="continue"/>
          </w:tcPr>
          <w:p>
            <w:pPr>
              <w:spacing w:after="0"/>
              <w:rPr>
                <w:sz w:val="17"/>
                <w:szCs w:val="17"/>
                <w:color w:val="auto"/>
              </w:rPr>
            </w:pPr>
          </w:p>
        </w:tc>
        <w:tc>
          <w:tcPr>
            <w:tcW w:w="5640" w:type="dxa"/>
            <w:vAlign w:val="bottom"/>
            <w:gridSpan w:val="14"/>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42"/>
            <w:shd w:val="clear" w:color="auto" w:fill="CCEEFF"/>
          </w:tcPr>
          <w:p>
            <w:pPr>
              <w:spacing w:after="0" w:line="202"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5. Market for Registrant’s Common Equity, Related Stockholder Matters and</w:t>
              </w:r>
            </w:hyperlink>
          </w:p>
        </w:tc>
        <w:tc>
          <w:tcPr>
            <w:tcW w:w="204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Issuer Purchases of Equity Securities</w:t>
              </w:r>
            </w:hyperlink>
          </w:p>
        </w:tc>
        <w:tc>
          <w:tcPr>
            <w:tcW w:w="2380" w:type="dxa"/>
            <w:vAlign w:val="bottom"/>
            <w:gridSpan w:val="4"/>
            <w:shd w:val="clear" w:color="auto" w:fill="CCEEFF"/>
          </w:tcPr>
          <w:p>
            <w:pPr>
              <w:ind w:left="9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6. Selected Financial Data</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7. Management’s Discussion and Analysis of Financial Condition and Results of Operations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0" w:type="dxa"/>
            <w:vAlign w:val="bottom"/>
            <w:gridSpan w:val="43"/>
          </w:tcPr>
          <w:p>
            <w:pPr>
              <w:ind w:left="2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Overview</w:t>
              </w:r>
            </w:hyperlink>
          </w:p>
        </w:tc>
        <w:tc>
          <w:tcPr>
            <w:tcW w:w="960" w:type="dxa"/>
            <w:vAlign w:val="bottom"/>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2018 Compared to 2017</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2017 Compared to 2016</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Critical Accounting Policies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Outlook</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Liquidity and Capital Resources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Capital Requirements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Environmental and Other Matters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ind w:left="2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Market Risk</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ind w:left="2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Recently Adopted Accounting Standards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4"/>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7A. Quantitative and Qualitative Disclosures about Market Risk</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4"/>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8. Financial Statements and Supplementary Data</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2" w:right="239" w:bottom="112"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shd w:val="clear" w:color="auto" w:fill="CCEEFF"/>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9. Changes in and Disagreements with Accountants on Accounting and Financial Disclosure</w:t>
              </w:r>
            </w:hyperlink>
          </w:p>
        </w:tc>
        <w:tc>
          <w:tcPr>
            <w:tcW w:w="1200" w:type="dxa"/>
            <w:vAlign w:val="bottom"/>
            <w:gridSpan w:val="3"/>
            <w:shd w:val="clear" w:color="auto" w:fill="CCEEFF"/>
          </w:tcPr>
          <w:p>
            <w:pPr>
              <w:ind w:left="94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3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9A. Controls and Procedures</w:t>
              </w:r>
            </w:hyperlink>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9B. Other Information</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Part III</w:t>
              </w:r>
            </w:hyperlink>
          </w:p>
        </w:tc>
        <w:tc>
          <w:tcPr>
            <w:tcW w:w="6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740" w:type="dxa"/>
            <w:vAlign w:val="bottom"/>
            <w:gridSpan w:val="29"/>
            <w:shd w:val="clear" w:color="auto" w:fill="CCEEFF"/>
          </w:tcPr>
          <w:p>
            <w:pPr>
              <w:spacing w:after="0" w:line="20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10. Directors, Executive Officers and Corporate Governance</w:t>
              </w:r>
            </w:hyperlink>
          </w:p>
        </w:tc>
        <w:tc>
          <w:tcPr>
            <w:tcW w:w="3220" w:type="dxa"/>
            <w:vAlign w:val="bottom"/>
            <w:gridSpan w:val="5"/>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spacing w:after="0" w:line="202"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Item 11.</w:t>
              </w:r>
            </w:hyperlink>
          </w:p>
        </w:tc>
        <w:tc>
          <w:tcPr>
            <w:tcW w:w="4120" w:type="dxa"/>
            <w:vAlign w:val="bottom"/>
            <w:gridSpan w:val="27"/>
          </w:tcPr>
          <w:p>
            <w:pPr>
              <w:ind w:lef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3220" w:type="dxa"/>
            <w:vAlign w:val="bottom"/>
            <w:gridSpan w:val="5"/>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12. Security Ownership of Certain Beneficial Owners and Management and</w:t>
              </w:r>
            </w:hyperlink>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0000EE"/>
            </w:tcBorders>
            <w:gridSpan w:val="30"/>
            <w:shd w:val="clear" w:color="auto" w:fill="CCEEFF"/>
          </w:tcPr>
          <w:p>
            <w:pPr>
              <w:ind w:left="24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Related Stockholder Matters</w:t>
              </w:r>
            </w:hyperlink>
          </w:p>
        </w:tc>
        <w:tc>
          <w:tcPr>
            <w:tcW w:w="2140" w:type="dxa"/>
            <w:vAlign w:val="bottom"/>
            <w:tcBorders>
              <w:top w:val="single" w:sz="8" w:color="CCEEFF"/>
            </w:tcBorders>
            <w:gridSpan w:val="4"/>
            <w:shd w:val="clear" w:color="auto" w:fill="CCEEFF"/>
          </w:tcPr>
          <w:p>
            <w:pPr>
              <w:spacing w:after="0"/>
              <w:rPr>
                <w:sz w:val="17"/>
                <w:szCs w:val="17"/>
                <w:color w:val="auto"/>
              </w:rPr>
            </w:pPr>
          </w:p>
        </w:tc>
        <w:tc>
          <w:tcPr>
            <w:tcW w:w="1200" w:type="dxa"/>
            <w:vAlign w:val="bottom"/>
            <w:tcBorders>
              <w:top w:val="single" w:sz="8" w:color="CCEEFF"/>
            </w:tcBorders>
            <w:gridSpan w:val="3"/>
            <w:shd w:val="clear" w:color="auto" w:fill="CCEEFF"/>
          </w:tcPr>
          <w:p>
            <w:pPr>
              <w:ind w:left="94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gridSpan w:val="34"/>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13. Certain Relationships and Related Transactions, and Director Independence</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14. Principal Accounting Fees and Services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Part IV</w:t>
              </w:r>
            </w:hyperlink>
          </w:p>
        </w:tc>
        <w:tc>
          <w:tcPr>
            <w:tcW w:w="6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0" w:type="dxa"/>
            <w:vAlign w:val="bottom"/>
            <w:gridSpan w:val="25"/>
            <w:shd w:val="clear" w:color="auto" w:fill="CCEEFF"/>
          </w:tcPr>
          <w:p>
            <w:pP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Item 15. Exhibits and Financial Statement Schedules</w:t>
              </w:r>
            </w:hyperlink>
          </w:p>
        </w:tc>
        <w:tc>
          <w:tcPr>
            <w:tcW w:w="4160" w:type="dxa"/>
            <w:vAlign w:val="bottom"/>
            <w:gridSpan w:val="9"/>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25"/>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Item 16. Form 10-K Summary</w:t>
              </w:r>
            </w:hyperlink>
          </w:p>
        </w:tc>
        <w:tc>
          <w:tcPr>
            <w:tcW w:w="4160" w:type="dxa"/>
            <w:vAlign w:val="bottom"/>
            <w:gridSpan w:val="9"/>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700" w:type="dxa"/>
            <w:vAlign w:val="bottom"/>
            <w:gridSpan w:val="7"/>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40" w:type="dxa"/>
            <w:vAlign w:val="bottom"/>
            <w:gridSpan w:val="39"/>
            <w:vMerge w:val="restart"/>
          </w:tcPr>
          <w:p>
            <w:pPr>
              <w:ind w:left="40"/>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40" w:type="dxa"/>
            <w:vAlign w:val="bottom"/>
            <w:gridSpan w:val="39"/>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9040" w:type="dxa"/>
            <w:vAlign w:val="bottom"/>
            <w:gridSpan w:val="39"/>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Financial Statements - Audited</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2020" w:type="dxa"/>
            <w:vAlign w:val="bottom"/>
            <w:tcBorders>
              <w:top w:val="single" w:sz="8" w:color="CCEEFF"/>
              <w:bottom w:val="single" w:sz="8" w:color="0000EE"/>
            </w:tcBorders>
            <w:gridSpan w:val="7"/>
            <w:shd w:val="clear" w:color="auto" w:fill="CCEEFF"/>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w:t>
              </w:r>
            </w:hyperlink>
          </w:p>
        </w:tc>
        <w:tc>
          <w:tcPr>
            <w:tcW w:w="5940" w:type="dxa"/>
            <w:vAlign w:val="bottom"/>
            <w:tcBorders>
              <w:top w:val="single" w:sz="8" w:color="CCEEFF"/>
              <w:bottom w:val="single" w:sz="8" w:color="CCEEFF"/>
            </w:tcBorders>
            <w:gridSpan w:val="27"/>
            <w:shd w:val="clear" w:color="auto" w:fill="CCEEFF"/>
          </w:tcPr>
          <w:p>
            <w:pPr>
              <w:spacing w:after="0"/>
              <w:rPr>
                <w:sz w:val="24"/>
                <w:szCs w:val="24"/>
                <w:color w:val="auto"/>
              </w:rPr>
            </w:pPr>
          </w:p>
        </w:tc>
        <w:tc>
          <w:tcPr>
            <w:tcW w:w="9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0000EE"/>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gridSpan w:val="34"/>
            <w:vMerge w:val="restart"/>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 of Income</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gridSpan w:val="34"/>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vMerge w:val="restart"/>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 of Comprehensive Income</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7960" w:type="dxa"/>
            <w:vAlign w:val="bottom"/>
            <w:tcBorders>
              <w:top w:val="single" w:sz="8" w:color="CCEEFF"/>
            </w:tcBorders>
            <w:gridSpan w:val="34"/>
            <w:vMerge w:val="continue"/>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660" w:type="dxa"/>
            <w:vAlign w:val="bottom"/>
            <w:tcBorders>
              <w:top w:val="single" w:sz="8" w:color="0000EE"/>
            </w:tcBorders>
            <w:gridSpan w:val="23"/>
            <w:vMerge w:val="restart"/>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 of Cash Flows</w:t>
              </w:r>
            </w:hyperlink>
          </w:p>
        </w:tc>
        <w:tc>
          <w:tcPr>
            <w:tcW w:w="4300" w:type="dxa"/>
            <w:vAlign w:val="bottom"/>
            <w:tcBorders>
              <w:top w:val="single" w:sz="8" w:color="CCEEFF"/>
            </w:tcBorders>
            <w:gridSpan w:val="11"/>
            <w:vMerge w:val="restart"/>
          </w:tcPr>
          <w:p>
            <w:pPr>
              <w:spacing w:after="0"/>
              <w:rPr>
                <w:sz w:val="17"/>
                <w:szCs w:val="17"/>
                <w:color w:val="auto"/>
              </w:rPr>
            </w:pPr>
          </w:p>
        </w:tc>
        <w:tc>
          <w:tcPr>
            <w:tcW w:w="1200" w:type="dxa"/>
            <w:vAlign w:val="bottom"/>
            <w:tcBorders>
              <w:top w:val="single" w:sz="8" w:color="CCEEFF"/>
            </w:tcBorders>
            <w:gridSpan w:val="3"/>
          </w:tcPr>
          <w:p>
            <w:pPr>
              <w:ind w:left="9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c>
          <w:tcPr>
            <w:tcW w:w="1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top w:val="single" w:sz="8" w:color="0000EE"/>
            </w:tcBorders>
            <w:gridSpan w:val="23"/>
            <w:vMerge w:val="continue"/>
          </w:tcPr>
          <w:p>
            <w:pPr>
              <w:spacing w:after="0"/>
              <w:rPr>
                <w:sz w:val="17"/>
                <w:szCs w:val="17"/>
                <w:color w:val="auto"/>
              </w:rPr>
            </w:pPr>
          </w:p>
        </w:tc>
        <w:tc>
          <w:tcPr>
            <w:tcW w:w="4300" w:type="dxa"/>
            <w:vAlign w:val="bottom"/>
            <w:tcBorders>
              <w:top w:val="single" w:sz="8" w:color="CCEEFF"/>
            </w:tcBorders>
            <w:gridSpan w:val="11"/>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960" w:type="dxa"/>
            <w:vAlign w:val="bottom"/>
            <w:gridSpan w:val="34"/>
            <w:vMerge w:val="restart"/>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 of Equity</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960" w:type="dxa"/>
            <w:vAlign w:val="bottom"/>
            <w:tcBorders>
              <w:top w:val="single" w:sz="8" w:color="CCEEFF"/>
            </w:tcBorders>
            <w:gridSpan w:val="34"/>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gridSpan w:val="34"/>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gridSpan w:val="34"/>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77">
              <w:r>
                <w:rPr>
                  <w:rFonts w:ascii="Arial" w:cs="Arial" w:eastAsia="Arial" w:hAnsi="Arial"/>
                  <w:sz w:val="18"/>
                  <w:szCs w:val="18"/>
                  <w:color w:val="0000EE"/>
                </w:rPr>
                <w:t>1. Operations and Significant Accounting Policies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2. Property, Plant and Equipment</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3. Jointly-Owned Facilities and Projects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4. Regulatory Matters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96">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5. Equity Investments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97">
              <w:r>
                <w:rPr>
                  <w:rFonts w:ascii="Arial" w:cs="Arial" w:eastAsia="Arial" w:hAnsi="Arial"/>
                  <w:sz w:val="18"/>
                  <w:szCs w:val="18"/>
                  <w:color w:val="0000EE"/>
                </w:rPr>
                <w:t>6. Acquisitions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7. Goodwill and Intangible Assets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99">
              <w:r>
                <w:rPr>
                  <w:rFonts w:ascii="Arial" w:cs="Arial" w:eastAsia="Arial" w:hAnsi="Arial"/>
                  <w:sz w:val="18"/>
                  <w:szCs w:val="18"/>
                  <w:color w:val="0000EE"/>
                </w:rPr>
                <w:t>8. Investments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9. Fair Value</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103">
              <w:r>
                <w:rPr>
                  <w:rFonts w:ascii="Arial" w:cs="Arial" w:eastAsia="Arial" w:hAnsi="Arial"/>
                  <w:sz w:val="18"/>
                  <w:szCs w:val="18"/>
                  <w:color w:val="0000EE"/>
                </w:rPr>
                <w:t>10. Short-Term and Long-Term Debt</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102</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11. Commitments, Guarantees and Contingencies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113">
              <w:r>
                <w:rPr>
                  <w:rFonts w:ascii="Arial" w:cs="Arial" w:eastAsia="Arial" w:hAnsi="Arial"/>
                  <w:sz w:val="18"/>
                  <w:szCs w:val="18"/>
                  <w:color w:val="0000EE"/>
                </w:rPr>
                <w:t>12. Common Stock and Earnings Per Share</w:t>
              </w:r>
            </w:hyperlink>
          </w:p>
        </w:tc>
        <w:tc>
          <w:tcPr>
            <w:tcW w:w="1200" w:type="dxa"/>
            <w:vAlign w:val="bottom"/>
            <w:gridSpan w:val="3"/>
          </w:tcPr>
          <w:p>
            <w:pPr>
              <w:ind w:left="940"/>
              <w:spacing w:after="0" w:line="202"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112</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40"/>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Note</w:t>
              </w:r>
            </w:hyperlink>
          </w:p>
        </w:tc>
        <w:tc>
          <w:tcPr>
            <w:tcW w:w="7340" w:type="dxa"/>
            <w:vAlign w:val="bottom"/>
            <w:gridSpan w:val="32"/>
            <w:vMerge w:val="restart"/>
            <w:shd w:val="clear" w:color="auto" w:fill="CCEEFF"/>
          </w:tcPr>
          <w:p>
            <w:pPr>
              <w:ind w:left="20"/>
              <w:spacing w:after="0"/>
              <w:rPr>
                <w:rFonts w:ascii="Arial" w:cs="Arial" w:eastAsia="Arial" w:hAnsi="Arial"/>
                <w:sz w:val="18"/>
                <w:szCs w:val="18"/>
                <w:color w:val="0000EE"/>
              </w:rPr>
            </w:pPr>
            <w:hyperlink w:anchor="page114">
              <w:r>
                <w:rPr>
                  <w:rFonts w:ascii="Arial" w:cs="Arial" w:eastAsia="Arial" w:hAnsi="Arial"/>
                  <w:sz w:val="18"/>
                  <w:szCs w:val="18"/>
                  <w:color w:val="0000EE"/>
                </w:rPr>
                <w:t>13. Income Tax Expense</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113</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vMerge w:val="continue"/>
            <w:shd w:val="clear" w:color="auto" w:fill="CCEEFF"/>
          </w:tcPr>
          <w:p>
            <w:pPr>
              <w:spacing w:after="0"/>
              <w:rPr>
                <w:sz w:val="17"/>
                <w:szCs w:val="17"/>
                <w:color w:val="auto"/>
              </w:rPr>
            </w:pPr>
          </w:p>
        </w:tc>
        <w:tc>
          <w:tcPr>
            <w:tcW w:w="7340" w:type="dxa"/>
            <w:vAlign w:val="bottom"/>
            <w:tcBorders>
              <w:top w:val="single" w:sz="8" w:color="CCEEFF"/>
            </w:tcBorders>
            <w:gridSpan w:val="32"/>
            <w:vMerge w:val="continue"/>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restart"/>
          </w:tcPr>
          <w:p>
            <w:pPr>
              <w:ind w:left="240"/>
              <w:spacing w:after="0"/>
              <w:rPr>
                <w:rFonts w:ascii="Arial" w:cs="Arial" w:eastAsia="Arial" w:hAnsi="Arial"/>
                <w:sz w:val="18"/>
                <w:szCs w:val="18"/>
                <w:color w:val="0000EE"/>
                <w:w w:val="94"/>
              </w:rPr>
            </w:pPr>
            <w:hyperlink w:anchor="page117">
              <w:r>
                <w:rPr>
                  <w:rFonts w:ascii="Arial" w:cs="Arial" w:eastAsia="Arial" w:hAnsi="Arial"/>
                  <w:sz w:val="18"/>
                  <w:szCs w:val="18"/>
                  <w:color w:val="0000EE"/>
                  <w:w w:val="94"/>
                </w:rPr>
                <w:t>Note</w:t>
              </w:r>
            </w:hyperlink>
          </w:p>
        </w:tc>
        <w:tc>
          <w:tcPr>
            <w:tcW w:w="7340" w:type="dxa"/>
            <w:vAlign w:val="bottom"/>
            <w:gridSpan w:val="32"/>
            <w:vMerge w:val="restart"/>
          </w:tcPr>
          <w:p>
            <w:pPr>
              <w:ind w:left="20"/>
              <w:spacing w:after="0"/>
              <w:rPr>
                <w:rFonts w:ascii="Arial" w:cs="Arial" w:eastAsia="Arial" w:hAnsi="Arial"/>
                <w:sz w:val="18"/>
                <w:szCs w:val="18"/>
                <w:color w:val="0000EE"/>
              </w:rPr>
            </w:pPr>
            <w:hyperlink w:anchor="page117">
              <w:r>
                <w:rPr>
                  <w:rFonts w:ascii="Arial" w:cs="Arial" w:eastAsia="Arial" w:hAnsi="Arial"/>
                  <w:sz w:val="18"/>
                  <w:szCs w:val="18"/>
                  <w:color w:val="0000EE"/>
                </w:rPr>
                <w:t>14. Reclassifications Out of Accumulated Other Comprehensive Income (Loss)</w:t>
              </w:r>
            </w:hyperlink>
          </w:p>
        </w:tc>
        <w:tc>
          <w:tcPr>
            <w:tcW w:w="1200" w:type="dxa"/>
            <w:vAlign w:val="bottom"/>
            <w:gridSpan w:val="3"/>
          </w:tcPr>
          <w:p>
            <w:pPr>
              <w:ind w:left="940"/>
              <w:spacing w:after="0" w:line="202" w:lineRule="exact"/>
              <w:rPr>
                <w:rFonts w:ascii="Arial" w:cs="Arial" w:eastAsia="Arial" w:hAnsi="Arial"/>
                <w:sz w:val="18"/>
                <w:szCs w:val="18"/>
                <w:color w:val="0000EE"/>
                <w:w w:val="79"/>
              </w:rPr>
            </w:pPr>
            <w:hyperlink w:anchor="page117">
              <w:r>
                <w:rPr>
                  <w:rFonts w:ascii="Arial" w:cs="Arial" w:eastAsia="Arial" w:hAnsi="Arial"/>
                  <w:sz w:val="18"/>
                  <w:szCs w:val="18"/>
                  <w:color w:val="0000EE"/>
                  <w:w w:val="79"/>
                </w:rPr>
                <w:t>116</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340" w:type="dxa"/>
            <w:vAlign w:val="bottom"/>
            <w:gridSpan w:val="3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117">
              <w:r>
                <w:rPr>
                  <w:rFonts w:ascii="Arial" w:cs="Arial" w:eastAsia="Arial" w:hAnsi="Arial"/>
                  <w:sz w:val="18"/>
                  <w:szCs w:val="18"/>
                  <w:color w:val="0000EE"/>
                  <w:w w:val="94"/>
                </w:rPr>
                <w:t>Note</w:t>
              </w:r>
            </w:hyperlink>
          </w:p>
        </w:tc>
        <w:tc>
          <w:tcPr>
            <w:tcW w:w="734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117">
              <w:r>
                <w:rPr>
                  <w:rFonts w:ascii="Arial" w:cs="Arial" w:eastAsia="Arial" w:hAnsi="Arial"/>
                  <w:sz w:val="18"/>
                  <w:szCs w:val="18"/>
                  <w:color w:val="0000EE"/>
                </w:rPr>
                <w:t>15. Pension and Other Postretirement Benefit Plans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w w:val="79"/>
              </w:rPr>
            </w:pPr>
            <w:hyperlink w:anchor="page117">
              <w:r>
                <w:rPr>
                  <w:rFonts w:ascii="Arial" w:cs="Arial" w:eastAsia="Arial" w:hAnsi="Arial"/>
                  <w:sz w:val="18"/>
                  <w:szCs w:val="18"/>
                  <w:color w:val="0000EE"/>
                  <w:w w:val="79"/>
                </w:rPr>
                <w:t>116</w:t>
              </w:r>
            </w:hyperlink>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EE"/>
            </w:tcBorders>
            <w:shd w:val="clear" w:color="auto" w:fill="CCEEFF"/>
          </w:tcPr>
          <w:p>
            <w:pPr>
              <w:spacing w:after="0"/>
              <w:rPr>
                <w:sz w:val="13"/>
                <w:szCs w:val="13"/>
                <w:color w:val="auto"/>
              </w:rPr>
            </w:pPr>
          </w:p>
        </w:tc>
        <w:tc>
          <w:tcPr>
            <w:tcW w:w="940" w:type="dxa"/>
            <w:vAlign w:val="bottom"/>
            <w:tcBorders>
              <w:top w:val="single" w:sz="8" w:color="0000EE"/>
            </w:tcBorders>
            <w:shd w:val="clear" w:color="auto" w:fill="CCEEFF"/>
          </w:tcPr>
          <w:p>
            <w:pPr>
              <w:spacing w:after="0"/>
              <w:rPr>
                <w:sz w:val="13"/>
                <w:szCs w:val="13"/>
                <w:color w:val="auto"/>
              </w:rPr>
            </w:pPr>
          </w:p>
        </w:tc>
        <w:tc>
          <w:tcPr>
            <w:tcW w:w="12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12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40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02" w:right="239" w:bottom="0" w:gutter="0" w:footer="0" w:header="0"/>
        </w:sectPr>
      </w:pPr>
    </w:p>
    <w:bookmarkStart w:id="3" w:name="page4"/>
    <w:bookmarkEnd w:id="3"/>
    <w:p>
      <w:pPr>
        <w:jc w:val="right"/>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hyperlink w:anchor="page126">
        <w:r>
          <w:rPr>
            <w:rFonts w:ascii="Arial" w:cs="Arial" w:eastAsia="Arial" w:hAnsi="Arial"/>
            <w:sz w:val="18"/>
            <w:szCs w:val="18"/>
            <w:u w:val="single" w:color="auto"/>
            <w:color w:val="0000EE"/>
          </w:rPr>
          <w:t>125</w:t>
        </w:r>
      </w:hyperlink>
    </w:p>
    <w:p>
      <w:pPr>
        <w:spacing w:after="0" w:line="23" w:lineRule="exact"/>
        <w:rPr>
          <w:sz w:val="20"/>
          <w:szCs w:val="20"/>
          <w:color w:val="auto"/>
        </w:rPr>
      </w:pPr>
    </w:p>
    <w:p>
      <w:pPr>
        <w:ind w:left="128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Note 16. Employee Stock and Incentive Plans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127</w:t>
        </w:r>
      </w:hyperlink>
    </w:p>
    <w:p>
      <w:pPr>
        <w:spacing w:after="0" w:line="23" w:lineRule="exact"/>
        <w:rPr>
          <w:sz w:val="20"/>
          <w:szCs w:val="20"/>
          <w:color w:val="auto"/>
        </w:rPr>
      </w:pPr>
    </w:p>
    <w:p>
      <w:pPr>
        <w:ind w:left="128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Note 17. Business Segments</w:t>
        </w:r>
      </w:hyperlink>
    </w:p>
    <w:p>
      <w:pPr>
        <w:spacing w:after="0" w:line="49" w:lineRule="exact"/>
        <w:rPr>
          <w:sz w:val="20"/>
          <w:szCs w:val="20"/>
          <w:color w:val="auto"/>
        </w:rPr>
      </w:pPr>
    </w:p>
    <w:p>
      <w:pPr>
        <w:jc w:val="right"/>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130</w:t>
        </w:r>
      </w:hyperlink>
    </w:p>
    <w:p>
      <w:pPr>
        <w:spacing w:after="0" w:line="23" w:lineRule="exact"/>
        <w:rPr>
          <w:sz w:val="20"/>
          <w:szCs w:val="20"/>
          <w:color w:val="auto"/>
        </w:rPr>
      </w:pPr>
    </w:p>
    <w:p>
      <w:pPr>
        <w:ind w:left="128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Note 18. Quarterly Financial Data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right"/>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131</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Schedule II</w:t>
        </w:r>
      </w:hyperlink>
    </w:p>
    <w:p>
      <w:pPr>
        <w:spacing w:after="0" w:line="200" w:lineRule="exact"/>
        <w:rPr>
          <w:sz w:val="20"/>
          <w:szCs w:val="20"/>
          <w:color w:val="auto"/>
        </w:rPr>
      </w:pPr>
    </w:p>
    <w:p>
      <w:pPr>
        <w:spacing w:after="0" w:line="28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00"/>
          </w:cols>
          <w:pgMar w:left="280" w:top="395"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South Wind</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ArcelorMittal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ArcelorMittal USA,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ASC</w:t>
            </w:r>
          </w:p>
        </w:tc>
        <w:tc>
          <w:tcPr>
            <w:tcW w:w="8180" w:type="dxa"/>
            <w:vAlign w:val="bottom"/>
            <w:gridSpan w:val="2"/>
          </w:tcPr>
          <w:p>
            <w:pPr>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gridSpan w:val="2"/>
          </w:tcPr>
          <w:p>
            <w:pPr>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Energy-Intensive Trade-Exposed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ERP Iron Ore,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8-K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Current Report on Form 8-K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MBtu</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Million British thermal units</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920"/>
              <w:spacing w:after="0"/>
              <w:rPr>
                <w:sz w:val="20"/>
                <w:szCs w:val="20"/>
                <w:color w:val="auto"/>
              </w:rPr>
            </w:pPr>
            <w:r>
              <w:rPr>
                <w:rFonts w:ascii="Arial" w:cs="Arial" w:eastAsia="Arial" w:hAnsi="Arial"/>
                <w:sz w:val="18"/>
                <w:szCs w:val="18"/>
                <w:color w:val="auto"/>
              </w:rPr>
              <w:t>ALLETE, Inc. 2018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0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8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Definitions (continued)</w:t>
            </w:r>
          </w:p>
        </w:tc>
      </w:tr>
      <w:tr>
        <w:trPr>
          <w:trHeight w:val="419"/>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Metallics Company,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1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Nobles 2</w:t>
            </w:r>
          </w:p>
        </w:tc>
        <w:tc>
          <w:tcPr>
            <w:tcW w:w="818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NTEC</w:t>
            </w:r>
          </w:p>
        </w:tc>
        <w:tc>
          <w:tcPr>
            <w:tcW w:w="81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NYSE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York Stock Exchange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S&amp;P Global Ratings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Standard and Poor’s Global Ratings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Shell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Shell Energy North America (US), L.P.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Ridge</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Ridge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TCJA</w:t>
            </w:r>
          </w:p>
        </w:tc>
        <w:tc>
          <w:tcPr>
            <w:tcW w:w="8180" w:type="dxa"/>
            <w:vAlign w:val="bottom"/>
            <w:gridSpan w:val="2"/>
          </w:tcPr>
          <w:p>
            <w:pPr>
              <w:spacing w:after="0"/>
              <w:rPr>
                <w:sz w:val="20"/>
                <w:szCs w:val="20"/>
                <w:color w:val="auto"/>
              </w:rPr>
            </w:pPr>
            <w:r>
              <w:rPr>
                <w:rFonts w:ascii="Arial" w:cs="Arial" w:eastAsia="Arial" w:hAnsi="Arial"/>
                <w:sz w:val="18"/>
                <w:szCs w:val="18"/>
                <w:color w:val="auto"/>
              </w:rPr>
              <w:t>Tax Cuts and Jobs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Tonka Equipment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TransAlta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TransAlta Energy Marketing (U.S.)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445"/>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jc w:val="center"/>
              <w:ind w:right="3550"/>
              <w:spacing w:after="0"/>
              <w:rPr>
                <w:sz w:val="20"/>
                <w:szCs w:val="20"/>
                <w:color w:val="auto"/>
              </w:rPr>
            </w:pPr>
            <w:r>
              <w:rPr>
                <w:rFonts w:ascii="Arial" w:cs="Arial" w:eastAsia="Arial" w:hAnsi="Arial"/>
                <w:sz w:val="18"/>
                <w:szCs w:val="18"/>
                <w:color w:val="auto"/>
                <w:w w:val="95"/>
              </w:rPr>
              <w:t>ALLETE, Inc. 2018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jc w:val="center"/>
              <w:ind w:right="315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7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efforts to realize value from, invest in, and develop new opportunities in, our Energy Infrastructure and Related Services businesses;</w:t>
      </w:r>
    </w:p>
    <w:p>
      <w:pPr>
        <w:spacing w:after="0" w:line="20"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 and</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close the announced sale of U.S. Water Services, including the satisfaction of certain closing conditions, which cannot be assured to be completed.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2"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Forward 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545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ALLETE Properties, our legacy</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real estate investment, other business development and corporate 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2018,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 xml:space="preserve">Consolidated Operating Revenue – Millions </w:t>
            </w:r>
            <w:r>
              <w:rPr>
                <w:rFonts w:ascii="Arial" w:cs="Arial" w:eastAsia="Arial" w:hAnsi="Arial"/>
                <w:sz w:val="16"/>
                <w:szCs w:val="16"/>
                <w:i w:val="1"/>
                <w:iCs w:val="1"/>
                <w:color w:val="auto"/>
              </w:rPr>
              <w:t>(a)</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$1,498.6</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$1,419.3</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$1,339.7</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Percentage of Consolidated Operating Revenue</w:t>
            </w:r>
          </w:p>
        </w:tc>
        <w:tc>
          <w:tcPr>
            <w:tcW w:w="1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Regulated Operations</w:t>
            </w:r>
          </w:p>
        </w:tc>
        <w:tc>
          <w:tcPr>
            <w:tcW w:w="1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Water Services</w:t>
            </w:r>
          </w:p>
        </w:tc>
        <w:tc>
          <w:tcPr>
            <w:tcW w:w="1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9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0"/>
        </w:trPr>
        <w:tc>
          <w:tcPr>
            <w:tcW w:w="20" w:type="dxa"/>
            <w:vAlign w:val="bottom"/>
          </w:tcPr>
          <w:p>
            <w:pPr>
              <w:spacing w:after="0"/>
              <w:rPr>
                <w:sz w:val="17"/>
                <w:szCs w:val="17"/>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w w:val="99"/>
              </w:rPr>
              <w:t>(a)  Includes the sale of a wind energy facility to Montana-Dakota Utilities for $81.1 million in 2018.</w:t>
            </w:r>
          </w:p>
        </w:tc>
        <w:tc>
          <w:tcPr>
            <w:tcW w:w="14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bl>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17. Business Segments.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Regulated Utility Kilowatt-hours Sold</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1,140</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1,096</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1,102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8</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1,426</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1,420</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1,442</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7,261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7,327</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6,456</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45</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798</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799</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816</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r>
      <w:tr>
        <w:trPr>
          <w:trHeight w:val="237"/>
        </w:trPr>
        <w:tc>
          <w:tcPr>
            <w:tcW w:w="4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Retail and Municipal</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10,625</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73</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10,642</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72</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9,816</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69</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3,953</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4,039</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4,316</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Utility Kilowatt-hours Sold</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14,578</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14,681</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14,132</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2018, industrial customers represented 50 percent of total regulated utility kWh sales. Our industrial customers are primarily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taconite mining, iron concentrate, paper, pulp and secondary wood products, and pipeline industries.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Kilowatt-hours Sold</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Taconite/Iron Concentrate</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5,039</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4,930</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3,906</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Paper, Pulp and Secondary Wood Products</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987</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1,104</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1,303</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w:t>
            </w: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1,235</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1,293</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1,247</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Industrial Customer Kilowatt-hours Sold</w:t>
            </w: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7,261</w:t>
            </w: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7,327</w:t>
            </w: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6,456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Six taconite facilities served by Minnesota Power made up approximately 80 percent of 2017 iron ore pellet production in the U.S. according to data from the Minnesota Department of Revenue 2018 Mining Tax Guide. Sales to taconite customers and iron concentrate customers represented 5,039 million kWh, or 69 percent of total industrial customer kWh sales in 2018. Taconite, an iron</w:t>
      </w:r>
      <w:r>
        <w:rPr>
          <w:rFonts w:ascii="MS PGothic" w:cs="MS PGothic" w:eastAsia="MS PGothic" w:hAnsi="MS PGothic"/>
          <w:sz w:val="16"/>
          <w:szCs w:val="16"/>
          <w:color w:val="auto"/>
        </w:rPr>
        <w:t>‑</w:t>
      </w:r>
      <w:r>
        <w:rPr>
          <w:rFonts w:ascii="Arial" w:cs="Arial" w:eastAsia="Arial" w:hAnsi="Arial"/>
          <w:sz w:val="16"/>
          <w:szCs w:val="16"/>
          <w:color w:val="auto"/>
        </w:rPr>
        <w:t>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 Iron concentrate reclamation facilities also use large quantities of electricity to extract and process iron-bearing tailings left from previous mining operations in the production of iron ore concentrate.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Minnesota Power’s taconite customers are capable of producing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 Minnesota Power also has provided electric service to three iron concentrate facilities capable of producing up to approximately 4 million tons of iron concentrate per year. Iron concentrate is used in the production of taconite pellets. These facilities have been idled since at least 2016. On July 17, 2018, ERP Iron Ore announced it would no longer seek to restart its iron concentrate operations. (See Item 7. Management’s Discussion and Analysis – Outlook – Industrial Customers and Prospective Additional Load.)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78 percent of capacity in 2018 (74 percent in 2017 and 71 percent in 2016). The World Steel Association, an association of over 160 steel producers, national and regional steel industry associations, and steel research institutes representing approximately 85 percent of world steel production, projected U.S. steel consumption in 2019 will increase by approximately one percent compared to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152400</wp:posOffset>
            </wp:positionV>
            <wp:extent cx="4888230" cy="241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88230" cy="2418080"/>
                    </a:xfrm>
                    <a:prstGeom prst="rect">
                      <a:avLst/>
                    </a:prstGeom>
                    <a:noFill/>
                  </pic:spPr>
                </pic:pic>
              </a:graphicData>
            </a:graphic>
          </wp:anchor>
        </w:drawing>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760" w:type="dxa"/>
            <w:vAlign w:val="bottom"/>
          </w:tcPr>
          <w:p>
            <w:pPr>
              <w:ind w:left="112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9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2018</w:t>
            </w:r>
            <w:r>
              <w:rPr>
                <w:rFonts w:ascii="Arial" w:cs="Arial" w:eastAsia="Arial" w:hAnsi="Arial"/>
                <w:sz w:val="16"/>
                <w:szCs w:val="16"/>
                <w:color w:val="auto"/>
              </w:rPr>
              <w:t>*</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38</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2017</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38</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2016</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28</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2015</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31</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2014</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2013</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37</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2012</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43"/>
        </w:trPr>
        <w:tc>
          <w:tcPr>
            <w:tcW w:w="1760" w:type="dxa"/>
            <w:vAlign w:val="bottom"/>
          </w:tcPr>
          <w:p>
            <w:pPr>
              <w:ind w:left="1140"/>
              <w:spacing w:after="0"/>
              <w:rPr>
                <w:sz w:val="20"/>
                <w:szCs w:val="20"/>
                <w:color w:val="auto"/>
              </w:rPr>
            </w:pPr>
            <w:r>
              <w:rPr>
                <w:rFonts w:ascii="Arial" w:cs="Arial" w:eastAsia="Arial" w:hAnsi="Arial"/>
                <w:sz w:val="18"/>
                <w:szCs w:val="18"/>
                <w:color w:val="auto"/>
              </w:rPr>
              <w:t>2011</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39</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2010</w:t>
            </w:r>
          </w:p>
        </w:tc>
        <w:tc>
          <w:tcPr>
            <w:tcW w:w="5920" w:type="dxa"/>
            <w:vAlign w:val="bottom"/>
            <w:tcBorders>
              <w:bottom w:val="single" w:sz="8" w:color="CCEEFF"/>
            </w:tcBorders>
            <w:gridSpan w:val="3"/>
            <w:shd w:val="clear" w:color="auto" w:fill="CCEEFF"/>
          </w:tcPr>
          <w:p>
            <w:pPr>
              <w:jc w:val="center"/>
              <w:ind w:left="3290"/>
              <w:spacing w:after="0"/>
              <w:rPr>
                <w:sz w:val="20"/>
                <w:szCs w:val="20"/>
                <w:color w:val="auto"/>
              </w:rPr>
            </w:pPr>
            <w:r>
              <w:rPr>
                <w:rFonts w:ascii="Arial" w:cs="Arial" w:eastAsia="Arial" w:hAnsi="Arial"/>
                <w:sz w:val="18"/>
                <w:szCs w:val="18"/>
                <w:color w:val="auto"/>
                <w:w w:val="89"/>
              </w:rPr>
              <w:t>35</w:t>
            </w:r>
          </w:p>
        </w:tc>
      </w:tr>
      <w:tr>
        <w:trPr>
          <w:trHeight w:val="243"/>
        </w:trPr>
        <w:tc>
          <w:tcPr>
            <w:tcW w:w="1760" w:type="dxa"/>
            <w:vAlign w:val="bottom"/>
          </w:tcPr>
          <w:p>
            <w:pPr>
              <w:ind w:left="1120"/>
              <w:spacing w:after="0"/>
              <w:rPr>
                <w:sz w:val="20"/>
                <w:szCs w:val="20"/>
                <w:color w:val="auto"/>
              </w:rPr>
            </w:pPr>
            <w:r>
              <w:rPr>
                <w:rFonts w:ascii="Arial" w:cs="Arial" w:eastAsia="Arial" w:hAnsi="Arial"/>
                <w:sz w:val="18"/>
                <w:szCs w:val="18"/>
                <w:color w:val="auto"/>
              </w:rPr>
              <w:t>2009</w:t>
            </w:r>
          </w:p>
        </w:tc>
        <w:tc>
          <w:tcPr>
            <w:tcW w:w="5920" w:type="dxa"/>
            <w:vAlign w:val="bottom"/>
            <w:gridSpan w:val="3"/>
          </w:tcPr>
          <w:p>
            <w:pPr>
              <w:jc w:val="center"/>
              <w:ind w:left="3290"/>
              <w:spacing w:after="0"/>
              <w:rPr>
                <w:sz w:val="20"/>
                <w:szCs w:val="20"/>
                <w:color w:val="auto"/>
              </w:rPr>
            </w:pPr>
            <w:r>
              <w:rPr>
                <w:rFonts w:ascii="Arial" w:cs="Arial" w:eastAsia="Arial" w:hAnsi="Arial"/>
                <w:sz w:val="18"/>
                <w:szCs w:val="18"/>
                <w:color w:val="auto"/>
                <w:w w:val="89"/>
              </w:rPr>
              <w:t>17</w:t>
            </w:r>
          </w:p>
        </w:tc>
      </w:tr>
    </w:tbl>
    <w:p>
      <w:pPr>
        <w:spacing w:after="0" w:line="58"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Source: Minnesota Department of Revenue 2018 Mining Tax Guide for years 2009 - 2017.</w:t>
      </w:r>
    </w:p>
    <w:p>
      <w:pPr>
        <w:spacing w:after="0" w:line="73"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serving the taconite industry, Minnesota Power serves a number of customers in the paper, pulp and secondary wood products industry, which represented 987 million kWh, or 14 percent of total industrial customer kWh sales in 2018. Minnesota Power also has agreements to provide steam for two of its paper and pulp customers for use in the customers’ operations. The four major paper and pulp mills we serve reported operating at lower levels in 2018 compared to 2017 resulting from the closure of the smaller of UPM Blandin’s two paper machines in the fourth quarter of 2017. (See Item 7. Management’s Discussion and Analysis of Financial Condition and Results of Operations – Outlook – Industrial Customers and Prospective Additional Load.)</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eight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six taconite facilities and four paper and pulp mills. Certain facilities have common ownership and are served under combined contracts.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minimize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Arial" w:cs="Arial" w:eastAsia="Arial" w:hAnsi="Arial"/>
          <w:sz w:val="16"/>
          <w:szCs w:val="16"/>
          <w:i w:val="1"/>
          <w:iCs w:val="1"/>
          <w:color w:val="auto"/>
        </w:rPr>
        <w:t>Regulatory Matters – Electric Rates</w:t>
      </w:r>
      <w:r>
        <w:rPr>
          <w:rFonts w:ascii="Arial" w:cs="Arial" w:eastAsia="Arial" w:hAnsi="Arial"/>
          <w:sz w:val="16"/>
          <w:szCs w:val="16"/>
          <w:color w:val="auto"/>
        </w:rPr>
        <w:t>.)</w:t>
      </w:r>
    </w:p>
    <w:p>
      <w:pPr>
        <w:spacing w:after="0" w:line="15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adjustment clause estimates. Minnesota Power’s taconite</w:t>
      </w:r>
      <w:r>
        <w:rPr>
          <w:rFonts w:ascii="MS PGothic" w:cs="MS PGothic" w:eastAsia="MS PGothic" w:hAnsi="MS PGothic"/>
          <w:sz w:val="18"/>
          <w:szCs w:val="18"/>
          <w:color w:val="auto"/>
        </w:rPr>
        <w:t>‑</w:t>
      </w:r>
      <w:r>
        <w:rPr>
          <w:rFonts w:ascii="Arial" w:cs="Arial" w:eastAsia="Arial" w:hAnsi="Arial"/>
          <w:sz w:val="18"/>
          <w:szCs w:val="18"/>
          <w:color w:val="auto"/>
        </w:rPr>
        <w:t>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60" w:type="dxa"/>
            <w:vAlign w:val="bottom"/>
          </w:tcPr>
          <w:p>
            <w:pPr>
              <w:ind w:left="90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Industry</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160" w:type="dxa"/>
            <w:vAlign w:val="bottom"/>
            <w:gridSpan w:val="2"/>
          </w:tcPr>
          <w:p>
            <w:pPr>
              <w:ind w:left="100"/>
              <w:spacing w:after="0"/>
              <w:rPr>
                <w:sz w:val="20"/>
                <w:szCs w:val="20"/>
                <w:color w:val="auto"/>
              </w:rPr>
            </w:pPr>
            <w:r>
              <w:rPr>
                <w:rFonts w:ascii="Arial" w:cs="Arial" w:eastAsia="Arial" w:hAnsi="Arial"/>
                <w:sz w:val="18"/>
                <w:szCs w:val="18"/>
                <w:b w:val="1"/>
                <w:bCs w:val="1"/>
                <w:color w:val="auto"/>
              </w:rPr>
              <w:t>Ownership</w:t>
            </w:r>
          </w:p>
        </w:tc>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ArcelorMittal – Minorca Mine</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ArcelorMittal S.A.</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2025</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600" w:type="dxa"/>
            <w:vAlign w:val="bottom"/>
          </w:tcPr>
          <w:p>
            <w:pPr>
              <w:ind w:left="100"/>
              <w:spacing w:after="0"/>
              <w:rPr>
                <w:sz w:val="20"/>
                <w:szCs w:val="20"/>
                <w:color w:val="auto"/>
              </w:rPr>
            </w:pPr>
            <w:r>
              <w:rPr>
                <w:rFonts w:ascii="Arial" w:cs="Arial" w:eastAsia="Arial" w:hAnsi="Arial"/>
                <w:sz w:val="18"/>
                <w:szCs w:val="18"/>
                <w:color w:val="auto"/>
                <w:w w:val="93"/>
              </w:rPr>
              <w:t>62.3%</w:t>
            </w:r>
          </w:p>
        </w:tc>
        <w:tc>
          <w:tcPr>
            <w:tcW w:w="2560" w:type="dxa"/>
            <w:vAlign w:val="bottom"/>
          </w:tcPr>
          <w:p>
            <w:pPr>
              <w:ind w:left="20"/>
              <w:spacing w:after="0"/>
              <w:rPr>
                <w:sz w:val="20"/>
                <w:szCs w:val="20"/>
                <w:color w:val="auto"/>
              </w:rPr>
            </w:pPr>
            <w:r>
              <w:rPr>
                <w:rFonts w:ascii="Arial" w:cs="Arial" w:eastAsia="Arial" w:hAnsi="Arial"/>
                <w:sz w:val="18"/>
                <w:szCs w:val="18"/>
                <w:color w:val="auto"/>
              </w:rPr>
              <w:t>ArcelorMittal S.A.</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2022</w:t>
            </w:r>
          </w:p>
        </w:tc>
      </w:t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23.0%</w:t>
            </w:r>
          </w:p>
        </w:tc>
        <w:tc>
          <w:tcPr>
            <w:tcW w:w="2560" w:type="dxa"/>
            <w:vAlign w:val="bottom"/>
          </w:tcPr>
          <w:p>
            <w:pPr>
              <w:ind w:left="20"/>
              <w:spacing w:after="0"/>
              <w:rPr>
                <w:sz w:val="20"/>
                <w:szCs w:val="20"/>
                <w:color w:val="auto"/>
              </w:rPr>
            </w:pPr>
            <w:r>
              <w:rPr>
                <w:rFonts w:ascii="Arial" w:cs="Arial" w:eastAsia="Arial" w:hAnsi="Arial"/>
                <w:sz w:val="18"/>
                <w:szCs w:val="18"/>
                <w:color w:val="auto"/>
              </w:rPr>
              <w:t>Cliffs</w:t>
            </w:r>
          </w:p>
        </w:tc>
        <w:tc>
          <w:tcPr>
            <w:tcW w:w="216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14.7%</w:t>
            </w:r>
          </w:p>
        </w:tc>
        <w:tc>
          <w:tcPr>
            <w:tcW w:w="2560" w:type="dxa"/>
            <w:vAlign w:val="bottom"/>
          </w:tcPr>
          <w:p>
            <w:pPr>
              <w:ind w:left="20"/>
              <w:spacing w:after="0"/>
              <w:rPr>
                <w:sz w:val="20"/>
                <w:szCs w:val="20"/>
                <w:color w:val="auto"/>
              </w:rPr>
            </w:pPr>
            <w:r>
              <w:rPr>
                <w:rFonts w:ascii="Arial" w:cs="Arial" w:eastAsia="Arial" w:hAnsi="Arial"/>
                <w:sz w:val="18"/>
                <w:szCs w:val="18"/>
                <w:color w:val="auto"/>
              </w:rPr>
              <w:t>USS Corporation</w:t>
            </w: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Eveleth, MN and Babbitt,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Cliffs</w:t>
            </w:r>
          </w:p>
        </w:tc>
        <w:tc>
          <w:tcPr>
            <w:tcW w:w="2560" w:type="dxa"/>
            <w:vAlign w:val="bottom"/>
            <w:shd w:val="clear" w:color="auto" w:fill="CCEEFF"/>
          </w:tcPr>
          <w:p>
            <w:pPr>
              <w:spacing w:after="0"/>
              <w:rPr>
                <w:sz w:val="19"/>
                <w:szCs w:val="19"/>
                <w:color w:val="auto"/>
              </w:rPr>
            </w:pPr>
          </w:p>
        </w:tc>
        <w:tc>
          <w:tcPr>
            <w:tcW w:w="21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December 31, 2026</w:t>
            </w: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14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6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Pr>
          <w:p>
            <w:pPr>
              <w:ind w:left="80"/>
              <w:spacing w:after="0"/>
              <w:rPr>
                <w:sz w:val="20"/>
                <w:szCs w:val="20"/>
                <w:color w:val="auto"/>
              </w:rPr>
            </w:pPr>
            <w:r>
              <w:rPr>
                <w:rFonts w:ascii="Arial" w:cs="Arial" w:eastAsia="Arial" w:hAnsi="Arial"/>
                <w:sz w:val="18"/>
                <w:szCs w:val="18"/>
                <w:color w:val="auto"/>
              </w:rPr>
              <w:t>Mt. Iron, MN and</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USS Corporation</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2022</w:t>
            </w: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(a)(b)</w:t>
            </w:r>
          </w:p>
        </w:tc>
        <w:tc>
          <w:tcPr>
            <w:tcW w:w="1460" w:type="dxa"/>
            <w:vAlign w:val="bottom"/>
          </w:tcPr>
          <w:p>
            <w:pPr>
              <w:spacing w:after="0"/>
              <w:rPr>
                <w:sz w:val="20"/>
                <w:szCs w:val="20"/>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Boise, Inc.</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Paper</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International Falls,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Packaging Corporation of America</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2023</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UPM Blandin </w:t>
            </w:r>
            <w:r>
              <w:rPr>
                <w:rFonts w:ascii="Arial" w:cs="Arial" w:eastAsia="Arial" w:hAnsi="Arial"/>
                <w:sz w:val="16"/>
                <w:szCs w:val="16"/>
                <w:i w:val="1"/>
                <w:iCs w:val="1"/>
                <w:color w:val="auto"/>
              </w:rPr>
              <w:t>(c)(d)</w:t>
            </w:r>
          </w:p>
        </w:tc>
        <w:tc>
          <w:tcPr>
            <w:tcW w:w="1460" w:type="dxa"/>
            <w:vAlign w:val="bottom"/>
          </w:tcPr>
          <w:p>
            <w:pPr>
              <w:ind w:left="280"/>
              <w:spacing w:after="0"/>
              <w:rPr>
                <w:sz w:val="20"/>
                <w:szCs w:val="20"/>
                <w:color w:val="auto"/>
              </w:rPr>
            </w:pPr>
            <w:r>
              <w:rPr>
                <w:rFonts w:ascii="Arial" w:cs="Arial" w:eastAsia="Arial" w:hAnsi="Arial"/>
                <w:sz w:val="18"/>
                <w:szCs w:val="18"/>
                <w:color w:val="auto"/>
              </w:rPr>
              <w:t>Paper</w:t>
            </w:r>
          </w:p>
        </w:tc>
        <w:tc>
          <w:tcPr>
            <w:tcW w:w="2020" w:type="dxa"/>
            <w:vAlign w:val="bottom"/>
          </w:tcPr>
          <w:p>
            <w:pPr>
              <w:ind w:left="80"/>
              <w:spacing w:after="0"/>
              <w:rPr>
                <w:sz w:val="20"/>
                <w:szCs w:val="20"/>
                <w:color w:val="auto"/>
              </w:rPr>
            </w:pPr>
            <w:r>
              <w:rPr>
                <w:rFonts w:ascii="Arial" w:cs="Arial" w:eastAsia="Arial" w:hAnsi="Arial"/>
                <w:sz w:val="18"/>
                <w:szCs w:val="18"/>
                <w:color w:val="auto"/>
              </w:rPr>
              <w:t>Grand Rapids, MN</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UPM-Kymmene Corporation</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2029</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Verso Duluth Mill </w:t>
            </w:r>
            <w:r>
              <w:rPr>
                <w:rFonts w:ascii="Arial" w:cs="Arial" w:eastAsia="Arial" w:hAnsi="Arial"/>
                <w:sz w:val="16"/>
                <w:szCs w:val="16"/>
                <w:i w:val="1"/>
                <w:iCs w:val="1"/>
                <w:color w:val="auto"/>
              </w:rPr>
              <w:t>(e)</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Paper and Pulp</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Duluth,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Verso Corporation</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2024</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w w:val="93"/>
              </w:rPr>
              <w:t>Paper and Pulp</w:t>
            </w:r>
          </w:p>
        </w:tc>
        <w:tc>
          <w:tcPr>
            <w:tcW w:w="2020" w:type="dxa"/>
            <w:vAlign w:val="bottom"/>
          </w:tcPr>
          <w:p>
            <w:pPr>
              <w:ind w:left="80"/>
              <w:spacing w:after="0"/>
              <w:rPr>
                <w:sz w:val="20"/>
                <w:szCs w:val="20"/>
                <w:color w:val="auto"/>
              </w:rPr>
            </w:pPr>
            <w:r>
              <w:rPr>
                <w:rFonts w:ascii="Arial" w:cs="Arial" w:eastAsia="Arial" w:hAnsi="Arial"/>
                <w:sz w:val="18"/>
                <w:szCs w:val="18"/>
                <w:color w:val="auto"/>
              </w:rPr>
              <w:t>Cloquet, MN</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Sappi Limited</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2022.</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smaller of UPM Blandin’s two paper machines was closed in the fourth quarter of 2017. (See Item 7. Management’s Discussion and Analysis – Outlook – Industrial Customers and Prospective Additional Load.)</w:t>
      </w: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amended and extended its electric service agreement with UPM Blandin through 2029, subject to MPUC approval.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amended and extended its electric service agreement with Verso Corporation through 2024, which was approved by the MPUC at a hearing on December 20,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Residential and Commercial Customers. </w:t>
      </w:r>
      <w:r>
        <w:rPr>
          <w:rFonts w:ascii="Arial" w:cs="Arial" w:eastAsia="Arial" w:hAnsi="Arial"/>
          <w:sz w:val="17"/>
          <w:szCs w:val="17"/>
          <w:color w:val="auto"/>
        </w:rPr>
        <w:t>In 2018, residential and commercial customers represented 18 percent of total regulated utility kWh sales.</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2018, municipal customers represented five percent of total regulated utility kWh sales. All of the municipal contracts include a</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clause requiring a three-year notice to terminate.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wholesale electric contracts with 16 non-affiliated municipal customers in Minnesota have termination dates ranging from 2019 through at least 2032, with a majority of contracts effective through at least 2024. One municipal customer provided a contract termination notice in 2016, with the termination to be effective June 30, 2019. Minnesota Power currently provides approximately 29 MW of average monthly demand to this customer. (See Note 4. Regulatory Matters.)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Arial" w:cs="Arial" w:eastAsia="Arial" w:hAnsi="Arial"/>
          <w:sz w:val="18"/>
          <w:szCs w:val="18"/>
          <w:color w:val="auto"/>
        </w:rPr>
        <w:t>based prices into the MISO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on a daily basis or through bilateral agreements of various durations.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PSAs are detailed in Note 11. Commitments, Guarantees and Contingencies, with additional disclosure provided in the following paragraphs.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Basin PSAs. </w:t>
      </w:r>
      <w:r>
        <w:rPr>
          <w:rFonts w:ascii="Arial" w:cs="Arial" w:eastAsia="Arial" w:hAnsi="Arial"/>
          <w:sz w:val="18"/>
          <w:szCs w:val="18"/>
          <w:color w:val="auto"/>
        </w:rPr>
        <w:t>Minnesota Power has an agreement to sell 100 MW of capacity and energy to Basin for a ten-year period which expires in April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 Minnesota Power has three additional agreements to sell capacity to Basin at fixed prices. (See Note 11. Commitments, Guarantees and Commitments.)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where Minnesota Power is selling a portion of its entitlement from Square Butte to</w:t>
      </w:r>
      <w:r>
        <w:rPr>
          <w:rFonts w:ascii="Arial" w:cs="Arial" w:eastAsia="Arial" w:hAnsi="Arial"/>
          <w:sz w:val="18"/>
          <w:szCs w:val="18"/>
          <w:i w:val="1"/>
          <w:iCs w:val="1"/>
          <w:color w:val="auto"/>
        </w:rPr>
        <w:t xml:space="preserve"> </w:t>
      </w:r>
      <w:r>
        <w:rPr>
          <w:rFonts w:ascii="Arial" w:cs="Arial" w:eastAsia="Arial" w:hAnsi="Arial"/>
          <w:sz w:val="18"/>
          <w:szCs w:val="18"/>
          <w:color w:val="auto"/>
        </w:rPr>
        <w:t>Minnkota Power, resulting in Minnkota Power’s net entitlement increasing and Minnesota Power’s net entitlement decreasing until Minnesota Power’s share is eliminated at the end of 2025. Of Minnesota Power’s 50 percent output entitlement, it sold approximately 28 percent to Minnkota Power in 2018 (28 percent in 2017 and in 2016). (See Power Supply – Long-Term Purchased Power.)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Silver Bay Power PSA</w:t>
      </w:r>
      <w:r>
        <w:rPr>
          <w:rFonts w:ascii="Arial" w:cs="Arial" w:eastAsia="Arial" w:hAnsi="Arial"/>
          <w:sz w:val="17"/>
          <w:szCs w:val="17"/>
          <w:color w:val="auto"/>
        </w:rPr>
        <w:t>. In 2016, Minnesota Power and Silver Bay Power entered into a PSA through 2031. Silver Bay Power supplies approximately 90 MW</w:t>
      </w:r>
      <w:r>
        <w:rPr>
          <w:rFonts w:ascii="Arial" w:cs="Arial" w:eastAsia="Arial" w:hAnsi="Arial"/>
          <w:sz w:val="17"/>
          <w:szCs w:val="17"/>
          <w:i w:val="1"/>
          <w:iCs w:val="1"/>
          <w:color w:val="auto"/>
        </w:rPr>
        <w:t xml:space="preserve"> </w:t>
      </w:r>
      <w:r>
        <w:rPr>
          <w:rFonts w:ascii="Arial" w:cs="Arial" w:eastAsia="Arial" w:hAnsi="Arial"/>
          <w:sz w:val="17"/>
          <w:szCs w:val="17"/>
          <w:color w:val="auto"/>
        </w:rPr>
        <w:t>of 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By December 31, 2019, Silver Bay Power is expected to cease self-generation and Minnesota Power is expected to supply the energy requirements for Silver Bay Power.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As a result, Minnesota Power is generally not subject to significant seasonal fluctuations in electric sales; however,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meet its customers’ electric requirements, Minnesota Power utilizes a mix of its own generation and purchased power. As of December 31, 2018, Minnesota Power’s generating capability is primarily coal-fired, but also includes wind energy, hydroelectric, natural gas-fired, biomass co-fired and solar generation. Purchased power primarily consists of long-term coal, wind and hydro PPAs as well as market purchases. The following table reflects Minnesota Power’s generating capabilities as of December 31, 2018, and total electrical supply for 2018. Minnesota Power had an annual net peak load of 1,589 MW on August 13,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20"/>
                <w:szCs w:val="20"/>
                <w:color w:val="auto"/>
              </w:rPr>
            </w:pPr>
          </w:p>
        </w:tc>
      </w:tr>
      <w:tr>
        <w:trPr>
          <w:trHeight w:val="270"/>
        </w:trPr>
        <w:tc>
          <w:tcPr>
            <w:tcW w:w="49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620" w:type="dxa"/>
            <w:vAlign w:val="bottom"/>
          </w:tcPr>
          <w:p>
            <w:pPr>
              <w:spacing w:after="0"/>
              <w:rPr>
                <w:sz w:val="23"/>
                <w:szCs w:val="23"/>
                <w:color w:val="auto"/>
              </w:rPr>
            </w:pPr>
          </w:p>
        </w:tc>
        <w:tc>
          <w:tcPr>
            <w:tcW w:w="25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 2018</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620" w:type="dxa"/>
            <w:vAlign w:val="bottom"/>
          </w:tcPr>
          <w:p>
            <w:pPr>
              <w:spacing w:after="0"/>
              <w:rPr>
                <w:sz w:val="23"/>
                <w:szCs w:val="23"/>
                <w:color w:val="auto"/>
              </w:rPr>
            </w:pPr>
          </w:p>
        </w:tc>
        <w:tc>
          <w:tcPr>
            <w:tcW w:w="25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620" w:type="dxa"/>
            <w:vAlign w:val="bottom"/>
          </w:tcPr>
          <w:p>
            <w:pPr>
              <w:spacing w:after="0"/>
              <w:rPr>
                <w:sz w:val="20"/>
                <w:szCs w:val="20"/>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MWh</w:t>
            </w:r>
          </w:p>
        </w:tc>
        <w:tc>
          <w:tcPr>
            <w:tcW w:w="8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620" w:type="dxa"/>
            <w:vAlign w:val="bottom"/>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 Cohasset,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w:t>
            </w: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62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6,442,894</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42.9</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 Harbor Energy Center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00"/>
              <w:spacing w:after="0"/>
              <w:rPr>
                <w:sz w:val="20"/>
                <w:szCs w:val="20"/>
                <w:color w:val="auto"/>
              </w:rPr>
            </w:pPr>
            <w:r>
              <w:rPr>
                <w:rFonts w:ascii="Arial" w:cs="Arial" w:eastAsia="Arial" w:hAnsi="Arial"/>
                <w:sz w:val="18"/>
                <w:szCs w:val="18"/>
                <w:color w:val="auto"/>
              </w:rPr>
              <w:t>in Schroeder, MN</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i w:val="1"/>
                <w:iCs w:val="1"/>
                <w:color w:val="auto"/>
              </w:rPr>
              <w:t>(c)</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Coal-Fired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6,442,894</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42.9</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 Co-Fired / Natural Gas</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10,286</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Laskin Energy Center in Hoyt Lakes,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13,893</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 Co-Fired / Natural Gas</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24,179</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607,664</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4.0</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(e)</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50,813</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Bison Wind Energy Center in Oliver and Morton Counties, ND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1,496,131</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1,546,944</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10.3</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Solar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Camp Ripley Solar Array near Little Falls,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16,744</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Generation</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8,638,425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57.5</w:t>
            </w:r>
          </w:p>
        </w:tc>
      </w:tr>
      <w:tr>
        <w:trPr>
          <w:trHeight w:val="291"/>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Purchased Power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(f)</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1,717,616</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11.4</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 Oliver County, ND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295,101</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Hydro - Manitoba Hydro in Manitoba, Canada</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292,148</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1.9</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2,304,865</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15.3</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(g)</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4,087,176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27.2</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6,392,041</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42.5</w:t>
            </w:r>
          </w:p>
        </w:tc>
      </w:tr>
      <w:tr>
        <w:trPr>
          <w:trHeight w:val="237"/>
        </w:trPr>
        <w:tc>
          <w:tcPr>
            <w:tcW w:w="4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Regulated Utility Power Supply</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15,030,466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retired Boswell Units 1 and 2 in the fourth quarter of 2018. (See Item 7. Management’s Discussion and Analysis of Financial Condition and Results of Operations – Outlook – EnergyForward.)</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Projects.)</w:t>
      </w: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2016. (See Item 7. Management’s Discussion and Analysis of Financial Condition and Results of Operations – Outlook – EnergyForward.)</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has a PSA with Minnkota Power whereby Minnesota Power is selling a portion of its entitlement from Square Butte to Minnkota Power. (See Electric Sales / Customers.)</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70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80"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color w:val="auto"/>
        </w:rPr>
        <w:t>Fuel</w:t>
      </w:r>
      <w:r>
        <w:rPr>
          <w:rFonts w:ascii="Arial" w:cs="Arial" w:eastAsia="Arial" w:hAnsi="Arial"/>
          <w:sz w:val="16"/>
          <w:szCs w:val="16"/>
          <w:color w:val="auto"/>
        </w:rPr>
        <w:t>. Minnesota Power purchases low-sulfur, sub-bituminous coal from the Powder River Basin region located in Montana and Wyoming. Coal consumption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2018 for electric generation at Minnesota Power’s coal-fired generating stations was 3.8 million tons (3.8 million tons in 2017; 4.2 million tons in 2016). As of December 31, 2018, Minnesota Power had coal inventories of 0.9 million tons (1.2 million tons as of December 31, 2017). Minnesota Power has coal supply agreements providing for the purchase of a significant portion of its coal requirements through December 2019 and a portion of its coal requirements through December 2021. In 2019, Minnesota Power expects to obtain coal under these coal supply agreements and in the spot market. Minnesota Power continues to explore other future coal supply options and believes that adequate supplies of low-sulfur, sub</w:t>
      </w:r>
      <w:r>
        <w:rPr>
          <w:rFonts w:ascii="MS PGothic" w:cs="MS PGothic" w:eastAsia="MS PGothic" w:hAnsi="MS PGothic"/>
          <w:sz w:val="16"/>
          <w:szCs w:val="16"/>
          <w:color w:val="auto"/>
        </w:rPr>
        <w:t>‑</w:t>
      </w:r>
      <w:r>
        <w:rPr>
          <w:rFonts w:ascii="Arial" w:cs="Arial" w:eastAsia="Arial" w:hAnsi="Arial"/>
          <w:sz w:val="16"/>
          <w:szCs w:val="16"/>
          <w:color w:val="auto"/>
        </w:rPr>
        <w:t>bituminous coal will continue to be available.</w:t>
      </w:r>
    </w:p>
    <w:p>
      <w:pPr>
        <w:spacing w:after="0" w:line="20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$38.89</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$36.50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$2.10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$2.01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hydro and solar generating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PPAs are detailed in Note 11. Commitments, Guarantees and Contingencies, with additional disclosure provided in the following paragraph.</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Under the PPA with Square Butte that extends through 2026, Minnesota Power is entitled to 50 percent of the output of Square Butte’s 455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MW coal-fired generating unit. (See Note 11. Commitments, Guarantees and Contingencies.) BNI Energy mines and sells lignite coal to Square Butte. This lignite supply is sufficient to provide fuel for the anticipated useful life of the generating unit. Square Butte’s cost of lignite consumed in 2018 was approximately $1.60 per MBtu ($1.71 per MBtu in 2017; $1.57 per MBtu in 2016). (See </w:t>
      </w:r>
      <w:r>
        <w:rPr>
          <w:rFonts w:ascii="Arial" w:cs="Arial" w:eastAsia="Arial" w:hAnsi="Arial"/>
          <w:sz w:val="17"/>
          <w:szCs w:val="17"/>
          <w:i w:val="1"/>
          <w:iCs w:val="1"/>
          <w:color w:val="auto"/>
        </w:rPr>
        <w:t>Electric Sales / Customers</w:t>
      </w:r>
      <w:r>
        <w:rPr>
          <w:rFonts w:ascii="Arial" w:cs="Arial" w:eastAsia="Arial" w:hAnsi="Arial"/>
          <w:sz w:val="17"/>
          <w:szCs w:val="17"/>
          <w:color w:val="auto"/>
        </w:rPr>
        <w:t xml:space="preserve"> – </w:t>
      </w:r>
      <w:r>
        <w:rPr>
          <w:rFonts w:ascii="Arial" w:cs="Arial" w:eastAsia="Arial" w:hAnsi="Arial"/>
          <w:sz w:val="17"/>
          <w:szCs w:val="17"/>
          <w:i w:val="1"/>
          <w:iCs w:val="1"/>
          <w:color w:val="auto"/>
        </w:rPr>
        <w:t>Minnkota Power PSA</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(242 miles), 250 kV (465 miles), 230 kV (717 miles), 161 kV (43 miles), 138 kV (190 miles), 115 kV (1,285 miles) and less than 115 kV (6,342 miles). We own and operate 159 substations with a total capacity of 8,531 megavoltamperes. Some of our transmission and distribution lines interconnect with other utilities.</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a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$380.8 million have been incurred through December 31, 2018, of which $203.7 million has been recovered from a subsidiary of Manitoba Hydro.</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(See Note 11. Commitments, Guarantees and Contingencies.)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2018, our equity investment in ATC was $128.1 million ($118.7 million as of December 31, 2017). (See Note 5. Equity Investments.)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2018 through 2027, identifies a need for between $2.8 billion and $3.4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Projects.)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jurisdiction of various regulatory authorities and other organizations.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 As authorized by the MPUC, Minnesota Power also recognizes revenue under cost recovery riders for transmission, renewable and environmental investments.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The MPUC issued an order dated March 12, 2018, in Minnesota Power’s general rate case approving a return on 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has recorded a reserve for an interim rate refund, net of discounts provided to EITE customers, of $40.0 million as of December 31, 2018 ($23.7 million as of December 31, 2017) which is expected to be refunded in 2019. The MPUC also disallowed Minnesota Power’s regulatory asset for deferred fuel adjustment clause costs due to the anticipated adoption of a forward-looking fuel adjustment clause methodology resulting in a $19.5 million pre-tax charge to Fuel, Purchased Power and Gas – Utility in 2017. As part of its decision in Minnesota Power’s 2016 general rate case, the MPUC also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pre-tax in the fourth quarter of 2017.</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2018, Minnesota Power filed a petition with the MPUC requesting reconsideration of certain decisions in the MPUC’s order dated March 12, 2018.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establishing a Minnesota energy policy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rates for certain industries such as mining and forest products. The MPUC approved a reduction in rates for EITE customers in a December 2016 order and subsequently approved cost recovery in an April 2017 order. Minnesota Power expects the discount to EITE customers to be approximately $16 million annually based on EITE customer current operating levels. While interim rates were in effect for Minnesota Power’s 2016 general rate case, discounts provided to EITE customers offset interim rate refund reserves for non-EITE customers. Minnesota Power provided $16.7 million of discounts to EITE customers during the year ended December 31, 2018 ($8.6 million and none for the years ended December 31, 2017, and 2016,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regulatory proceedings pending with the MPUC are detailed in Note 4. Regulatory Matters.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retail rates in 2018 were based on a 2017 PSCW retail rate order effective August 2017 that allowed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On May 25, 2018, SWL&amp;P filed a rate increase request with the PSCW requesting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(2.0 percent increase in electric rates; 2.3 percent increase in natural gas rates; and 0.1 percent increase in water rates). The filing sought an overall return on equity of 10.5 percent and a 55.41 percent equity ratio. In an order dated December 20, 2018, the PSCW approved a rate increase for SWL&amp;P including a return on equity of 10.4 percent and a 55.0 percent equity ratio. Final rates went into effect January 1, 2019, which is expected to result in additional revenue of approximately $1.3 million on an annualized basis.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Arial" w:cs="Arial" w:eastAsia="Arial" w:hAnsi="Arial"/>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 Regulatory proceedings pending with the FERC are detailed in Note 4. Regulatory Matters.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w:t>
      </w:r>
      <w:r>
        <w:rPr>
          <w:rFonts w:ascii="Arial" w:cs="Arial" w:eastAsia="Arial" w:hAnsi="Arial"/>
          <w:sz w:val="18"/>
          <w:szCs w:val="18"/>
          <w:color w:val="auto"/>
        </w:rPr>
        <w:t>Minnesota Power, SWL&amp;P and ATC are members of MISO, a regional transmission organization. While</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all or parts of 15 states and the Canadian province of Manitoba which includes nearly 200,000 MW of generating capacity.</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seven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and ATC are members of the MRO, one of the seven regional entities overseen by the NERC.</w:t>
      </w:r>
      <w:r>
        <w:rPr>
          <w:rFonts w:ascii="Arial" w:cs="Arial" w:eastAsia="Arial" w:hAnsi="Arial"/>
          <w:sz w:val="16"/>
          <w:szCs w:val="16"/>
          <w:b w:val="1"/>
          <w:bCs w:val="1"/>
          <w:color w:val="auto"/>
        </w:rPr>
        <w:t xml:space="preserve"> </w:t>
      </w:r>
      <w:r>
        <w:rPr>
          <w:rFonts w:ascii="Arial" w:cs="Arial" w:eastAsia="Arial" w:hAnsi="Arial"/>
          <w:sz w:val="16"/>
          <w:szCs w:val="16"/>
          <w:color w:val="auto"/>
        </w:rPr>
        <w:t>The MRO's 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MRO region spans the Canadian provinces of Saskatchewan and Manitoba, and all or parts of 16 states. The region includes more than 200 organizations that are involved in the production and delivery of electricity. These organizations include municipal utilities, cooperatives, investor-owned utilities, transmission system operators, a federal power marketing agency, Canadian Crown corporations and independent power producers.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law requires 25 percent of electric utilities’ applicable retail and municipal energy sales in Minnesota to be from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sources by 2025. Minnesota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2015 and approved with modifications by the MPUC in a 2016 order, includes an update on its plans and progress in meeting the Minnesota renewable energy milestones through 2025. (See Item 7. Management’s Discussion and Analysis of Financial Condition and Results of Operations – Outlook – EnergyForward.)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renewable projects that will ensure it meets the identified state mandate at the lowest cost for customers. Minnesota Power has exceeded the interim milestone requirements to date with 26 percent of its applicable retail and municipal energy sales supplied by renewable energy sources in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(See Item 7. Management’s Discussion and Analysis of Financial Condition and Results of Operations – Outlook – EnergyForward.)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serves 10 Large Power facilities over 10 MW, none of which have engaged in a competitive rate process.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2018, five percent of total regulated utility kWh sales were to municipal customers in Minnesota by contract. These customers have the right to seek an energy supply from any wholesale electric service provider upon contract expiration. Minnesota Power’s wholesale electric contract with the Nashwauk Public Utilities Commission is effective through at least December 31, 2032. Minnesota Power wholesale electric contracts with 14 municipal customers are effective through varying dates ranging from 2024 through 2029. In 2016, one of Minnesota Power’s municipal customers provided a contract termination notice effective June 30, 2019. (See </w:t>
      </w:r>
      <w:r>
        <w:rPr>
          <w:rFonts w:ascii="Arial" w:cs="Arial" w:eastAsia="Arial" w:hAnsi="Arial"/>
          <w:sz w:val="18"/>
          <w:szCs w:val="18"/>
          <w:i w:val="1"/>
          <w:iCs w:val="1"/>
          <w:color w:val="auto"/>
        </w:rPr>
        <w:t>Electric Sales / Customers.</w:t>
      </w:r>
      <w:r>
        <w:rPr>
          <w:rFonts w:ascii="Arial" w:cs="Arial" w:eastAsia="Arial" w:hAnsi="Arial"/>
          <w:sz w:val="18"/>
          <w:szCs w:val="18"/>
          <w:color w:val="auto"/>
        </w:rPr>
        <w: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Minnesota Power do not require a franchise to operate. SWL&amp;P serves customers under electric, natural gas or water franchises in 1 city and 14 villages or towns.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four states, approximately 545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2017, ALLETE Clean Energy announced that it would develop a wind energy facility of up to 50 MW to be sold to Montana-Dakota Utilities; sale of the wind energy facility was completed on October 31, 2018, with revenue of $81.1 million and cost of sales of $67.4 million recognized in the fourth quarter of 2018. ALLETE Clean Energy also constructed and sold a 107 MW wind energy facility to Montana-Dakota Utilities in 2015.</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2017, ALLETE Clean Energy announced it will build, own and operate a 100 MW wind energy facility pursuant to a 20-year PSA with Northern States Power; construction is expected to be completed in late 2019. On March 15, 2018, ALLETE Clean Energy announced that it will build, own and operate an 80 MW wind energy facility pursuant to a 15-year PSA with NorthWestern Corporation; construction is expected to be completed in late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ENERGY INFRASTRUCTURE AND RELATED SERVICES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545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PSA Expiration</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Chanarambie/Viking</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9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Lake Benton</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Lincoln Heights</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8.8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Storm Lake I</w:t>
            </w:r>
          </w:p>
        </w:tc>
        <w:tc>
          <w:tcPr>
            <w:tcW w:w="292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Storm Lake II</w:t>
            </w:r>
          </w:p>
        </w:tc>
        <w:tc>
          <w:tcPr>
            <w:tcW w:w="292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PSA 1</w:t>
            </w:r>
          </w:p>
        </w:tc>
        <w:tc>
          <w:tcPr>
            <w:tcW w:w="2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2</w:t>
            </w:r>
          </w:p>
        </w:tc>
        <w:tc>
          <w:tcPr>
            <w:tcW w:w="29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0"/>
        </w:trPr>
        <w:tc>
          <w:tcPr>
            <w:tcW w:w="33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ALLETE Clean Energy’s wind operations are located on real property owned by others with appropriate easement rights or necessary consents of governmental authorities. Two of ALLETE Clean Energy’s wind energy facilities are encumbered by liens against their assets securing financing. (See Item 7. Management’s Discussion and Analysis of Financial Condition and Results of Operations – Outlook – Energy Infrastructure and Related Services – ALLETE Clean Energy.)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upon receipt of regulatory approval. ALLETE plans to use the proceeds from the sale of U.S. Water Services primarily to reinvest in growth initiatives at our Regulated Operations and ALLETE Clean Energy. ALLETE will also consider using a portion of the proceeds to implement a common stock repurchase program.</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 Water Services provides integrated water management for industry by combining chemical, equipment, engineering and service for customized solutions to reduce water and energy usage, and improve efficiency. U.S. Water Services has a presence in 49 states and Canada and has an established base of approximately 4,900 customers. U.S. Water Services differentiates itself from the competition by developing synergies between solutions in engineering, equipment and chemical water treatment, which helps customers achieve efficient and sustainable use of their water and energy systems. U.S. Water Services is a leading provider to the biofuels industry, and also serves the commercial and institutional markets, food and beverage, light manufacturing,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 (See Item 7. Management’s Discussion and Analysis of Financial Condition and Results of Operations – Outlook – Energy Infrastructure and Related Services – U.S. Water Services.)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2017, U.S. Water Services acquired Tonka Water for total consideration of $19.2 million. Tonka Water is a supplier of municipal and industrial water treatment systems that expanded U.S. Water Services’ geographic and customer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Water Services leases an office and production facility at its headquarters in Minnesota as well as various office, warehouse and production facilities across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11. Commitments, Guarantees and Contingencies.) The mining process disturbs and reclaims between 200 and 250 acres per year. Laws require that the reclaimed land be at least as productive as it was prior to mining. As of December 31, 2018, BNI Energy had a $26.5 million asset reclamation obligation ($25.0 million as of December 31, 2017)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11. Commitments, Guarantees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Nobles 2</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27, 2018, our wholly-owned subsidiary, ALLETE South Wind, entered into a partnership agreement with Tenaska to purchase a 49 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with an ALLETE expected equity investment of approximately $60 million to $70 million. We account for our investment in Nobles 2 under the equity method of accounting. As of December 31, 2018, our equity investment in Nobles 2 was $33.0 million. (See Note 5. Equity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ALLETE Properties represents our legacy Florida real estate investment. ALLETE Properties’ major projects in Florida are Town Center at Palm Coast and Palm Coast Park.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Summary of Projects</w:t>
            </w:r>
          </w:p>
        </w:tc>
        <w:tc>
          <w:tcPr>
            <w:tcW w:w="35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6"/>
                <w:szCs w:val="16"/>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6"/>
                <w:szCs w:val="16"/>
                <w:i w:val="1"/>
                <w:iCs w:val="1"/>
                <w:color w:val="auto"/>
              </w:rPr>
              <w:t>(b)</w:t>
            </w: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6"/>
                <w:szCs w:val="16"/>
                <w:i w:val="1"/>
                <w:iCs w:val="1"/>
                <w:color w:val="auto"/>
              </w:rPr>
              <w:t>(b)(c)</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Projects</w:t>
            </w:r>
          </w:p>
        </w:tc>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 at Palm Coast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962</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2,022,700</w:t>
            </w: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638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1,181,000</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Projects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1,600</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3,203,700</w:t>
            </w:r>
          </w:p>
        </w:tc>
      </w:tr>
      <w:tr>
        <w:trPr>
          <w:trHeight w:val="20"/>
        </w:trPr>
        <w:tc>
          <w:tcPr>
            <w:tcW w:w="47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retail and non-retail commercial, office, industrial, warehouse, storage and institutional square footage.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two projects, ALLETE Properties has approximately 600 acres of other land available for sale. (See Item 7. Management’s Discussion and Analysis of Financial Condition and Results of Operations – Outlook – Corporate and Other – ALLETE Properties.)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As of December 31, 2018,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$15.1 million, net of reserves, with maturities through 2022.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approximately 4,000 acres of land in Minnesota, and earnings on cash and investments.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non-rate base generation consists of 29 MW of generation at Rapids Energy Center. In 2018, we sold 0.1 million MWh of non-rate base generation (0.1 million MWh in 2017 and in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6"/>
                <w:szCs w:val="16"/>
                <w:i w:val="1"/>
                <w:iCs w:val="1"/>
                <w:color w:val="auto"/>
              </w:rPr>
              <w:t>(a)</w:t>
            </w: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9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6"/>
                <w:szCs w:val="16"/>
                <w:i w:val="1"/>
                <w:iCs w:val="1"/>
                <w:color w:val="auto"/>
              </w:rPr>
              <w:t>(b)</w:t>
            </w:r>
          </w:p>
        </w:tc>
        <w:tc>
          <w:tcPr>
            <w:tcW w:w="2980" w:type="dxa"/>
            <w:vAlign w:val="bottom"/>
          </w:tcPr>
          <w:p>
            <w:pPr>
              <w:jc w:val="center"/>
              <w:ind w:left="161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27</w:t>
            </w:r>
          </w:p>
        </w:tc>
      </w:tr>
      <w:tr>
        <w:trPr>
          <w:trHeight w:val="27"/>
        </w:trPr>
        <w:tc>
          <w:tcPr>
            <w:tcW w:w="4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w:t>
            </w:r>
          </w:p>
        </w:tc>
        <w:tc>
          <w:tcPr>
            <w:tcW w:w="298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w:t>
            </w:r>
          </w:p>
        </w:tc>
      </w:tr>
      <w:tr>
        <w:trPr>
          <w:trHeight w:val="20"/>
        </w:trPr>
        <w:tc>
          <w:tcPr>
            <w:tcW w:w="43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 UPM Blandin in Grand Rapids, Minnesota. (See Item 7. Management’s Discussion and Analysis – Outlook – Industrial Customers and Prospective Additional Load.)</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fuel supply for Rapids Energy Center Units 6 and 7 is supplemented by coal, but in 2019, those units will operate on natural gas.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ALLETE had 1,889 employees, of which 1,852 were full-time.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Minnesota Power and SWL&amp;P have an aggregate of 475 employees who are members of the International Brotherhood of Electrical Workers (IBEW) Local 31. The current labor agreements with IBEW Local 31 expire on April 30, 2020, for Minnesota Power and February 1, 2021, for SWL&amp;P.</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181 employees, of which 139 are members of IBEW Local 1593. The current labor agreement with IBEW Local 1593 expires on March 31,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400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Arial" w:cs="Arial" w:eastAsia="Arial" w:hAnsi="Arial"/>
                <w:sz w:val="18"/>
                <w:szCs w:val="18"/>
                <w:color w:val="auto"/>
              </w:rPr>
              <w:t>As of February 14, 2019, these are the executive officers of ALLETE:</w:t>
            </w:r>
          </w:p>
        </w:tc>
        <w:tc>
          <w:tcPr>
            <w:tcW w:w="4000" w:type="dxa"/>
            <w:vAlign w:val="bottom"/>
          </w:tcPr>
          <w:p>
            <w:pPr>
              <w:spacing w:after="0"/>
              <w:rPr>
                <w:sz w:val="24"/>
                <w:szCs w:val="24"/>
                <w:color w:val="auto"/>
              </w:rPr>
            </w:pPr>
          </w:p>
        </w:tc>
      </w:tr>
      <w:tr>
        <w:trPr>
          <w:trHeight w:val="459"/>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4000" w:type="dxa"/>
            <w:vAlign w:val="bottom"/>
          </w:tcPr>
          <w:p>
            <w:pPr>
              <w:ind w:left="186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7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64"/>
        </w:trPr>
        <w:tc>
          <w:tcPr>
            <w:tcW w:w="742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59</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 xml:space="preserve">Chairman and Chief Executive Officer </w:t>
            </w:r>
            <w:r>
              <w:rPr>
                <w:rFonts w:ascii="Arial" w:cs="Arial" w:eastAsia="Arial" w:hAnsi="Arial"/>
                <w:sz w:val="16"/>
                <w:szCs w:val="16"/>
                <w:i w:val="1"/>
                <w:iCs w:val="1"/>
                <w:color w:val="auto"/>
              </w:rPr>
              <w:t>(a)</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31, 2019</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May 10, 2011</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May 1, 2010</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Bethany M. Owen, Age 53</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 xml:space="preserve">President </w:t>
            </w:r>
            <w:r>
              <w:rPr>
                <w:rFonts w:ascii="Arial" w:cs="Arial" w:eastAsia="Arial" w:hAnsi="Arial"/>
                <w:sz w:val="16"/>
                <w:szCs w:val="16"/>
                <w:i w:val="1"/>
                <w:iCs w:val="1"/>
                <w:color w:val="auto"/>
              </w:rPr>
              <w:t>(a)</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31, 2019</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and Chief Legal and Administrative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November 26, 2016</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56</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March 4, 2017</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 Energy-Centric Businesses and Chief Risk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November 14, 2015</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 Energy-Centric Businesses and Chief Risk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June 23, 2014</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May 13, 2008</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Patrick L. Cutshall, Age 53</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and Corporate Treasurer</w:t>
            </w:r>
          </w:p>
        </w:tc>
        <w:tc>
          <w:tcPr>
            <w:tcW w:w="4000" w:type="dxa"/>
            <w:vAlign w:val="bottom"/>
          </w:tcPr>
          <w:p>
            <w:pPr>
              <w:ind w:left="1860"/>
              <w:spacing w:after="0"/>
              <w:rPr>
                <w:sz w:val="20"/>
                <w:szCs w:val="20"/>
                <w:color w:val="auto"/>
              </w:rPr>
            </w:pPr>
            <w:r>
              <w:rPr>
                <w:rFonts w:ascii="Arial" w:cs="Arial" w:eastAsia="Arial" w:hAnsi="Arial"/>
                <w:sz w:val="18"/>
                <w:szCs w:val="18"/>
                <w:color w:val="auto"/>
              </w:rPr>
              <w:t>December 18, 2017</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1, 2016</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W. Morris, Age 57</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Controller and Chief Accounting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December 24, 2016</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4000" w:type="dxa"/>
            <w:vAlign w:val="bottom"/>
          </w:tcPr>
          <w:p>
            <w:pPr>
              <w:ind w:left="1860"/>
              <w:spacing w:after="0"/>
              <w:rPr>
                <w:sz w:val="20"/>
                <w:szCs w:val="20"/>
                <w:color w:val="auto"/>
              </w:rPr>
            </w:pPr>
            <w:r>
              <w:rPr>
                <w:rFonts w:ascii="Arial" w:cs="Arial" w:eastAsia="Arial" w:hAnsi="Arial"/>
                <w:sz w:val="18"/>
                <w:szCs w:val="18"/>
                <w:color w:val="auto"/>
              </w:rPr>
              <w:t>March 3, 2014</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Patrick K. Mullen, Age 58 </w:t>
            </w:r>
            <w:r>
              <w:rPr>
                <w:rFonts w:ascii="Arial" w:cs="Arial" w:eastAsia="Arial" w:hAnsi="Arial"/>
                <w:sz w:val="16"/>
                <w:szCs w:val="16"/>
                <w:i w:val="1"/>
                <w:iCs w:val="1"/>
                <w:color w:val="auto"/>
              </w:rPr>
              <w:t>(b)</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w:t>
            </w:r>
          </w:p>
        </w:tc>
        <w:tc>
          <w:tcPr>
            <w:tcW w:w="4000" w:type="dxa"/>
            <w:vAlign w:val="bottom"/>
          </w:tcPr>
          <w:p>
            <w:pPr>
              <w:ind w:left="1860"/>
              <w:spacing w:after="0"/>
              <w:rPr>
                <w:sz w:val="20"/>
                <w:szCs w:val="20"/>
                <w:color w:val="auto"/>
              </w:rPr>
            </w:pPr>
            <w:r>
              <w:rPr>
                <w:rFonts w:ascii="Arial" w:cs="Arial" w:eastAsia="Arial" w:hAnsi="Arial"/>
                <w:sz w:val="18"/>
                <w:szCs w:val="18"/>
                <w:color w:val="auto"/>
              </w:rPr>
              <w:t>April 10, 2017</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Bradley W. Oachs, Age 61</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and President – Regulated Operations</w:t>
            </w:r>
          </w:p>
        </w:tc>
        <w:tc>
          <w:tcPr>
            <w:tcW w:w="4000" w:type="dxa"/>
            <w:vAlign w:val="bottom"/>
          </w:tcPr>
          <w:p>
            <w:pPr>
              <w:ind w:left="1860"/>
              <w:spacing w:after="0"/>
              <w:rPr>
                <w:sz w:val="20"/>
                <w:szCs w:val="20"/>
                <w:color w:val="auto"/>
              </w:rPr>
            </w:pPr>
            <w:r>
              <w:rPr>
                <w:rFonts w:ascii="Arial" w:cs="Arial" w:eastAsia="Arial" w:hAnsi="Arial"/>
                <w:sz w:val="18"/>
                <w:szCs w:val="18"/>
                <w:color w:val="auto"/>
              </w:rPr>
              <w:t>November 26, 2016</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Margaret A. Thickens, Age 52</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Chief Legal Officer and Corporate Secretary</w:t>
            </w:r>
          </w:p>
        </w:tc>
        <w:tc>
          <w:tcPr>
            <w:tcW w:w="4000" w:type="dxa"/>
            <w:vAlign w:val="bottom"/>
          </w:tcPr>
          <w:p>
            <w:pPr>
              <w:ind w:left="1860"/>
              <w:spacing w:after="0"/>
              <w:rPr>
                <w:sz w:val="20"/>
                <w:szCs w:val="20"/>
                <w:color w:val="auto"/>
              </w:rPr>
            </w:pPr>
            <w:r>
              <w:rPr>
                <w:rFonts w:ascii="Arial" w:cs="Arial" w:eastAsia="Arial" w:hAnsi="Arial"/>
                <w:sz w:val="18"/>
                <w:szCs w:val="18"/>
                <w:color w:val="auto"/>
              </w:rPr>
              <w:t>February 13,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31, 2019, the Board of Directors of ALLETE appointed Bethany M. Owen as President of ALLETE.</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14, 2019, Mr. Mullen announced his plan to retire. As part of an orderly transition, it is expected that Mr. Mullen will remain with the Company until some time in the second quarter of 2019.</w:t>
      </w:r>
    </w:p>
    <w:p>
      <w:pPr>
        <w:sectPr>
          <w:pgSz w:w="11900" w:h="16838" w:orient="portrait"/>
          <w:cols w:equalWidth="0" w:num="1">
            <w:col w:w="11420"/>
          </w:cols>
          <w:pgMar w:left="240" w:top="702"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EXECUTIVE OFFICERS OF THE REGISTRANT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Cutshall </w:t>
      </w:r>
      <w:r>
        <w:rPr>
          <w:rFonts w:ascii="Arial" w:cs="Arial" w:eastAsia="Arial" w:hAnsi="Arial"/>
          <w:sz w:val="18"/>
          <w:szCs w:val="18"/>
          <w:color w:val="auto"/>
        </w:rPr>
        <w:t>was Director – Investments and Tax; Director – Investments.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Morris </w:t>
      </w:r>
      <w:r>
        <w:rPr>
          <w:rFonts w:ascii="Arial" w:cs="Arial" w:eastAsia="Arial" w:hAnsi="Arial"/>
          <w:sz w:val="18"/>
          <w:szCs w:val="18"/>
          <w:color w:val="auto"/>
        </w:rPr>
        <w:t>was Director – Accounting.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Mullen </w:t>
      </w:r>
      <w:r>
        <w:rPr>
          <w:rFonts w:ascii="Arial" w:cs="Arial" w:eastAsia="Arial" w:hAnsi="Arial"/>
          <w:sz w:val="18"/>
          <w:szCs w:val="18"/>
          <w:color w:val="auto"/>
        </w:rPr>
        <w:t>was Vice President – Marketing and Corporate Communications.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Oachs </w:t>
      </w:r>
      <w:r>
        <w:rPr>
          <w:rFonts w:ascii="Arial" w:cs="Arial" w:eastAsia="Arial" w:hAnsi="Arial"/>
          <w:sz w:val="18"/>
          <w:szCs w:val="18"/>
          <w:color w:val="auto"/>
        </w:rPr>
        <w:t>was Chief Operating Officer – Minnesota Power.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Owen </w:t>
      </w:r>
      <w:r>
        <w:rPr>
          <w:rFonts w:ascii="Arial" w:cs="Arial" w:eastAsia="Arial" w:hAnsi="Arial"/>
          <w:sz w:val="18"/>
          <w:szCs w:val="18"/>
          <w:color w:val="auto"/>
        </w:rPr>
        <w:t>was Vice President – Information Technology Solutions and President – SWL&amp;P.</w:t>
      </w:r>
    </w:p>
    <w:p>
      <w:pPr>
        <w:spacing w:after="0" w:line="9"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i w:val="1"/>
          <w:iCs w:val="1"/>
          <w:color w:val="auto"/>
        </w:rPr>
        <w:t xml:space="preserve">Ms. Thickens </w:t>
      </w:r>
      <w:r>
        <w:rPr>
          <w:rFonts w:ascii="Arial" w:cs="Arial" w:eastAsia="Arial" w:hAnsi="Arial"/>
          <w:sz w:val="18"/>
          <w:szCs w:val="18"/>
          <w:color w:val="auto"/>
        </w:rPr>
        <w:t>was General Counsel and Director of Compliance – ALLETE Clean Energy; General Counsel and Secretary –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Senior.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in the preceding table extends to the first meeting of our Board of Directors after the next annual meeting of shareholders. Both meetings are scheduled for May 14,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these risk factors below relate to U.S. Water Services. 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Risk factors relating to U.S. Water Services exist up to the closing of the sale, or in the future should the sale not be consummated.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access to financing sources and the capital markets, on acceptable terms and at reasonable costs, as sources of liquidity for capital requirements not satisfied by our cash flows from operations. Market disruptions or a downgrade of our credit ratings may increase the cost of borrowing or adversely affect our ability to access and financing costs in the capital markets. Such disruptions or causes of a downgrade could include but are not limited to: the effects of the TCJA on the Company’s cash flow metrics; a loss of, or a reduction in sales to, Large Power Customers if we are unable to offset the related lost margins; weaker operating performance; adverse regulatory outcomes; disproportionate increase in the contribution to net income from our Energy Infrastructure and Related Services businesses as compared to that from our Regulated Operations; deteriorating economic or capital market conditions; or volatility in commodity prices.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access capital on acceptable terms in sufficient amounts and when needed, or at all, the ability to maintain our businesses or to implement our business plans would be adversely affected.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deterioration in general economic conditions may have adverse impacts on our financial position, results of operations and cash flows.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economic conditions deteriorate on a national or regional level, it may have a negative impact on the Company’s financial position, results of operations and cash flows as well as on our customers. This impact may include volatility and unpredictability in the demand for the products and services offered by our businesses, the loss of existing customers, tempered growth strategies, production cutbacks or customer bankruptcies. An uncertain economy could also adversely affect expenses including pension costs, interest costs, and uncollectible accounts, or lead to reductions in the value of certain real estate and other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extensive state and federal legislation and regulation, compliance with which could have an adverse effect on our businesses.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reputational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could suffer negative impacts to its reputation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events, such as natural disasters and acts of war, may adversely affect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Catastrophic events such as fires, earthquakes, explosions, floods, ice storms,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such events, these measures may not be successful. Furthermore, despite these measures, if such an occurrence were to occur, our financial position, results of operations and cash flows could be adversely affected.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provide integrated water management at U.S. Water Services, or operate our other businesses. The impacts may also impair the fulfillment of critical business functions, negatively impact our reputation, subject us to litigation or increased regulation, or compromise sensitive, confidential data.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Computer viruses, terrorism, theft and sabotage could impact our systems and facilities, or those of third parties on which we rely, which may disrupt our operations.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require the continued operation of sophisticated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and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business decisions, could adversely affect our results of operations and liquidity.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in order to estimate federal and state tax obligations. These judgments include reserves for potential adverse outcomes for tax positions that may be challenged by tax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these tax benefits could have an adverse impact on our financial position, results of operations and cash flows.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 If federal or state tax authorities deny any deductions or tax credits, our financial position, results of operations and cash flows may be adversely impacted.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downturn, incur work stoppages, fail to compete effectively, experience decreased demand or experience a decline in prices for their product.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eight Large Power Customers accounted for 24 percent of our 2018 consolidated operating revenue (25 percent in 2017 and 22 percent in 2016), of which one of these customers accounted for approximately 10 percent of consolidated revenue in 2018 (10 percent in 2017 and 8 percent in 2016). These customers are involved in cyclical industries that by their nature are adversely impacted by economic downturns and are subject to strong competition in the marketplace. Additionally, the North American paper and pulp industry also faces declining demand due to the impact of electronic substitution for print and changing customer needs.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experience decreased demand or experience a decline in prices for their product, there could be adverse effects on their operations and, consequently, this could have a negative impact on our results of operations if we are unable to remarket at similar prices the energy that would otherwise have been sold to such Large Power Customers.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renewable portfolio standards or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or the adoption of new regulations could have an adverse impact on our results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on a timely basis, if cost recovery is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17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environmental laws and regulations affecting many aspects of our present and future operations, including air quality, water quality and usage, waste management, reclamation, hazardous wastes, avian mortality and natural resources. These laws and regulations can result in increased capital expenditures, environmental emission allowance trading, operating and other costs, as a result of compliance, remediation, containment and monitoring obligations, particularly with regard to laws relating to emissions at generating facilities, coal ash, water discharge and wind energy facilities.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significant uncertainty regarding if and when new laws or regulations will be adopted to reduce GHG and the impact any such laws or regulations would have on us. In 2018, coal was the primary fuel source for 75 percent of the energy produced by our generating facilities. Any future limits on GHG emissions at the federal or state level may require us to incur significant capital expenditures and increases in operating costs, which if significant, could result in the closure of certain coal-fired energy centers, an impairment of assets, or otherwise adversely affect our results of operations, particularly if such expenditures and costs are not fully recoverable from customers.</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electric generation and transmission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generating facilities involves many risks, including start-up operations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or forced outage, as well as repairing damage to facilities due to storms, natural disasters, wars, sabotage, terrorist acts and other catastrophic events.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facilities or other capital projects is contingent upon many variables.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incur significant capital expenditures in making capital improvements to our existing electric generation and transmission facilities and in the development and construction of new electric generation and transmission facilities. Should any such efforts be unsuccessful or not completed in a timely manner, we could be subject to additional costs or impairments which could have an adverse impact on our financial position, results of operation and cash flows.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electric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impacted by declining wholesale power prices.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prices for electricity have declined in recent years primarily due to low natural gas prices. If there are reductions in demand from customers or if we lose customers, we will market any available power to Other Power Suppliers in an effort to mitigate any earnings impact. Sales to Other Power Suppliers are sold at market-based prices into the MISO market on a daily basis or through bilateral agreements of various durations. Due to the low wholesale prices for electricity, we can make no assurances that our power marketing efforts would fully offset any reduction in earnings resulting from the lower demand from existing customers or the loss of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financial position and results of operations and may result from:</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in our fuel and purchased power costs related to our retail and municipal customers are passed on to customers through the fuel adjustment clause. Volatility in market prices for our fuel and purchase power costs primarily impacts our sales to Other Power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results of operations are impacted by the demand for energy in our service territories. There could be lower demand for energy due to a loss of customers as a result of economic conditions, customers constructing or installing their own generation facilities, higher costs and rates charged to customers,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of our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17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Infrastructure and Related Services Risks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successfully manage and grow our Energy Infrastructure and Related Services businesses could adversely affect our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Energy Infrastructure and Related Services businesses consist of ALLETE Clean Energy and U.S. Water Services. The Company's strategy for these businesses includes adding customers, products, and new geographies, project development for others and growth through acquisitions. This strategy depends, in part, on the Company’s ability to successfully identify and evaluate acquisition opportunities and consummate acquisitions on acceptable terms. The Company may compete with other companies for these acquisition opportunities, which may increase the Company’s cost of making acquisitions and the Company may be unsuccessful in pursuing these acquisition opportunities. These companies may be able to pay more for acquisitions and may be able to identify, evaluate, bid for and purchase a greater number of assets than the Company’s financial or human resources permit. Additionally, tax law changes may adversely impact the economic characteristics of potential acquisitions or investments. If the Company is unable to execute its strategy of growth through acquisitions, project development for others, or the addition of new customers, products and geographies, it may impede our long-term objectives and business strategy.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Water Services principally relies upon recurring revenues from a diverse mix of industrial customers. Some of these customers can be adversely affected by low commodity prices such as those for ethanol and oil which may cause these customers to purchase less of U.S. Water Services’ products and services. If U.S. Water Services is unable to retain its existing customers, add new customers, or if it experiences reduced demand for its products and services, adverse impacts on our results of operations could occur that would prevent us from achieving our future growth expectations.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generation of electricity from ALLETE Clean Energy’s wind energy facilities depends heavily on suitable meteorological conditions.</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Energy’s facilities are geographically diverse; however, if wind conditions are unfavorable, ALLETE Clean Energy’s electricity generation and revenue from its wind energy facilities may be substantially below its expectations. The electricity produced, production tax credits received, and revenues generated by a wind energy facility are highly dependent on suitable wind conditions and associated weather conditions, which are beyond ALLETE Clean Energy’s control. Furthermore, components of its systems could be damaged by severe weather, such as hailstorms, lightning or tornadoes. In addition, replacement and spare parts for key components of ALLETE Clean Energy’s diverse turbine portfolio may be difficult or costly to acquire or may be unavailable. Unfavorable weather and atmospheric conditions could impair the effectiveness of ALLETE Clean Energy’s assets or reduce their output beneath their rated capacity or require shutdown of key equipment, impeding operation of its wind energy facilities.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construction, operation and maintenance of ALLETE Clean Energy’s electric generation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construction and operation of generating facilities involves many risks, including the performance by key contracted suppliers and maintenance providers, start-up operations risks, breakdown or failure of facilities, the dependence on the availability of wind resources, or the impact of unusual, adverse weather conditions or other natural events, as well as the risk of performance below expected levels of output or efficiency. A portion of our facilities contain older generating equipment,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repairing damage to facilities due to storms, natural disasters, wars, sabotage, terrorist acts and other catastrophic events.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contracts with its counterparties expire, ALLETE Clean Energy may not be able to replace them with agreements on similar terms.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is party to PSAs which expire in various years between 2019 and 2032.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or sell energy in the wholesale market resulting in similar revenue, our financial position, results of operations and cash flows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Counterparties to ALLETE Clean Energy’s turbine supply, service and maintenance, or offtake agreements may not fulfill their obligations.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is party to turbine supply agreements, service and maintenance agreements, and PSAs under various durations with a limited number of creditworthy counterparties. If, for any reason, any of the counterparties under these agreements do not fulfill their related contractual obligations, and ALLETE Clean Energy is unable to mitigate non-performance by a key supplier or maintenance provider or remarket PSA energy resulting in similar revenue, our financial position, results of operations and cash flows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amount of goodwill and intangible assets. A determination that goodwill or intangible assets have been impaired could result in a significant non-cash charge to earnings.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approximately $223 million of goodwill and intangible assets recorded on our Consolidated Balance Sheet as of December 31, 2018. If we change our business strategy, fail to deliver on our projected results or if market or other conditions adversely affect the operations of U.S. Water Services, we may be required to record an impairment charge. Declines in projected operating cash flows at U.S. Water Services could also result in an impairment charge. An impairment charge would result in a non-cash charge to earnings that could have an adverse effect on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Energy sells lignite coal to two electric generating cooperatives, Minnkota Power and Square Butte, and could be adversely impacted if these customers were unable or unwilling to fulfill their related contractual obligations. In addition, BNI Energy and its customers may be adversely impacted by environmental laws and regulations which could have an adverse effect on our financial position,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not improve.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continued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0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11. Commitments, Guarantees and Contingencies, and are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$0.5875 per share on our common stock is payable on March 1, 2019, to the shareholders of record on February 15, 2019. The timing and amount of future dividends will depend upon earnings, cash requirements, the financial condition of the Company, applicable government regulations and other factors deemed relevant by the ALLETE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there were approximately 22,000 common stock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2013, and reinvestment of dividends.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154940</wp:posOffset>
            </wp:positionV>
            <wp:extent cx="5257165"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$115</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$110</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$144</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$172</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$114</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$115</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$129</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$150</w:t>
            </w: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Philadelphia Utility Index</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$129</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$121</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$160</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$166</w:t>
            </w:r>
          </w:p>
        </w:tc>
      </w:tr>
      <w:tr>
        <w:trPr>
          <w:trHeight w:val="27"/>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Revenue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$1,498.6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$1,419.3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$1,339.7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$1,486.4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$1,136.8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6"/>
                <w:szCs w:val="16"/>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$1,297.4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$1,193.4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$1,122.7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$1,274.7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$946.9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$174.1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$172.2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$125.5</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6"/>
                <w:szCs w:val="16"/>
                <w:i w:val="1"/>
                <w:iCs w:val="1"/>
                <w:color w:val="auto"/>
              </w:rPr>
              <w: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$174.1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$172.2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$155.3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$141.1</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115.0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108.7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102.7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97.9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83.8</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Earnings Retained in Business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$63.5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49.1</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45.9</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6"/>
                <w:szCs w:val="16"/>
                <w:i w:val="1"/>
                <w:iCs w:val="1"/>
                <w:color w:val="auto"/>
              </w:rPr>
              <w:t>(d)</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48.3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42.9</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51.5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51.0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49.5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48.4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43.1</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$5,165.0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$5,080.0</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$4,876.9</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$4,864.4</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$4,329.1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$1,428.5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$1,439.2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$1,370.4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$1,556.7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$1,263.2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Return on Common Equity </w:t>
            </w:r>
            <w:r>
              <w:rPr>
                <w:rFonts w:ascii="Arial" w:cs="Arial" w:eastAsia="Arial" w:hAnsi="Arial"/>
                <w:sz w:val="16"/>
                <w:szCs w:val="16"/>
                <w:i w:val="1"/>
                <w:iCs w:val="1"/>
                <w:color w:val="auto"/>
              </w:rPr>
              <w:t>(b)</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$2.24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$2.14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$2.08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$2.02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Dividend Payout Ratio </w:t>
            </w:r>
            <w:r>
              <w:rPr>
                <w:rFonts w:ascii="Arial" w:cs="Arial" w:eastAsia="Arial" w:hAnsi="Arial"/>
                <w:sz w:val="16"/>
                <w:szCs w:val="16"/>
                <w:i w:val="1"/>
                <w:iCs w:val="1"/>
                <w:color w:val="auto"/>
              </w:rPr>
              <w:t>(b)</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$41.85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$40.46</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$38.17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$37.18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$35.04</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$211.9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$177.1</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$121.8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$224.4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$583.5</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89.7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106.9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U.S. Water Services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$318.6</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$266.5</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$247.8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$251.8</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2015, operating revenue and operating expenses included $197.7 million and $162.9 million, respectively, for the sale of a wind energy facility by ALLETE Clean Energy to Montana-Dakota Utilities. In 2018, operating revenue and operating expenses included $81.1 million and $67.4 million, respectively, for the sale of a wind energy facility by ALLETE Clean Energy to Montana-Dakota Utilities.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year ended December 31, 2017, includes the impact of the remeasurement of deferred income tax assets and liabilities resulting from the TCJA. (See Note 13. Income Tax Expense.)</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non-controlling interest related to ALLETE Clean Energy’s Condon wind energy facility was acquired in 2016. (See Note 6. Acquisitions.)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 in 2014.</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545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ALLETE Properties, our legacy</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real estate investment, other business development and corporate 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2018,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2018, to the year ended December 31, 2017.</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Net income attributable to ALLETE in 2018 was $174.1 million, or $3.38 per diluted share, compared to $172.2 million, or $3.38 per diluted share, in 2017. Net income in 2017 included the favorable impacts of $13.0 million after-tax, or $0.25 per share, for the remeasurement of deferred income tax assets and liabilities resulting from the TCJA and $7.9 million after-tax, or $0.16 per share, related to the regulatory outcome of the MPUC’s modification of its November 2016 order on the allocation of North Dakota investment tax credits. Net income in 2017 also included a non</w:t>
      </w:r>
      <w:r>
        <w:rPr>
          <w:rFonts w:ascii="MS PGothic" w:cs="MS PGothic" w:eastAsia="MS PGothic" w:hAnsi="MS PGothic"/>
          <w:sz w:val="18"/>
          <w:szCs w:val="18"/>
          <w:color w:val="auto"/>
        </w:rPr>
        <w:t>‑</w:t>
      </w:r>
      <w:r>
        <w:rPr>
          <w:rFonts w:ascii="Arial" w:cs="Arial" w:eastAsia="Arial" w:hAnsi="Arial"/>
          <w:sz w:val="18"/>
          <w:szCs w:val="18"/>
          <w:color w:val="auto"/>
        </w:rPr>
        <w:t>cash $11.4 million after-tax charge, or $0.22 per share, for the MPUC’s decision in Minnesota Power’s 2016 general rate case disallowing recovery of Minnesota Power’s regulatory asset for deferred fuel adjustment clause costs. (See Note 4. Regulatory Matters.) Earnings per share dilution in 2018 was $0.04 due to additional shares of common stock outstanding as of December 31, 2018.</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$131.0 million in 2018, compared to $128.4 million in 2017. Net income at Minnesota Power</w:t>
      </w:r>
      <w:r>
        <w:rPr>
          <w:rFonts w:ascii="Arial" w:cs="Arial" w:eastAsia="Arial" w:hAnsi="Arial"/>
          <w:sz w:val="17"/>
          <w:szCs w:val="17"/>
          <w:b w:val="1"/>
          <w:bCs w:val="1"/>
          <w:color w:val="auto"/>
        </w:rPr>
        <w:t xml:space="preserve"> </w:t>
      </w:r>
      <w:r>
        <w:rPr>
          <w:rFonts w:ascii="Arial" w:cs="Arial" w:eastAsia="Arial" w:hAnsi="Arial"/>
          <w:sz w:val="17"/>
          <w:szCs w:val="17"/>
          <w:color w:val="auto"/>
        </w:rPr>
        <w:t>was higher than 2017 reflecting the non</w:t>
      </w:r>
      <w:r>
        <w:rPr>
          <w:rFonts w:ascii="MS PGothic" w:cs="MS PGothic" w:eastAsia="MS PGothic" w:hAnsi="MS PGothic"/>
          <w:sz w:val="17"/>
          <w:szCs w:val="17"/>
          <w:color w:val="auto"/>
        </w:rPr>
        <w:t>‑</w:t>
      </w:r>
      <w:r>
        <w:rPr>
          <w:rFonts w:ascii="Arial" w:cs="Arial" w:eastAsia="Arial" w:hAnsi="Arial"/>
          <w:sz w:val="17"/>
          <w:szCs w:val="17"/>
          <w:color w:val="auto"/>
        </w:rPr>
        <w:t>cash $11.4 million after-tax charge in 2017 for the MPUC’s decision in Minnesota Power’s 2016 general rate case disallowing recovery of Minnesota Power’s regulatory asset for deferred fuel adjustment clause costs. Net income in 2018 included lower transmission revenue resulting from lower MISO-related revenue and a $3.1 million after-tax out-of-period adjustment for an estimated true-up of MISO rates that were billed in 2017 and are expected to be credited to customers in 2019, the timing of fuel adjustment clause recoveries, lower industrial sales, and higher property tax and interest expense. These decreases were partially offset by lower operating and maintenance expense, higher pricing on PSAs with Other Power Suppliers, increased cost recovery rider revenue, and higher sales to residential and commercial customers due to more favorable weather conditions in 2018. Net income in 2018 also included higher depreciation expense resulting from a reduction in the depreciable lives of Boswell Unit 3, Unit 4 and common facilities to 2035, which was offset by the benefits of the lower federal income tax rate enacted as part of the TCJA. Net income at SWL&amp;P and our after-tax equity earnings in ATC were similar to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2018 Financial Overview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$33.7 million in 2018 compared to $41.5 million in 2017. Net income in 2017 included a</w:t>
      </w:r>
      <w:r>
        <w:rPr>
          <w:rFonts w:ascii="Arial" w:cs="Arial" w:eastAsia="Arial" w:hAnsi="Arial"/>
          <w:sz w:val="18"/>
          <w:szCs w:val="18"/>
          <w:b w:val="1"/>
          <w:bCs w:val="1"/>
          <w:color w:val="auto"/>
        </w:rPr>
        <w:t xml:space="preserve"> </w:t>
      </w:r>
      <w:r>
        <w:rPr>
          <w:rFonts w:ascii="Arial" w:cs="Arial" w:eastAsia="Arial" w:hAnsi="Arial"/>
          <w:sz w:val="18"/>
          <w:szCs w:val="18"/>
          <w:color w:val="auto"/>
        </w:rPr>
        <w:t>$23.6 million after-tax benefit due to the remeasurement of deferred income tax assets and liabilities resulting from the TCJA. Net income in 2018 included the sale of a wind energy facility to Montana-Dakota Utilities, a lower federal income tax rate enacted as part of the TCJA and $7.4 million after-tax of additional production tax credits generated as ALLETE Clean Energy continues to execute its refurbishment strategy. Of the $7.4 million after-tax in additional production tax credits, $3.0 million resulted from the retrospective qualification of additional wind turbine generators in 2016 and 2017. These increases were partially offset by higher operating and maintenance expenses.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 Water Services </w:t>
      </w:r>
      <w:r>
        <w:rPr>
          <w:rFonts w:ascii="Arial" w:cs="Arial" w:eastAsia="Arial" w:hAnsi="Arial"/>
          <w:sz w:val="16"/>
          <w:szCs w:val="16"/>
          <w:color w:val="auto"/>
        </w:rPr>
        <w:t>net income attributable to ALLETE was $3.2 million in 2018, compared to $10.7 million in 2017. Net income in 2017 included a $9.2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after-tax benefit due to the remeasurement of deferred income tax assets and liabilities resulting from the TCJA. Net income in 2018 included increased revenue primarily due to higher capital project sales and higher sales of chemicals and related services, partially offset by higher operating expenses. Net income in 2018 included $0.6 million of after-tax expense recognized as cost of sales related to purchase accounting for sales backlog.</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$6.2 million in 2018 compared to a net loss of $8.4 million in 2017. The net loss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additional income tax expense of $19.8 million after-tax for the remeasurement of deferred income tax assets and liabilities resulting from the TCJA and a $7.9 million after-tax favorable impact for the regulatory outcome of the MPUC’s modification of its November 2016 order on the allocation of North Dakota investment tax credits. Net income in 2018 included an increase for the change in fair value of the contingent consideration liability of $1.3 million after-tax as compared to 2017.</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2018 Compared to 2017</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(See Note 17. Business Segments for financial results by segment.)</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$1,059.5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$1,063.8</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407.5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396.9</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69.9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220.1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227.3</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158.0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52.5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151.5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80" w:type="dxa"/>
            <w:vAlign w:val="bottom"/>
          </w:tcPr>
          <w:p>
            <w:pPr>
              <w:jc w:val="right"/>
              <w:ind w:right="130"/>
              <w:spacing w:after="0"/>
              <w:rPr>
                <w:sz w:val="20"/>
                <w:szCs w:val="20"/>
                <w:color w:val="auto"/>
              </w:rPr>
            </w:pPr>
            <w:r>
              <w:rPr>
                <w:rFonts w:ascii="Arial" w:cs="Arial" w:eastAsia="Arial" w:hAnsi="Arial"/>
                <w:sz w:val="18"/>
                <w:szCs w:val="18"/>
                <w:color w:val="auto"/>
              </w:rPr>
              <w:t>(60.2)</w:t>
            </w:r>
          </w:p>
        </w:tc>
        <w:tc>
          <w:tcPr>
            <w:tcW w:w="9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115.5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80" w:type="dxa"/>
            <w:vAlign w:val="bottom"/>
          </w:tcPr>
          <w:p>
            <w:pPr>
              <w:jc w:val="right"/>
              <w:ind w:right="130"/>
              <w:spacing w:after="0"/>
              <w:rPr>
                <w:sz w:val="20"/>
                <w:szCs w:val="20"/>
                <w:color w:val="auto"/>
              </w:rPr>
            </w:pPr>
            <w:r>
              <w:rPr>
                <w:rFonts w:ascii="Arial" w:cs="Arial" w:eastAsia="Arial" w:hAnsi="Arial"/>
                <w:sz w:val="18"/>
                <w:szCs w:val="18"/>
                <w:color w:val="auto"/>
              </w:rPr>
              <w:t>(15.5)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r>
      <w:tr>
        <w:trPr>
          <w:trHeight w:val="20"/>
        </w:trPr>
        <w:tc>
          <w:tcPr>
            <w:tcW w:w="4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 – Utility </w:t>
      </w:r>
      <w:r>
        <w:rPr>
          <w:rFonts w:ascii="Arial" w:cs="Arial" w:eastAsia="Arial" w:hAnsi="Arial"/>
          <w:sz w:val="17"/>
          <w:szCs w:val="17"/>
          <w:color w:val="auto"/>
        </w:rPr>
        <w:t>decreased $4.3 million from 2017 primarily due to lower transmission revenue, the impact of a regulatory outcome in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allocation of North Dakota investment tax credits, provision for tax reform refund related to income tax changes resulting from the TCJA, and lower financial incentives under the Minnesota conservation improvement program, partially offset by higher revenue from kWh sales, cost recovery rider revenue, fuel clause adjustment recoveries, and conservation improvement program recoveries.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decreased $15.0 million primarily due to lower MISO-related revenue and a $4.4 million out-of-period adjustment for an estimated true-up of MISO rates that were billed in 2017 and are expected to be credited to customers in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Revenue decreased $14.0 million due to the impact of a regulatory outcome in 2017 related to the allocation of North Dakota investment tax credits. This decrease in revenue was offset by the income tax impacts of the regulatory outcome resulting in no impact to net income for Regulated Operations. (See Note 4. Regulatory Matters and </w:t>
      </w:r>
      <w:r>
        <w:rPr>
          <w:rFonts w:ascii="Arial" w:cs="Arial" w:eastAsia="Arial" w:hAnsi="Arial"/>
          <w:sz w:val="18"/>
          <w:szCs w:val="18"/>
          <w:i w:val="1"/>
          <w:iCs w:val="1"/>
          <w:color w:val="auto"/>
        </w:rPr>
        <w:t>Income Tax Expense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decreased $11.9 million from 2017 reflecting income tax changes resulting from the TCJA primarily related to a provision for tax reform refund for the benefit of excess deferred income taxes in 2018. We have recorded the benefit of these excess deferred income taxes for Minnesota Power and SWL&amp;P as regulatory liabilities. (See Note 4. Regulatory Matters.)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were lower by $2.5 million from 2017 as a result of MPUC-approved modifications to the mechanism for calculating the financial incentives.</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Interim retail rates of $29.5 million collected in 2018 were fully offset by the recognition of a corresponding reserve throughout the year. In the fourth quarter of 2017, Minnesota Power recognized interim retail rate refund reserves of $31.6 million to fully offset interim retail rates collected throughout the year in 2017 due to the regulatory outcome of the MPUC’s decision in Minnesota Power’s 2016 general rate case at a hearing on January 18, 2018.</w:t>
      </w:r>
    </w:p>
    <w:p>
      <w:pPr>
        <w:spacing w:after="0" w:line="14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increased $13.5 million from 2017 reflecting higher kWh sales to Residential and Commercial customers, and higher pricing on sales to Other Power Suppliers. Sales to Residential and Commercial customers increased in 2018 primarily due to more favorable weather conditions in 2018 compared to 2017. Sales to Industrial customers decreased 0.9 percent reflecting lower sales to UPM Blandin as a result of the closure of the smaller of its two paper machines in the fourth quarter of 2017 and Husky Energy due to an April 2018 fire at its refinery in Superior, Wisconsin, partially offset by increased taconite production. Revenue from Other Power Suppliers increased due to higher pricing on sales, partially offset by a 2.1 percent decrease in kWh sales from 2017. Sales to Other Power Suppliers are sold at market-based prices into the MISO market on a daily basis or through PSAs of various durations.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1,140</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1,426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1,420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0.4</w:t>
            </w: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7,261</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7,327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798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799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10,625</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10,642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60" w:type="dxa"/>
            <w:vAlign w:val="bottom"/>
          </w:tcPr>
          <w:p>
            <w:pPr>
              <w:jc w:val="right"/>
              <w:ind w:right="290"/>
              <w:spacing w:after="0"/>
              <w:rPr>
                <w:sz w:val="20"/>
                <w:szCs w:val="20"/>
                <w:color w:val="auto"/>
              </w:rPr>
            </w:pPr>
            <w:r>
              <w:rPr>
                <w:rFonts w:ascii="Arial" w:cs="Arial" w:eastAsia="Arial" w:hAnsi="Arial"/>
                <w:sz w:val="18"/>
                <w:szCs w:val="18"/>
                <w:color w:val="auto"/>
              </w:rPr>
              <w:t>3,953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4,039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(2.1)</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14,578</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14,681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r>
      <w:tr>
        <w:trPr>
          <w:trHeight w:val="20"/>
        </w:trPr>
        <w:tc>
          <w:tcPr>
            <w:tcW w:w="45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21 percent of consolidated operating revenue in 2018 (22 percent in 2017). Revenue from electric sales to paper, pulp and secondary wood product customers accounted for 4 percent of consolidated operating revenue in 2018 (5 percent in 2017). Revenue from electric sales to pipelines and other industrial customers accounted for 6 percent of consolidated operating revenue in 2018 (7 percent in 2017).</w:t>
      </w:r>
    </w:p>
    <w:p>
      <w:pPr>
        <w:spacing w:after="0" w:line="1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Cost recovery rider revenue increased $13.0 million primarily due to higher expenditures related to the construction of the GNTL and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$7.9 million due to higher fuel and purchased power costs attributable to retail and municipal customers.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$3.5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$28.9 million, or 3 percent, from 2017.</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$10.6 million, or 3 percent, from 2017 primarily due to higher purchased power prices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higher fuel costs, partially offset by a $19.5 million expense in 2017 for the MPUC’s decision disallowing recovery of Minnesota Power’s regulatory asset for deferred fuel adjustment clause costs. At a hearing on January 18, 2018, the MPUC disallowed Minnesota Power’s regulatory asset for deferred fuel adjustment clause costs due to the anticipated adoption of a forward-looking fuel adjustment clause methodology resulting in a $19.5 million charge in the fourth quarter of 2017.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$7.2 million, or 3 percent, from 2017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purchased for generation facilities, partially offset by a $3.5 million increase in conservation improvement program expenses and additional severance expense of $1.9 million in 2018.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$25.4 million, or 19 percent, from 2017 primarily due to modifications of the depreciable lives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Boswell and additional property, plant and equipment in service. As part of its decision in Minnesota Power’s 2016 general rate case, the MPUC extended the depreciable lives of Boswell Unit 3, Unit 4 and common facilities to 2050, and shortened the depreciable lives of Boswell Unit 1 and Unit 2 to 2022, resulting in a net decrease to depreciation expense of approximately $25 million in 2017. Subsequently, as part of the reconsideration of its decision in Minnesota Power’s 2016 general rate case, the MPUC reduced the depreciable lives of Boswell Unit 3, Unit 4 and common facilities to 2035, resulting in higher depreciation expense in 2018. The increase in depreciation expense in 2018 was offset mostly by the benefits of the lower federal income tax rate enacted as part of the TCJA. (See Note 4. Regulatory Matters and </w:t>
      </w:r>
      <w:r>
        <w:rPr>
          <w:rFonts w:ascii="Arial" w:cs="Arial" w:eastAsia="Arial" w:hAnsi="Arial"/>
          <w:sz w:val="17"/>
          <w:szCs w:val="17"/>
          <w:i w:val="1"/>
          <w:iCs w:val="1"/>
          <w:color w:val="auto"/>
        </w:rPr>
        <w:t>Income Tax Benefit</w:t>
      </w:r>
      <w:r>
        <w:rPr>
          <w:rFonts w:ascii="Arial" w:cs="Arial" w:eastAsia="Arial" w:hAnsi="Arial"/>
          <w:sz w:val="17"/>
          <w:szCs w:val="17"/>
          <w:color w:val="auto"/>
        </w:rPr>
        <w:t>.)</w:t>
      </w:r>
    </w:p>
    <w:p>
      <w:pPr>
        <w:spacing w:after="0" w:line="1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$3.2 million, or 6 percent, from 2017 primarily due to higher average long-term debt balances, higher interest rates and $0.5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interest on Minnesota Power’s reserve for interim rate refunds.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$5.0 million, or 22 percent, from 2017 primarily due to the federal income tax rate change enacted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TCJA, partially offset by additional investments in ATC. (See Note 5. Equity Investments.)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$15.5 million in 2018 compared to income tax expense of $27.2 million in 2017. The income tax benefit in 2018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of the federal income tax rate from 35 percent to 21 percent enacted as part of the TCJA, the amortization of excess deferred income tax benefit resulting from the TCJA and lower pre-tax income. Income tax expense in 2017 included the impact of a regulatory outcome in 2017 related to the allocation of North Dakota investment tax credits.</w:t>
      </w:r>
    </w:p>
    <w:p>
      <w:pPr>
        <w:spacing w:after="0" w:line="18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2017, as a result of the favorable impact for the regulatory outcome of the MPUC’s modification of its November 2016 order on the allocation of North Dakota investment tax credits, Regulated Operations increased operating revenue and reduced the corresponding regulatory liability by $14.0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 (See Note 4. Regulatory Matters.)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0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$159.9</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42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60" w:type="dxa"/>
            <w:vAlign w:val="bottom"/>
          </w:tcPr>
          <w:p>
            <w:pPr>
              <w:jc w:val="right"/>
              <w:ind w:right="210"/>
              <w:spacing w:after="0"/>
              <w:rPr>
                <w:sz w:val="20"/>
                <w:szCs w:val="20"/>
                <w:color w:val="auto"/>
              </w:rPr>
            </w:pPr>
            <w:r>
              <w:rPr>
                <w:rFonts w:ascii="Arial" w:cs="Arial" w:eastAsia="Arial" w:hAnsi="Arial"/>
                <w:sz w:val="18"/>
                <w:szCs w:val="18"/>
                <w:color w:val="auto"/>
              </w:rPr>
              <w:t>$33.7</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$23.6 million after-tax benefit due to the remeasurement of deferred income tax assets and liabilities resulting from the TCJA.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0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$79.4 million from 2017 due to the sale of a wind energy facility to Montana-Dakota Utilities in 2018.</w:t>
      </w:r>
    </w:p>
    <w:p>
      <w:pPr>
        <w:spacing w:after="0" w:line="248"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220.1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241.8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134.8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99.6</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90.7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191.8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244.9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263.5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264.5</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267.4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1,155.7</w:t>
            </w: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78.8</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1,231.6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Sale of Wind Energy Facility </w:t>
            </w:r>
            <w:r>
              <w:rPr>
                <w:rFonts w:ascii="Arial" w:cs="Arial" w:eastAsia="Arial" w:hAnsi="Arial"/>
                <w:sz w:val="16"/>
                <w:szCs w:val="16"/>
                <w:i w:val="1"/>
                <w:iCs w:val="1"/>
                <w:color w:val="auto"/>
              </w:rPr>
              <w:t>(a)</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81.1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1,155.7</w:t>
            </w: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$159.9</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1,231.6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i w:val="1"/>
          <w:iCs w:val="1"/>
          <w:color w:val="auto"/>
        </w:rPr>
        <w:t>(a)</w:t>
        <w:tab/>
        <w:t>2018 included the recognition of $67.4 million of cost of sales related to the sale of a wind energy facility.</w:t>
      </w:r>
    </w:p>
    <w:p>
      <w:pPr>
        <w:spacing w:after="0" w:line="21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$7.8 million from 2017. Net income in 2017 included a $23.6 million after-tax benefit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remeasurement of deferred income tax assets and liabilities resulting from the TCJA. Net income in 2018 included the sale of a wind energy facility to Montana-Dakota Utilities, a lower federal income tax rate enacted as part of the TCJA and $7.4 million after-tax of additional production tax credits generated as ALLETE Clean Energy continues to execute its refurbishment strategy. Of the $7.4 million after-tax in additional production tax credits, $3.0 million resulted from the retrospective qualification of additional wind turbine generators in 2016 and 2017. These increases were partially offset by higher operating and maintenance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$172.1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r>
      <w:tr>
        <w:trPr>
          <w:trHeight w:val="243"/>
        </w:trPr>
        <w:tc>
          <w:tcPr>
            <w:tcW w:w="42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$9.2 million after-tax benefit due to the remeasurement of deferred income tax assets and liabilities resulting from the TCJA.</w:t>
      </w:r>
    </w:p>
    <w:p>
      <w:pPr>
        <w:spacing w:after="0" w:line="21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$20.3 million, or 13 percent, from 2017. Revenue from chemical sales and related services was $138.6 million in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$132.0 million in 2017. Revenue from capital projects was $33.5 million for 2018 compared to $19.8 million in 2017; capital project sales can significantly fluctuate from period to period. Revenue in 2018 reflected a full year of sales from Tonka Water, which was acquired in September 2017.</w:t>
      </w:r>
    </w:p>
    <w:p>
      <w:pPr>
        <w:spacing w:after="0" w:line="18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decreased $7.5 million from 2017. Net income in 2017 included a $9.2 million after-tax benefit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remeasurement of deferred income tax assets and liabilities resulting from the TCJA. Net income in 2018 included increased revenue primarily due to higher capital project sales and higher sales of chemicals and related services, partially offset by higher operating expenses. Net income in 2018 included $0.6 million of after-tax expense recognized as cost of sales related to purchase accounting for sales backlog.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 from operations for U.S. Water Services was approximately $5 million in 2018 compared to approximately $12 million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$16.1 million, or 13 percent, from 2017 primarily due to a decrease in land sales at ALLETE Properties and lower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BNI Energy, which operates under cost-plus fixed fee contracts, as a result of lower expenses and fewer tons sold in 2018 compared to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1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$6.2 million in 2017 compared to a net loss of $8.4 million in 2017. The net loss in 2017 included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of $19.8 million after-tax for the remeasurement of deferred income tax assets and liabilities resulting from the TCJA and a $7.9 million after-tax favorable impact for the regulatory outcome of the MPUC’s modification of its November 2016 order on the allocation of North Dakota investment tax credits. Net income in 2018 included an increase for the change in fair value of the contingent consideration liability of $1.3 million after-tax.</w:t>
      </w:r>
    </w:p>
    <w:p>
      <w:pPr>
        <w:spacing w:after="0" w:line="1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Net income at BNI Energy was $6.8 million in 2018 compared to $4.5 million in 2017. Net income in 2017 included a $3.1 million after-tax expense due to the remeasurement of deferred income tax assets and liabilities resulting from the TCJA. The net loss at ALLETE Properties was $0.5 million in 2018 compared to a net loss of $8.8 million in 2017. The net loss in 2017 included a $7.8 million after-tax expense for the remeasurement of deferred income tax assets and liabilities resulting from the TCJA.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For the year ended December 31, 2018, the effective tax rate was a benefit of 9.8 percent (expense of 7.9 percent for the year ended December 31, 2017). The decrease from 2017 was primarily due to the reduction of the federal income tax rate from 35 percent to 21 percent enacted as part of the TCJA, the amortization of excess deferred income tax benefit resulting from the TCJA and lower pre-tax income in 2018, partially offset by the remeasurement of deferred income tax assets and liabilities resulting from the TCJA in 2017. The effective rate deviated from the combined statutory rate of approximately 28 percent primarily due to production tax credits. (See Note 13. Income Tax Expense.)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2017 Compared to 2016</w:t>
            </w:r>
          </w:p>
        </w:tc>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rPr>
              <w:t>(See Note 17. Business Segments for financial results by segment.)</w:t>
            </w: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54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$1,063.8</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$1,000.7</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396.9</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339.9</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71.2</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227.3</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227.5</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132.6</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51.1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47.7</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184.7</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180" w:type="dxa"/>
            <w:vAlign w:val="bottom"/>
          </w:tcPr>
          <w:p>
            <w:pPr>
              <w:jc w:val="right"/>
              <w:ind w:right="110"/>
              <w:spacing w:after="0"/>
              <w:rPr>
                <w:sz w:val="20"/>
                <w:szCs w:val="20"/>
                <w:color w:val="auto"/>
              </w:rPr>
            </w:pPr>
            <w:r>
              <w:rPr>
                <w:rFonts w:ascii="Arial" w:cs="Arial" w:eastAsia="Arial" w:hAnsi="Arial"/>
                <w:sz w:val="18"/>
                <w:szCs w:val="18"/>
                <w:color w:val="auto"/>
              </w:rPr>
              <w:t>(57.0)</w:t>
            </w: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155.6</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27.2</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0"/>
        </w:trPr>
        <w:tc>
          <w:tcPr>
            <w:tcW w:w="54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Revenue – Utility </w:t>
      </w:r>
      <w:r>
        <w:rPr>
          <w:rFonts w:ascii="Arial" w:cs="Arial" w:eastAsia="Arial" w:hAnsi="Arial"/>
          <w:sz w:val="16"/>
          <w:szCs w:val="16"/>
          <w:color w:val="auto"/>
        </w:rPr>
        <w:t>increased $63.1 million, or 6 percent, from 2016 primarily due to the period over period impact of the regulatory outcomes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allocation of North Dakota investment tax credits, as well as higher fuel adjustment clause recoveries, conservation improvement program recoveries and revenue from kWh sales, partially offset by lower FERC formula-based rates, financial incentives under the conservation improvement program and transmission revenue. Interim retail rate refund reserves fully offset the interim retail rates recognized during 2017.</w:t>
      </w:r>
    </w:p>
    <w:p>
      <w:pPr>
        <w:spacing w:after="0" w:line="15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Revenue increased $29.0 million due to the period over period impact of the regulatory outcomes related to the allocation of North Dakota investment tax credits. As a result of the favorable impact for the regulatory outcome of the MPUC’s modification of its 2016 order on the allocation of North Dakota investment tax credits, operating revenue increased $14.0 million in 2017. In 2016, operating revenue decreased $15.0 million as a result of the adverse impact for the regulatory outcome of the 2016 MPUC order. (See Note 4. Regulatory Matters.)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$24.4 million due to higher fuel and purchased power costs attributable to retail and municipal customers. (See </w:t>
      </w:r>
      <w:r>
        <w:rPr>
          <w:rFonts w:ascii="Arial" w:cs="Arial" w:eastAsia="Arial" w:hAnsi="Arial"/>
          <w:sz w:val="18"/>
          <w:szCs w:val="18"/>
          <w:i w:val="1"/>
          <w:iCs w:val="1"/>
          <w:color w:val="auto"/>
        </w:rPr>
        <w:t>Operating Expenses - Fuel, Purchased Power and Gas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$7.2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19" w:lineRule="exact"/>
        <w:rPr>
          <w:sz w:val="20"/>
          <w:szCs w:val="20"/>
          <w:color w:val="auto"/>
        </w:rPr>
      </w:pPr>
      <w:r>
        <w:rPr>
          <w:rFonts w:ascii="Arial" w:cs="Arial" w:eastAsia="Arial" w:hAnsi="Arial"/>
          <w:sz w:val="16"/>
          <w:szCs w:val="16"/>
          <w:color w:val="auto"/>
        </w:rPr>
        <w:t>Revenue from kWh sales increased $3.9 million from 2016 primarily due to higher sales to Industrial customers. Sales to Industrial customers increased 13.5 percent primarily due to increased taconite production and the commencement of a long</w:t>
      </w:r>
      <w:r>
        <w:rPr>
          <w:rFonts w:ascii="MS PGothic" w:cs="MS PGothic" w:eastAsia="MS PGothic" w:hAnsi="MS PGothic"/>
          <w:sz w:val="16"/>
          <w:szCs w:val="16"/>
          <w:color w:val="auto"/>
        </w:rPr>
        <w:t>‑</w:t>
      </w:r>
      <w:r>
        <w:rPr>
          <w:rFonts w:ascii="Arial" w:cs="Arial" w:eastAsia="Arial" w:hAnsi="Arial"/>
          <w:sz w:val="16"/>
          <w:szCs w:val="16"/>
          <w:color w:val="auto"/>
        </w:rPr>
        <w:t>term PSA with Silver Bay Power in 2016. Sales to Other Power Suppliers decreased 6.4 percent from 2016 as a result of increased sales to Industrial customers. Sales to Other Power Suppliers are sold at market</w:t>
      </w:r>
      <w:r>
        <w:rPr>
          <w:rFonts w:ascii="MS PGothic" w:cs="MS PGothic" w:eastAsia="MS PGothic" w:hAnsi="MS PGothic"/>
          <w:sz w:val="16"/>
          <w:szCs w:val="16"/>
          <w:color w:val="auto"/>
        </w:rPr>
        <w:t>‑</w:t>
      </w:r>
      <w:r>
        <w:rPr>
          <w:rFonts w:ascii="Arial" w:cs="Arial" w:eastAsia="Arial" w:hAnsi="Arial"/>
          <w:sz w:val="16"/>
          <w:szCs w:val="16"/>
          <w:color w:val="auto"/>
        </w:rPr>
        <w:t>based prices into the MISO market on a daily basis or through bilateral agreements of various durations; market prices were lower in 2017 compared to 2016. Sales to Residential, Commercial and Municipal customers decreased primarily due to milder temperatures in 2017.</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1,096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1,420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1,442</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(1.5)</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7,327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6,456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871</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799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10,642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9,816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8.4</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4,039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4,316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(277)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(6.4)</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14,681</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14,132</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549</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22 percent of consolidated operating revenue in 2017 (18 percent in 2016). Revenue from electric sales to paper, pulp and secondary wood product customers accounted for 5 percent of consolidated operating revenue in 2017 (6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Interim retail rates for Minnesota Power were approved by the MPUC and became effective on January 1, 2017. Interim retail rate refund reserves of $31.6 million fully offset the interim retail rates recognized during 2017 due to the regulatory outcome of the MPUC’s decision in Minnesota Power’s 2016 general rate case on January 18, 2018. (See Note 4.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decreased $4.9 million from 2016 primarily due to lower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incentives under the conservation improvement program decreased $1.9 million from 2016.</w:t>
      </w:r>
    </w:p>
    <w:p>
      <w:pPr>
        <w:spacing w:after="0" w:line="225"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 xml:space="preserve">Transmission revenue decreased $1.7 million primarily due to lower MISO-related revenue, partially offset by period over period changes in the estimate of a refund liability related to MISO return on equity complaints. (See </w:t>
      </w:r>
      <w:r>
        <w:rPr>
          <w:rFonts w:ascii="Arial" w:cs="Arial" w:eastAsia="Arial" w:hAnsi="Arial"/>
          <w:sz w:val="17"/>
          <w:szCs w:val="17"/>
          <w:i w:val="1"/>
          <w:iCs w:val="1"/>
          <w:color w:val="auto"/>
        </w:rPr>
        <w:t>Operating Expenses - Transmission Services – Utility.</w:t>
      </w:r>
      <w:r>
        <w:rPr>
          <w:rFonts w:ascii="Arial" w:cs="Arial" w:eastAsia="Arial" w:hAnsi="Arial"/>
          <w:sz w:val="17"/>
          <w:szCs w:val="17"/>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$44.5 million, or 5 percent, from 2016.</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$57.0 million, or 17 percent, from 2016 primarily due to increased kWh sales, higher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a $19.5 million expense for the MPUC’s decision disallowing recovery of Minnesota Power’s regulatory asset for deferred fuel adjustment clause costs at a hearing on January 18, 2018, due to the anticipated adoption of a forward-looking fuel adjustment clause methodology. These increases were partially offset by lower purchased 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$6.0 million, or 9 percent, from 2016 primarily due to higher MISO-related expense. (See</w:t>
      </w:r>
      <w:r>
        <w:rPr>
          <w:rFonts w:ascii="Arial" w:cs="Arial" w:eastAsia="Arial" w:hAnsi="Arial"/>
          <w:sz w:val="18"/>
          <w:szCs w:val="18"/>
          <w:i w:val="1"/>
          <w:iCs w:val="1"/>
          <w:color w:val="auto"/>
        </w:rPr>
        <w:t xml:space="preserve"> Operating Revenue – Utility.</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decreased $21.7 million, or 14 percent, from 2016 primarily due to modifications of the depreciable lives for</w:t>
      </w:r>
      <w:r>
        <w:rPr>
          <w:rFonts w:ascii="Arial" w:cs="Arial" w:eastAsia="Arial" w:hAnsi="Arial"/>
          <w:sz w:val="18"/>
          <w:szCs w:val="18"/>
          <w:i w:val="1"/>
          <w:iCs w:val="1"/>
          <w:color w:val="auto"/>
        </w:rPr>
        <w:t xml:space="preserve"> </w:t>
      </w:r>
      <w:r>
        <w:rPr>
          <w:rFonts w:ascii="Arial" w:cs="Arial" w:eastAsia="Arial" w:hAnsi="Arial"/>
          <w:sz w:val="18"/>
          <w:szCs w:val="18"/>
          <w:color w:val="auto"/>
        </w:rPr>
        <w:t>Boswell, partially offset by additional property, plant and equipment in service. At a hearing on January 18, 2018, the MPUC extended the depreciable lives of Boswell Unit 3, Unit 4 and common facilities to 2050, and shortened the depreciable lives of Boswell Unit 1 and Unit 2 to 2022, resulting in a net decrease to depreciation expense of approximately $25 million in 2017.</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$3.4 million, or 7 percent, from 2016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$4.9 million, or 9 percent, from 2016 primarily due to higher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primarily based on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$4.0 million, or 22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5. Equity Investments.)</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increased $21.3 million, from 2016 due to the period over period impact of the regulatory outcomes related to the allocation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North Dakota investment tax credits and higher pre-tax income. The TCJA did not have an impact on income tax expense for our Regulated Operations as the remeasurement of deferred income tax assets and liabilities primarily resulted in the recording of regulatory assets and liabilities.</w:t>
      </w:r>
    </w:p>
    <w:p>
      <w:pPr>
        <w:spacing w:after="0" w:line="166"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2017, as a result of the favorable impact for the regulatory outcome of the MPUC’s modification of its 2016 order on the allocation of North Dakota investment tax credits, Regulated Operations increased operating revenue and reduced the corresponding regulatory liability by $14.0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w:t>
      </w:r>
    </w:p>
    <w:p>
      <w:pPr>
        <w:spacing w:after="0" w:line="15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2016, as a result of the adverse impact for the regulatory outcome of the 2016 MPUC order, Regulated Operations reduced operating revenue and recorded a corresponding regulatory liability for $15.0 million resulting in an income tax benefit of $6.2 million. In addition, Regulated Operations recorded an income tax benefit of $8.8 million for North Dakota investment tax credits transferred from Corporate and Other, resulting in no impact to net income for Regulated Operations. Corporate and Other recorded an offsetting income tax expense of $8.8 million for the North Dakota investment tax credits transferred to Regulated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$80.5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4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210"/>
              <w:spacing w:after="0"/>
              <w:rPr>
                <w:sz w:val="20"/>
                <w:szCs w:val="20"/>
                <w:color w:val="auto"/>
              </w:rPr>
            </w:pPr>
            <w:r>
              <w:rPr>
                <w:rFonts w:ascii="Arial" w:cs="Arial" w:eastAsia="Arial" w:hAnsi="Arial"/>
                <w:sz w:val="18"/>
                <w:szCs w:val="18"/>
                <w:color w:val="auto"/>
              </w:rPr>
              <w:t>$41.5</w:t>
            </w: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$23.6 million after-tax benefit due to the remeasurement of deferred income tax assets and liabilities resulting from the TCJA.</w:t>
      </w:r>
    </w:p>
    <w:p>
      <w:pPr>
        <w:spacing w:after="0" w:line="21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is consistent with 2016 as lower kWh sales at the wind energy facilities resulting from lower wind resources were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PSAs. (See Note 1. Operations and Significant Accounting Policies.)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241.8</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$12.3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254.7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152.6</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90.7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96.9</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215.6</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222.3</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263.5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13.9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278.8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267.4</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268.2</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1,231.6</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$80.5</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1,275.7</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18" w:lineRule="exact"/>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$28.1 million from 2016. Net income in 2017 included a $23.6 million after</w:t>
      </w:r>
      <w:r>
        <w:rPr>
          <w:rFonts w:ascii="MS PGothic" w:cs="MS PGothic" w:eastAsia="MS PGothic" w:hAnsi="MS PGothic"/>
          <w:sz w:val="16"/>
          <w:szCs w:val="16"/>
          <w:color w:val="auto"/>
        </w:rPr>
        <w:t>‑</w:t>
      </w:r>
      <w:r>
        <w:rPr>
          <w:rFonts w:ascii="Arial" w:cs="Arial" w:eastAsia="Arial" w:hAnsi="Arial"/>
          <w:sz w:val="16"/>
          <w:szCs w:val="16"/>
          <w:color w:val="auto"/>
        </w:rPr>
        <w:t>tax benefit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deferred income tax assets and liabilities resulting from the TCJA, increased production tax credits due to the requalification of WTGs at ALLETE Clean Energy’s Storm Lake I, Storm Lake II and Lake Benton wind energy facilities, lower operating and maintenance expense, and lower interest expense compared to 2016. Net income in 2016 included a $3.3 million after-tax goodwill impairment charge and a $0.9 million after-tax expense related to the repayment of long-term debt. Net income in 2016 also included an allocation of earnings to a non-controlling interest in the limited liability company that owns the Condon wind energy facility, which was acquired by ALLETE Clean Energy in April 2016. (See Note 6. Acquisitions.)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$151.8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43"/>
        </w:trPr>
        <w:tc>
          <w:tcPr>
            <w:tcW w:w="42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$9.2 million after-tax benefit due to the remeasurement of deferred income tax assets and liabilities resulting from the TCJA.</w:t>
      </w:r>
    </w:p>
    <w:p>
      <w:pPr>
        <w:spacing w:after="0" w:line="19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$14.3 million from 2016 primarily due to the acquisitions of WEST in 2016 and Tonka Water in September 2017. (See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6. Acquisitions.) Revenue from chemical sales and related services was $132.0 million in 2017 compared to $124.3 million in 2016. Revenue from capital project sales was $19.8 million for 2017 compared to $13.2 million in 2016; capital project sales can significantly fluctuate from period to period.</w:t>
      </w:r>
    </w:p>
    <w:p>
      <w:pPr>
        <w:spacing w:after="0" w:line="147" w:lineRule="exact"/>
        <w:rPr>
          <w:sz w:val="20"/>
          <w:szCs w:val="20"/>
          <w:color w:val="auto"/>
        </w:rPr>
      </w:pPr>
    </w:p>
    <w:p>
      <w:pPr>
        <w:jc w:val="both"/>
        <w:ind w:left="340"/>
        <w:spacing w:after="0" w:line="220" w:lineRule="exact"/>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$9.2 million from 2016. Net income in 2017 included a $9.2 million after</w:t>
      </w:r>
      <w:r>
        <w:rPr>
          <w:rFonts w:ascii="MS PGothic" w:cs="MS PGothic" w:eastAsia="MS PGothic" w:hAnsi="MS PGothic"/>
          <w:sz w:val="16"/>
          <w:szCs w:val="16"/>
          <w:color w:val="auto"/>
        </w:rPr>
        <w:t>‑</w:t>
      </w:r>
      <w:r>
        <w:rPr>
          <w:rFonts w:ascii="Arial" w:cs="Arial" w:eastAsia="Arial" w:hAnsi="Arial"/>
          <w:sz w:val="16"/>
          <w:szCs w:val="16"/>
          <w:color w:val="auto"/>
        </w:rPr>
        <w:t>tax benefit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deferred income tax assets and liabilities resulting from the TCJA, and higher operating revenue, partially offset by increased operating expenses as a result of investments for future growth in waste treatment and water safety applications. Net income in 2017 also included a net loss of $0.8 million primarily for transaction fees and amortization expense of the Tonka Water acquisition in September 2017. (See Note 6. Acquisitions.)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 million, or 2 percent, from 2016 primarily due to an increase in revenue at BNI Energy, which operates under cost-plus fixed fee contracts, as a result of higher expenses and record coal sales in 2017, partially offset by a decrease in land sales at ALLETE Properties. Operating revenue in 2016 included the sale of ALLETE Properties’ Ormond Crossings project and Lake Swamp wetland mitigation bank for approximately $21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2017 Compared to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184" w:lineRule="exact"/>
        <w:rPr>
          <w:sz w:val="20"/>
          <w:szCs w:val="20"/>
          <w:color w:val="auto"/>
        </w:rPr>
      </w:pPr>
    </w:p>
    <w:p>
      <w:pPr>
        <w:jc w:val="both"/>
        <w:ind w:left="340"/>
        <w:spacing w:after="0" w:line="219" w:lineRule="exact"/>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$8.4 million in 2017 compared to net income of $4.9 million in 2016. The net loss in 2017 included a $19.8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after-tax expense due to the remeasurement of deferred income tax assets and liabilities resulting from the TCJA. The net loss in 2017 also included a $7.9 million after-tax favorable impact for the regulatory outcome of the MPUC’s modification of its 2016 order on the allocation of North Dakota investment tax credits, lower accretion expense relating to the contingent consideration liability, and lower interest expense. Net income in 2016 included an after</w:t>
      </w:r>
      <w:r>
        <w:rPr>
          <w:rFonts w:ascii="MS PGothic" w:cs="MS PGothic" w:eastAsia="MS PGothic" w:hAnsi="MS PGothic"/>
          <w:sz w:val="18"/>
          <w:szCs w:val="18"/>
          <w:color w:val="auto"/>
        </w:rPr>
        <w:t>‑</w:t>
      </w:r>
      <w:r>
        <w:rPr>
          <w:rFonts w:ascii="Arial" w:cs="Arial" w:eastAsia="Arial" w:hAnsi="Arial"/>
          <w:sz w:val="18"/>
          <w:szCs w:val="18"/>
          <w:color w:val="auto"/>
        </w:rPr>
        <w:t>tax gain of $13.6 million related to the change in fair value of the contingent consideration liability, partially offset by an $8.8 million after-tax adverse impact for the regulatory outcome of the 2016 MPUC order.</w:t>
      </w:r>
    </w:p>
    <w:p>
      <w:pPr>
        <w:spacing w:after="0" w:line="2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Net income at BNI Energy was $4.5 million in 2017 which included a $3.1 million after-tax expense due to the remeasurement of deferred income tax assets and liabilities resulting from the TCJA, partially offset by more tons sold; net income in 2016 was $6.8 million. The net loss at ALLETE Properties was $8.8 million in 2017 which included a $7.8 million after-tax expense for the remeasurement of deferred income tax assets and liabilities resulting from the TCJA; net income in 2016 was $0.7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For the year ended December 31, 2017, the effective tax rate was 7.9 percent (11.3 percent for the year ended December 31, 2016). The decrease from 2016 was primarily due to the remeasurement of deferred income tax assets and liabilities resulting from the TCJA and increased production tax credits, partially offset by higher pre-tax income. (See </w:t>
      </w:r>
      <w:r>
        <w:rPr>
          <w:rFonts w:ascii="Arial" w:cs="Arial" w:eastAsia="Arial" w:hAnsi="Arial"/>
          <w:sz w:val="18"/>
          <w:szCs w:val="18"/>
          <w:i w:val="1"/>
          <w:iCs w:val="1"/>
          <w:color w:val="auto"/>
        </w:rPr>
        <w:t>Regulated Operations - Income Tax Expense</w:t>
      </w:r>
      <w:r>
        <w:rPr>
          <w:rFonts w:ascii="Arial" w:cs="Arial" w:eastAsia="Arial" w:hAnsi="Arial"/>
          <w:sz w:val="18"/>
          <w:szCs w:val="18"/>
          <w:color w:val="auto"/>
        </w:rPr>
        <w:t>.) The effective rate deviated from the combined statutory rate of approximately 41 percent primarily due to the remeasurement of deferred income tax assets and liabilities resulting from the TCJA, and production tax credits. (See Note 13. Income Tax Expense.)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other postretirement benefit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2018, was approximately 32 percent equity securities, 60 percent fixed income, 5 percent private equity and 3 percent real estate. Our postretirement health and life asset allocation as of December 31, 2018, was approximately 62 percent equity securities, 34 percent fixed income and 4 percent private equity. Equity securities consist of a mix of market capitalization sizes with domestic and international securities. In 2018, we used expected long-term rates of return of 7.50 percent in our actuarial determination of our pension expense and 6.00 percent to 7.50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w:t>
      </w:r>
      <w:r>
        <w:rPr>
          <w:rFonts w:ascii="MS PGothic" w:cs="MS PGothic" w:eastAsia="MS PGothic" w:hAnsi="MS PGothic"/>
          <w:sz w:val="16"/>
          <w:szCs w:val="16"/>
          <w:color w:val="auto"/>
        </w:rPr>
        <w:t>‑</w:t>
      </w:r>
      <w:r>
        <w:rPr>
          <w:rFonts w:ascii="Arial" w:cs="Arial" w:eastAsia="Arial" w:hAnsi="Arial"/>
          <w:sz w:val="16"/>
          <w:szCs w:val="16"/>
          <w:color w:val="auto"/>
        </w:rPr>
        <w:t>quarter percent decrease in the expected long-term rate of return would increase the annual expense for pension and other postretirement benefits by approximately $1.8 million, pre-tax.</w:t>
      </w:r>
    </w:p>
    <w:p>
      <w:pPr>
        <w:spacing w:after="0" w:line="20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2018, we used discount rates of 3.81 percent to 3.96 percent and 3.86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$1.7 million, pre</w:t>
      </w:r>
      <w:r>
        <w:rPr>
          <w:rFonts w:ascii="MS PGothic" w:cs="MS PGothic" w:eastAsia="MS PGothic" w:hAnsi="MS PGothic"/>
          <w:sz w:val="18"/>
          <w:szCs w:val="18"/>
          <w:color w:val="auto"/>
        </w:rPr>
        <w:t>‑</w:t>
      </w:r>
      <w:r>
        <w:rPr>
          <w:rFonts w:ascii="Arial" w:cs="Arial" w:eastAsia="Arial" w:hAnsi="Arial"/>
          <w:sz w:val="18"/>
          <w:szCs w:val="18"/>
          <w:color w:val="auto"/>
        </w:rPr>
        <w:t>tax.</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2018, considered a modified RP-2014 mortality table and mortality projection scale. (See Note 15. Pension and Other Postretirement Benefit Plans.)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Valuation of Goodwill and Intangible Assets. </w:t>
      </w:r>
      <w:r>
        <w:rPr>
          <w:rFonts w:ascii="Arial" w:cs="Arial" w:eastAsia="Arial" w:hAnsi="Arial"/>
          <w:sz w:val="17"/>
          <w:szCs w:val="17"/>
          <w:color w:val="auto"/>
        </w:rPr>
        <w:t>When we acquire a business, the assets acquired and liabilities assumed are recorded at their respective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1. Operations and Significant Accounting Policies and Note 9. Fair Value in this Form 10-K. Goodwill was $148.5 million and $148.3 million as of December 31, 2018, and December 31, 2017, respectively.</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include customer relationships, patents, non-compete agreements, land easements, trademarks and trade names.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with definite lives consist of customer relationships, which are amortized using an attrition model, and patents, non-compete agreements, land easements and certain trade names, which are amortized on a straight-line basis with estimated useful lives ranging from approximately 4 years to approximately 19 years. We review definite-lived intangible assets for impairment whenever events or circumstances indicate that the carrying amount of an asset may not be recoverable. Indefinite-lived intangible assets consist of trademarks and certain trade names, which are tested for impairment annually in the fourth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an appropriate discount rate, and other assumptions and estimates. We use estimates that are consistent with our business plans and a market participant view of the assets being evaluated. The results of our annual impairment test are discussed in Note 9. Fair Value in this Form 10-K. Intangible assets, net of accumulated amortization, were $74.8 million and $77.6 million as of December 31, 2018, and December 31, 2017,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and our Energy Infrastructure and Related Services businesses are projected to have average annual earnings growth of at least 15 percent over the long-term.</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80 percent of total consolidated net income in 2019.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upon receipt of regulatory approval. ALLETE plans to use the proceeds from the sale of U.S. Water Services primarily to reinvest in growth initiatives at our Regulated Operations and ALLETE Clean Energy. ALLETE will also consider using a portion of the proceeds to implement a common stock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 Minnesota Power anticipates filing a rate case in the fourth quarter of 2019 with a 2020 test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The MPUC issued an order dated March 12, 2018, in Minnesota Power’s general rate case approving a return on 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has recorded a reserve for an interim rate refund, net of discounts provided to EITE customers, of $40.0 million as of December 31, 2018 ($23.7 million as of December 31, 2017) which is expected to be refunded in 2019. The MPUC also disallowed Minnesota Power’s regulatory asset for deferred fuel adjustment clause costs due to the anticipated adoption of a forward-looking fuel adjustment clause methodology resulting in a $19.5 million pre-tax charge to Fuel, Purchased Power and Gas – Utility in 2017. As part of its decision in Minnesota Power’s 2016 general rate case, the MPUC also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2018, Minnesota Power filed a petition with the MPUC requesting reconsideration of certain decisions in the MPUC’s order dated March 12, 2018.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establishing a Minnesota energy policy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rates for certain industries such as mining and forest products. The MPUC approved a reduction in rates for EITE customers in a December 2016 order and subsequently approved cost recovery in an April 2017 order. Minnesota Power expects the discount to EITE customers to be approximately $16 million annually based on EITE customer current operating levels. While interim rates were in effect for Minnesota Power’s 2016 general rate case, discounts provided to EITE customers offset interim rate refund reserves for non-EITE customers. Minnesota Power provided $16.7 million of discounts to EITE customers during the year ended December 31, 2018 ($8.6 million and none for the years ended December 31, 2017, and 2016, respectively).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retail rates in 2018 were based on a 2017 PSCW retail rate order effective August 2017 that allowed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On May 25, 2018, SWL&amp;P filed a rate increase request with the PSCW requesting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(2.0 percent increase in electric rates; 2.3 percent increase in natural gas rates; and 0.1 percent increase in water rates). The filing sought an overall return on equity of 10.5 percent and a 55.41 percent equity ratio. In an order dated December 20, 2018, the PSCW approved a rate increase for SWL&amp;P including a return of equity of 10.4 percent and a 55.0 percent equity ratio. Final rates went into effect January 1, 2019, which is expected to result in additional revenue of approximately $1.3 million on an annualized basis.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0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Customers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50 percent of our regulated utility kWh sales in 2018 (50 percent in 2017 and 45 percent in 2016) were made to our industrial customers. We expect industrial sales of approximately 7.0 million to 7.5 million MWh in 2019 (7.3 million MWh in 2018; 7.3 million MWh in 2017). (See Item 1. Business – Regulated Operations – Electric Sales / Customers.)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 Minnesota Power also has provided electric service to three iron concentrate facilities capable of producing up to approximately 4 million tons of iron concentrate per year. Iron concentrate is used in the production of taconite pellets. These facilities have been idled since at least 2016. On July 17, 2018, ERP Iron Ore announced it would no longer seek to restart its operations.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78 percent of capacity in 2018 (74 percent in 2017 and 71 percent in 2016). The World Steel Association, an association of over 160 steel producers, national and regional steel industry associations, and steel research institutes representing approximately 85 percent of world steel production, projected U.S. steel consumption in 2019 will increase by approximately one percent compared to 2018.</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the first quarter of 2017, USS Corporation restarted its Minnesota Ore Operations Keetac plant in Keewatin, Minnesota, which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idled since 2015. USS Corporation has the capability to produce approximately 5 million tons at its Keetac Plant.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2017, Cliffs announced that production of a fully fluxed taconite pellet has started at its United Taconite facility.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a flux pellet previously made at Cliffs’ indefinitely idled Empire operation in Michigan. United Taconite has the capability to produce approximately 5 million tons of taconite annually.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has announced that it is investing further in its Minnesota ore operations, specifically it plans to invest approximately $90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2020 to expand capacity for producing direct reduced-grade pellets at Northshore Mining. The additional direct reduced-grade pellets could be sold commercially or used to supply Cliff’s planned hot briquetted iron production plant in Toledo, Ohio. Minnesota Power has a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PSA through 2031. Silver Bay Power supplies approximately 90 MW of</w:t>
      </w:r>
      <w:r>
        <w:rPr>
          <w:rFonts w:ascii="Arial" w:cs="Arial" w:eastAsia="Arial" w:hAnsi="Arial"/>
          <w:sz w:val="18"/>
          <w:szCs w:val="18"/>
          <w:i w:val="1"/>
          <w:iCs w:val="1"/>
          <w:color w:val="auto"/>
        </w:rPr>
        <w:t xml:space="preserve"> </w:t>
      </w:r>
      <w:r>
        <w:rPr>
          <w:rFonts w:ascii="Arial" w:cs="Arial" w:eastAsia="Arial" w:hAnsi="Arial"/>
          <w:sz w:val="18"/>
          <w:szCs w:val="18"/>
          <w:color w:val="auto"/>
        </w:rPr>
        <w:t>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from Minnesota Power as it transitions away from self-generation. By December 31, 2019, Silver Bay Power is expected to cease self-generation and Minnesota Power is expected to supply the energy requirements for Silver Bay Power.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ERP Iron Ore / Magnetation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January 2017, ERP Iron Ore purchased substantially all of Magnetation’s assets pursuant to an asset purchase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U. S. Bankruptcy Court for the District of Minnesota. These facilities have been idled since at least 2016. On July 17, 2018, ERP Iron Ore filed voluntary petitions for reorganization under Chapter 11 of the Bankruptcy Code in the U.S. Bankruptcy Court for the District of Minnesota and announced that it would no longer seek to restart its operations. Minnesota Power has reserved for all receivables due from ERP Iron Ore.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xml:space="preserve">. The four major paper and pulp mills we serve reported operating at lower levels in 2018 compared to 2017 resulting from the closure of the smaller of UPM Blandin’s two paper machines in the fourth quarter of 2017. (See </w:t>
      </w:r>
      <w:r>
        <w:rPr>
          <w:rFonts w:ascii="Arial" w:cs="Arial" w:eastAsia="Arial" w:hAnsi="Arial"/>
          <w:sz w:val="18"/>
          <w:szCs w:val="18"/>
          <w:i w:val="1"/>
          <w:iCs w:val="1"/>
          <w:color w:val="auto"/>
        </w:rPr>
        <w:t>UPM Blandin</w:t>
      </w:r>
      <w:r>
        <w:rPr>
          <w:rFonts w:ascii="Arial" w:cs="Arial" w:eastAsia="Arial" w:hAnsi="Arial"/>
          <w:sz w:val="18"/>
          <w:szCs w:val="18"/>
          <w:color w:val="auto"/>
        </w:rPr>
        <w:t>.) We expect operating levels in 2019 to be similar to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UPM Blandin</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2017, UPM-Kymmene Corporation announced that in light of the global market for graphic papers, and to sustain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leading position in the market, it planned to permanently close the smaller of UPM Blandin’s two paper machines located in Grand Rapids, Minnesota; the closure was completed in the fourth quarter of 2017. Paper production related to the other paper machine is planned to continue at UPM Blandin. Minnesota Power provides electric and steam service to UPM Blandin. In October 2018, Minnesota Power amended and extended its electric service agreement with UPM Blandin through 2029, subject to MPUC approval.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2018, Minnesota Power amended and extended its electric service agreement with Verso Corporation through 2024,</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approved by the MPUC at a hearing on December 20,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26, 2018, a fire at Husky Energy’s refinery in Superior, Wisconsin disrupted operations at the facility. Under normal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SWL&amp;P provides approximately 14 MW of average monthly demand to Husky Energy in addition to water service. The facility remains at minimal operations, and the refinery is not expected to resume normal operations in 2020.</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is a retail customer of the Nashwauk Public Utilities Commission, and Minnesota Power has a</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electric contract with the Nashwauk Public Utilities Commission for electric service through at least December 2032. Mesabi Metallics filed for bankruptcy protection in 2016 under Chapter 11 of the Bankruptcy Code in the U.S. Bankruptcy Court for the District of Delaware. In June 2017, the bankruptcy court approved a settlement plan for a consortium led by Chippewa Capital Partners LLC to take control of the project, subject to certain stipulations. In December 2017, Mesabi Metallics emerged from bankruptcy under the ownership of Chippewa Capital Partners LLC.</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issued its Record of Decision in 2016, finding the final EIS adequate. The final EIS also requires Records of Decision by the federal agencies, which are expected in 2019, before final action can be taken on the required federal permits to construct and operate the mining operation.</w:t>
      </w:r>
    </w:p>
    <w:p>
      <w:pPr>
        <w:spacing w:after="0" w:line="18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2016, PolyMet submitted applications for water-related permits with the DNR and MPCA, an air quality permit with the MPCA, and a state permit to mine application with the DNR detailing its operational plans for the mine. On November 1, 2018, the DNR issued PolyMet’s permit to mine and certain water-related permits. On December 20, 2018, the MPCA issued PolyMet’s final state water and air quality permits. PolyMet’s remaining federal permit is under review by the U.S. Army Corps of Engineers. On June 28, 2018, the U.S. Forest Service and PolyMet closed on a land exchange, which resulted in PolyMet obtaining surface rights to land needed to develop its mining operation. Minnesota Power could supply between 45 MW and 50 MW of load under a 10</w:t>
      </w:r>
      <w:r>
        <w:rPr>
          <w:rFonts w:ascii="MS PGothic" w:cs="MS PGothic" w:eastAsia="MS PGothic" w:hAnsi="MS PGothic"/>
          <w:sz w:val="18"/>
          <w:szCs w:val="18"/>
          <w:color w:val="auto"/>
        </w:rPr>
        <w:t>‑</w:t>
      </w:r>
      <w:r>
        <w:rPr>
          <w:rFonts w:ascii="Arial" w:cs="Arial" w:eastAsia="Arial" w:hAnsi="Arial"/>
          <w:sz w:val="18"/>
          <w:szCs w:val="18"/>
          <w:color w:val="auto"/>
        </w:rPr>
        <w:t>year power supply contract with PolyMet that would begin upon start-up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Minnesota Power submitted a resource package to the MPUC requesting approval of PPAs for the output of a 250 MW wind energy facility and a 10 MW solar energy facility as well as approval of a 250 MW natural gas capacity dedication agreement. These agreements were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including a securitization plan. The MPUC also approved Minnesota Power’s request to extend the next IRP filing deadline until October 1, 2020. On January 8, 2019, an application for a certificate of public convenience and necessity for NTEC was submitted to the PSCW. A decision on the application is expected in 2020.</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2018, Minnesota Power filed a separate petition for approval of the PPA for the output of the 10 MW solar energy facility to be located in central Minnesota, which was approved by the MPUC in an order dated October 2, 2018. On August 22, 2018, Minnesota Power filed a separate petition for approval of an amended PPA for the output of the 250 MW wind energy facility to be located in southwestern Minnesota which was approved in an order dated January 23, 2019. (See Note 5. Equity Investments.)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2015, Minnesota Power filed its 2015 IRP with the MPUC, which included an analysis of a variety of existing and future energy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resource alternatives and a projection of customer cost impact by class. The 2015 IRP also contained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 (See Note 4. Regulatory Matters.)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2019. (See Item 1. Business – Regulated Operations – Minnesota Legislation and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Minnesota Solar Energy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Power’s solar energy supply consists of Camp Ripley, a 10 MW solar energy facility at the Camp Ripley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In an order dated October 2, 2018, the MPUC approved a PPA for the output of the 10 MW Blanchard solar energy facility to be located in central Minnesota. Minnesota Power expects that Camp Ripley, the community solar garden arrays, the PPA for the output of the 10 MW Blanchard solar energy facility, and an increase in solar rebates will allow Minnesota Power to meet both parts of the solar mandate. (See Item 1. Business – Regulated Operations – Minnesota Legislature and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an order dated November 19, 2018.</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5. Equity Investments.)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PPA is subject to construction of the GNTL and MMTP. (See Note 11.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11.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also Item 1. Business – Regulated Operations and Note 11. Commitments, Guarantees and Contingencies.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Arial" w:cs="Arial" w:eastAsia="Arial" w:hAnsi="Arial"/>
          <w:sz w:val="18"/>
          <w:szCs w:val="18"/>
          <w:color w:val="auto"/>
        </w:rPr>
        <w:t>term PSAs in place for the output or may be sold upon completion. (See Item 1. Business – Energy Infrastructure and Related Services – ALLETE Clean Energy.)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2016, 2017, and 2018 ALLETE Clean Energy invested in equipment to meet production tax credit safe harbor provisions which provides an opportunity to seek development of up to approximately 1,500 MW of production tax credit qualified wind projects through 2022. ALLETE Clean Energy will also invest approximately $80 million through 2020 for production tax credit requalification of up to 385 WTGs at its Storm Lake I, Storm Lake II and Lake Benton wind energy facilities. On December 18, 2018, ALLETE Clean Energy announced it will requalify its Condon wind energy facility for production tax credits, which will be completed in 2019. We anticipate annual production tax credits relating to these projects of approximately $14 million in 2019, $17 million to $22 million annually in 2020 through 2027, and decreasing thereafter through 2030.</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2017, ALLETE Clean Energy announced that it would develop a wind energy facility of up to 50 MW to be sold to Montana-Dakota Utilities; sale of the wind energy facility was completed on October 31, 2018, with revenue of $81.1 million and cost of sales of $67.4 million recognized in the fourth quarter of 2018. ALLETE Clean Energy also constructed and sold a 107 MW wind energy facility to Montana-Dakota Utilities in 2015.</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2017, ALLETE Clean Energy announced it will build, own and operate a 100 MW wind energy facility pursuant to a 20-year PSA with Northern States Power; construction is expected to be completed in late 2019. On March 15, 2018, ALLETE Clean Energy announced that it will build, own and operate an 80 MW wind energy facility pursuant to a 15-year PSA with NorthWestern Corporation; construction is expected to be completed in late 2019.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545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96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9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89"/>
              </w:rPr>
              <w:t>Oregon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Lincoln Heights</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1"/>
              </w:rPr>
              <w:t>Minnesota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8.8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II</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PSA 1</w:t>
            </w:r>
          </w:p>
        </w:tc>
        <w:tc>
          <w:tcPr>
            <w:tcW w:w="2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2</w:t>
            </w:r>
          </w:p>
        </w:tc>
        <w:tc>
          <w:tcPr>
            <w:tcW w:w="29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0"/>
        </w:trPr>
        <w:tc>
          <w:tcPr>
            <w:tcW w:w="33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upon receipt of regulatory approval. ALLETE plans to use the proceeds from the sale of U.S. Water Services primarily to reinvest in growth initiatives at our Regulated Operations and ALLETE Clean Energy. ALLETE will also consider using a portion of the proceeds to implement a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BNI Energy. </w:t>
      </w:r>
      <w:r>
        <w:rPr>
          <w:rFonts w:ascii="Arial" w:cs="Arial" w:eastAsia="Arial" w:hAnsi="Arial"/>
          <w:sz w:val="18"/>
          <w:szCs w:val="18"/>
          <w:color w:val="auto"/>
        </w:rPr>
        <w:t>In 2018, BNI Energy sold 4.3 million tons of coal (4.7 million tons in 2017) and anticipates 2019 sales will be similar to 2018. BNI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operates under cost-plus fixed fee agreements extending through December 31, 2037.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On December 27, 2018, our wholly-owned subsidiary, ALLETE South Wind, entered into a partnership agreement with Tenaska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 49 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with an ALLETE expected equity investment of approximately $60 million to $70 million. We account for our investment in Nobles 2 under the equity method of accounting. As of December 31, 2018, our equity investment in Nobles 2 was $33.0 million. (See Note 5. Equity Investments.)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Our strategy incorporates the possibility of a bulk sale of the entire ALLETE Properties portfolio. Proceeds from a bulk sale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 Market conditions can impact land sales and could result in our inability to cover our cost basis and operating expenses including fixed carrying costs such as community development district assessments and property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ALLETE’s aggregate federal and multi-state statutory tax rate is approximately 28 percent for 2018.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7"/>
          <w:szCs w:val="17"/>
          <w:color w:val="auto"/>
        </w:rPr>
        <w:t>‑</w:t>
      </w:r>
      <w:r>
        <w:rPr>
          <w:rFonts w:ascii="Arial" w:cs="Arial" w:eastAsia="Arial" w:hAnsi="Arial"/>
          <w:sz w:val="17"/>
          <w:szCs w:val="17"/>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10 percent for 2019 primarily due to federal production tax credits as a result of wind energy generation. We also expect that our effective tax rate will be lower than the combined statutory rate over the next 11 years due to production tax credits attributable to our wind energy generation.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its liquidity needs. As of December 31, 2018, we had cash and cash equivalents of $69.1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$388.6 million in available consolidated lines of credit and a debt-to-capital ratio of 41 percent.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upon receipt of regulatory approval. ALLETE plans to use the proceeds from the sale of U.S. Water Services primarily to reinvest in growth initiatives at our Regulated Operations and ALLETE Clean Energy. ALLETE will also consider using a portion of the proceeds to implement a common stock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$2,155.8</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$2,068.2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$1,893.0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29"/>
        </w:trPr>
        <w:tc>
          <w:tcPr>
            <w:tcW w:w="494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940" w:type="dxa"/>
            <w:vAlign w:val="bottom"/>
          </w:tcPr>
          <w:p>
            <w:pPr>
              <w:ind w:left="40"/>
              <w:spacing w:after="0"/>
              <w:rPr>
                <w:sz w:val="20"/>
                <w:szCs w:val="20"/>
                <w:color w:val="auto"/>
              </w:rPr>
            </w:pPr>
            <w:r>
              <w:rPr>
                <w:rFonts w:ascii="Arial" w:cs="Arial" w:eastAsia="Arial" w:hAnsi="Arial"/>
                <w:sz w:val="18"/>
                <w:szCs w:val="18"/>
                <w:color w:val="auto"/>
              </w:rPr>
              <w:t>Year)</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1,495.2</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1,513.3</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1,569.1</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45</w:t>
            </w:r>
          </w:p>
        </w:tc>
      </w:tr>
      <w:tr>
        <w:trPr>
          <w:trHeight w:val="27"/>
        </w:trPr>
        <w:tc>
          <w:tcPr>
            <w:tcW w:w="4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$3,651.0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$3,581.5</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$3,462.1</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9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0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$110.1</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433.1</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402.9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(349.0)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(229.0)</w:t>
            </w:r>
          </w:p>
        </w:tc>
        <w:tc>
          <w:tcPr>
            <w:tcW w:w="100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(115.2)</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37"/>
        </w:trPr>
        <w:tc>
          <w:tcPr>
            <w:tcW w:w="7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(31.1)</w:t>
            </w: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71.8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$79.0</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$110.1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7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operating activities was higher in 2018 compared to 2017 primarily due to the sale of a wind energy facility to Montana-Dakota Utilities in 2018 and the timing of accounts payable, partially offset by lower recoveries from customers under cost recovery riders and higher contributions to the defined benefit pension plans in 2018.</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from operating activities was higher in 2017 compared to 2016 primarily due to a payment made in 2016 as part of the PSA between Minnesota Power and Silver Bay Power, as well as higher recoveries from customers under cost recovery riders, net income and non-cash items in 2017, partially offset by an increase in customer receivables and timing of payments on accounts payable in 2017.</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investing activities was higher in 2018 compared to 2017 primarily due to higher capital expenditures and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to equity method investments in 2018. (See Note 5. Equity Investments.) These increases in cash used for investing activities were partially offset by the acquisition of Tonka Water in 2017.</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was lower in 2017 compared to 2016 primarily due to lower capital expenditures in 2017, partially offset by the acquisition of Tonka Water in 2017. (See Note 6. Acquisitions.)</w:t>
      </w:r>
    </w:p>
    <w:p>
      <w:pPr>
        <w:spacing w:after="0" w:line="16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used for financing activities was higher in 2018 compared to 2017 primarily due to higher dividends on common stock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lower proceeds from the issuance of common stock and long-term debt in 2018, partially offset by lower repayments of long-term debt in 2018.</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financing activities was lower in 2017 compared to 2016 primarily due to higher proceeds from the issuance of common stock and long-term debt in 2017, partially offset by higher contingent consideration payments and repayments of long-term debt in 2017.</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long-term debt, common stock and commercial paper. As of December 31, 2018, we had consolidated bank lines of credit aggregating $407.0 million ($407.0 million as of December 31, 2017), most of which expire in January 2024. We had $18.4 million outstanding in standby letters of credit and no outstanding draws under our lines of credit as of December 31, 2018 ($11.9 million in standby letters of credit and no outstanding draws as of December 31, 2017). In addition, as of December 31, 2018, we had 2.9 million original issue shares of our common stock available for issuance through Invest Direct and 2.9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2019, ALLETE entered into an amended and restated $400 million credit agreement (Credit Agreement). The Credit Agreement amended and restated ALLETE’s $400 million credit facility, which was scheduled to expire in October 2020. The Credit Agreement is unsecured, has a variable interest rate and will expire in January 2024. (See Note 10. Short-Term and Long-Term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We entered into a distribution agreement with Lampert Capital Markets, Inc., in 2008, as amended most recently in 2016,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and sale of up to an aggregate of 13.6 million shares of our common stock, without par value, of which 2.9 million shares remain available for issuance as of December 31, 2018. For the year ended December 31, 2018, no shares of common stock were issued under this agreement (1.0 million shares for net proceeds of $65.7 million in 2017; 0.1 million shares for net proceeds of $8.0 million in 2016). The shares issued in 2017 and 2016 were offered and sold pursuant to Registration Statement No. 333-212794, pursuant to which the remaining shares will continue to be offered for sale, from time to time.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we issued 0.4 million shares of common stock through Invest Direct, the Employee Stock Purchase Plan, and the Retirement Savings and Stock Ownership Plan, resulting in net proceeds of $20.3 million (0.3 million shares for net proceeds of $20.3 million in 2017; 0.4 million shares for net proceeds of $22.9 million in 2016). These shares of common stock were registered under Registration Statement Nos. 333-211075, 333-183051 and 333-162890. (See Note 10. Short-Term and Long-Term Debt and Note 12. Common Stock and Earnings Per Share for additional detail regarding ALLETE’s debt and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10. Short-Term and Long-Term Debt for information regarding our financial covenants.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For the year ended December 31, 2018, we contributed $15.0 million in cash and no shares of ALLETE common stock to the defined benefit pension plans. On January 15, 2019, we contributed $10.4 million in cash to the defined benefit pension plans. We do not expect to make any additional contributions to our defined benefit pension plans in 2019, and we do not expect to make any contributions to our other postretirement benefit plans in 2019. (See Note 12. Common Stock and Earnings Per Share and Note 15. Pension and Other Postretirement Benefit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The following table summarizes contractual obligations and other commercial commitments as of December 31,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6"/>
                <w:szCs w:val="16"/>
                <w:i w:val="1"/>
                <w:iCs w:val="1"/>
                <w:color w:val="auto"/>
              </w:rPr>
              <w:t>(a)</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$2,266.3</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$118.7</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$326.1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$275.9</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6"/>
                <w:szCs w:val="16"/>
                <w:i w:val="1"/>
                <w:iCs w:val="1"/>
                <w:color w:val="auto"/>
              </w:rPr>
              <w:t>(b)</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467.8</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47.9</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94.7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94.1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231.1</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6"/>
                <w:szCs w:val="16"/>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99.8</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9.7</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19.5</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41.3</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Easement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161.0</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PPA Obligations </w:t>
            </w:r>
            <w:r>
              <w:rPr>
                <w:rFonts w:ascii="Arial" w:cs="Arial" w:eastAsia="Arial" w:hAnsi="Arial"/>
                <w:sz w:val="16"/>
                <w:szCs w:val="16"/>
                <w:i w:val="1"/>
                <w:iCs w:val="1"/>
                <w:color w:val="auto"/>
              </w:rPr>
              <w:t>(c)</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2,210.2</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107.3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260.7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291.5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1,550.7</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69.6</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52.4</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Contractual Obligations</w:t>
            </w:r>
          </w:p>
        </w:tc>
        <w:tc>
          <w:tcPr>
            <w:tcW w:w="1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$5,316.0</w:t>
            </w:r>
          </w:p>
        </w:tc>
        <w:tc>
          <w:tcPr>
            <w:tcW w:w="1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$350.7</w:t>
            </w:r>
          </w:p>
        </w:tc>
        <w:tc>
          <w:tcPr>
            <w:tcW w:w="15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$741.9</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$699.1</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$1.6 million of non-current unrecognized tax benefits due to uncertainty regarding the timing of future cash payments related to uncertain tax positions. (See Note 13. Income Tax Expense.)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2028.</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Nobles 2 commencing in 2020 as it is subject to construction of a wind energy facility. (See Note 11. Commitments, Guarantees and Contingencies.)</w:t>
      </w:r>
    </w:p>
    <w:p>
      <w:pPr>
        <w:spacing w:after="0" w:line="158"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the Consolidated Balance Sheet, plus interest. The table above assumes that the interest rates in effect at December 31, 2018, remain constant through the remaining term. (See Note 10. Short-Term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0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Our pension and other postretirement benefit plan obligations represent our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through 2028. Pension contributions will be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15. Pension and Other Postretirement Benefit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Easement Obligations</w:t>
      </w:r>
      <w:r>
        <w:rPr>
          <w:rFonts w:ascii="Arial" w:cs="Arial" w:eastAsia="Arial" w:hAnsi="Arial"/>
          <w:sz w:val="18"/>
          <w:szCs w:val="18"/>
          <w:color w:val="auto"/>
        </w:rPr>
        <w:t>. Easement obligations represent the minimum payments for our land easement agreements at our wind energy facilities.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Minnkota Power and other PPAs. (See Note 11. Commitments, 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Contingencies.)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represents our minimum purchase commitments under coal and rail contracts, 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capital expenditure projects, and long-term service agreements for wind energy facilities. (See Note 11. Commitments, Guarantees and Contingencies.)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720" w:type="dxa"/>
            <w:vAlign w:val="bottom"/>
          </w:tcPr>
          <w:p>
            <w:pPr>
              <w:jc w:val="center"/>
              <w:ind w:left="2352"/>
              <w:spacing w:after="0"/>
              <w:rPr>
                <w:sz w:val="20"/>
                <w:szCs w:val="20"/>
                <w:color w:val="auto"/>
              </w:rPr>
            </w:pPr>
            <w:r>
              <w:rPr>
                <w:rFonts w:ascii="Arial" w:cs="Arial" w:eastAsia="Arial" w:hAnsi="Arial"/>
                <w:sz w:val="18"/>
                <w:szCs w:val="18"/>
                <w:b w:val="1"/>
                <w:bCs w:val="1"/>
                <w:color w:val="auto"/>
                <w:w w:val="92"/>
              </w:rPr>
              <w:t>S&amp;P Global Ratings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720" w:type="dxa"/>
            <w:vAlign w:val="bottom"/>
            <w:tcBorders>
              <w:bottom w:val="single" w:sz="8" w:color="CCEEFF"/>
            </w:tcBorders>
            <w:shd w:val="clear" w:color="auto" w:fill="CCEEFF"/>
          </w:tcPr>
          <w:p>
            <w:pPr>
              <w:jc w:val="center"/>
              <w:ind w:left="2332"/>
              <w:spacing w:after="0"/>
              <w:rPr>
                <w:sz w:val="20"/>
                <w:szCs w:val="20"/>
                <w:color w:val="auto"/>
              </w:rPr>
            </w:pPr>
            <w:r>
              <w:rPr>
                <w:rFonts w:ascii="Arial" w:cs="Arial" w:eastAsia="Arial" w:hAnsi="Arial"/>
                <w:sz w:val="18"/>
                <w:szCs w:val="18"/>
                <w:color w:val="auto"/>
                <w:w w:val="98"/>
              </w:rPr>
              <w:t>BBB+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720" w:type="dxa"/>
            <w:vAlign w:val="bottom"/>
          </w:tcPr>
          <w:p>
            <w:pPr>
              <w:jc w:val="center"/>
              <w:ind w:left="2352"/>
              <w:spacing w:after="0"/>
              <w:rPr>
                <w:sz w:val="20"/>
                <w:szCs w:val="20"/>
                <w:color w:val="auto"/>
              </w:rPr>
            </w:pPr>
            <w:r>
              <w:rPr>
                <w:rFonts w:ascii="Arial" w:cs="Arial" w:eastAsia="Arial" w:hAnsi="Arial"/>
                <w:sz w:val="18"/>
                <w:szCs w:val="18"/>
                <w:color w:val="auto"/>
                <w:w w:val="99"/>
              </w:rPr>
              <w:t>A-2</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720" w:type="dxa"/>
            <w:vAlign w:val="bottom"/>
            <w:tcBorders>
              <w:bottom w:val="single" w:sz="8" w:color="CCEEFF"/>
            </w:tcBorders>
            <w:shd w:val="clear" w:color="auto" w:fill="CCEEFF"/>
          </w:tcPr>
          <w:p>
            <w:pPr>
              <w:jc w:val="center"/>
              <w:ind w:left="2332"/>
              <w:spacing w:after="0"/>
              <w:rPr>
                <w:sz w:val="20"/>
                <w:szCs w:val="20"/>
                <w:color w:val="auto"/>
              </w:rPr>
            </w:pPr>
            <w:r>
              <w:rPr>
                <w:rFonts w:ascii="Arial" w:cs="Arial" w:eastAsia="Arial" w:hAnsi="Arial"/>
                <w:sz w:val="16"/>
                <w:szCs w:val="16"/>
                <w:i w:val="1"/>
                <w:iCs w:val="1"/>
                <w:color w:val="auto"/>
                <w:w w:val="91"/>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0"/>
        </w:trPr>
        <w:tc>
          <w:tcPr>
            <w:tcW w:w="20" w:type="dxa"/>
            <w:vAlign w:val="bottom"/>
          </w:tcPr>
          <w:p>
            <w:pPr>
              <w:spacing w:after="0"/>
              <w:rPr>
                <w:sz w:val="17"/>
                <w:szCs w:val="17"/>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7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2018, S&amp;P Global Ratings revised its credit rating outlook on ALLETE to negative from stable, while affirming its issuer and commercial paper ratings on ALLETE. S&amp;P Global Ratings cited the potential effect of the TCJA on the Company’s cash flows and S&amp;P Global Ratings assessment of the Company’s regulatory risk following Minnesota Power’s recent general rate case as its rationale for issuing the negative outlook.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2018, Moody’s issued a report on ALLETE noting that Minnesota Power’s general rate case was credit negative. With respect to Minnesota Power’s general rate case outcome, Moody’s noted a lower return on equity, disallowance of various expenses, including a decision to disallow recovery of the prepaid pension asset, and a ruling against Minnesota Power’s request to adopt an annual rate review mechanism. In addition, Moody’s noted the potential negative impact of the TCJA on certain financial metrics used by Moody’s.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December 31, 2018, we had cash and cash equivalents of $69.1 million, $388.6 million in available consolidated lines of credit and a debt-to-capital ratio of 41 percent. Our cash from operating activities for the year ended December 31, 2018 was $433.1 million. In addition, as of December 31, 2018, we had 2.9 million original issue shares of our common stock available for issuance through Invest Direct and 2.9 million original issue shares of common stock available for issuance through a distribution agreement with Lampert Capital Markets,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0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long-term objective is to maintain a dividend payout ratio similar to our peers and provide for future dividend increases. Our targeted payout range is between 60 percent and 65 percent. In 2018, we paid out 66 percent (63 percent in 2017; 66 percent in 2016) of our per share earnings in dividends. On January 31, 2019, our Board of Directors declared a dividend of $0.5875 per share, which is payable on March 1, 2019, to shareholders of record at the close of business on February 15,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2019 through 2023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Base and Other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$120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$160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$215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$170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Transmission Cost Recovery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 xml:space="preserve">Nemadji Trail Energy Center </w:t>
            </w:r>
            <w:r>
              <w:rPr>
                <w:rFonts w:ascii="Arial" w:cs="Arial" w:eastAsia="Arial" w:hAnsi="Arial"/>
                <w:sz w:val="16"/>
                <w:szCs w:val="16"/>
                <w:i w:val="1"/>
                <w:iCs w:val="1"/>
                <w:color w:val="auto"/>
              </w:rPr>
              <w:t>(b)</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135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130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 Capital Expenditures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305</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270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$530</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$230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$335</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92" w:lineRule="auto"/>
        <w:tabs>
          <w:tab w:leader="none" w:pos="34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capital expenditures eligible for cost recovery outside of a general rate case, including our portion of transmission capital expenditures related to construction of the GNTL, which are eligible for cost recovery outside of a general rate case. (See Item 1. Business – Regulated Operations – Transmission and Distribution.)</w:t>
      </w:r>
    </w:p>
    <w:p>
      <w:pPr>
        <w:ind w:left="340" w:hanging="332"/>
        <w:spacing w:after="0" w:line="246"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estimated capital expenditures for construction of NTEC, a 525 MW to 550 MW combined-cycle natural gas-fired generating facility which will be jointly owned by Dairyland Power Cooperative and a subsidiary of ALLETE.</w:t>
      </w:r>
    </w:p>
    <w:p>
      <w:pPr>
        <w:jc w:val="both"/>
        <w:ind w:left="34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in 2019 include construction of a 100 MW wind energy facility and an 80 MW wind energy facility that ALLETE Clean Energy will build, own and operate. These capital expenditures do not include the cost of safe harbor turbines purchased previously. (See Outlook – Energy Infrastructure and Related Services – ALLETE Clean Energy.)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11. Commitments, Guarantees and Contingencies.)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2018,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8.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0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 – Millions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$56.7</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$89.5</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$98.3</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$88.5</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$88.5</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$1,019.5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$1,441.0</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7.6</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Variable Rate – Millions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$24.2</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2018,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2018 and 2017, and for the years ended December 31, 2018, 2017 and 2016,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2018.</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2019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(2019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8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2019 Proxy Statement will be filed with the SEC within 120 days after the end of our 2018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from the “Compensation Discussion and Analysis,” the “Compensation of Executive Officers,” the “Compensation Committee Report” and the “Director Compensation” sections in our 2019 Proxy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0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2019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7"/>
              </w:rPr>
              <w:t>Issued Upon Exercise of</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Exercise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 Outstanding Options,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Future Issuance Under Equity</w:t>
            </w:r>
          </w:p>
        </w:tc>
      </w:tr>
      <w:tr>
        <w:trPr>
          <w:trHeight w:val="234"/>
        </w:trPr>
        <w:tc>
          <w:tcPr>
            <w:tcW w:w="3960" w:type="dxa"/>
            <w:vAlign w:val="bottom"/>
          </w:tcPr>
          <w:p>
            <w:pPr>
              <w:ind w:left="1460"/>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2"/>
              </w:rPr>
              <w:t xml:space="preserve">Warrants, and Rights </w:t>
            </w:r>
            <w:r>
              <w:rPr>
                <w:rFonts w:ascii="Arial" w:cs="Arial" w:eastAsia="Arial" w:hAnsi="Arial"/>
                <w:sz w:val="16"/>
                <w:szCs w:val="16"/>
                <w:i w:val="1"/>
                <w:iCs w:val="1"/>
                <w:color w:val="auto"/>
                <w:w w:val="92"/>
              </w:rPr>
              <w:t>(a)</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Warrants, and Rights </w:t>
            </w:r>
            <w:r>
              <w:rPr>
                <w:rFonts w:ascii="Arial" w:cs="Arial" w:eastAsia="Arial" w:hAnsi="Arial"/>
                <w:sz w:val="16"/>
                <w:szCs w:val="16"/>
                <w:i w:val="1"/>
                <w:iCs w:val="1"/>
                <w:color w:val="auto"/>
                <w:w w:val="91"/>
              </w:rPr>
              <w:t>(b)</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Compensation Plans </w:t>
            </w:r>
            <w:r>
              <w:rPr>
                <w:rFonts w:ascii="Arial" w:cs="Arial" w:eastAsia="Arial" w:hAnsi="Arial"/>
                <w:sz w:val="16"/>
                <w:szCs w:val="16"/>
                <w:i w:val="1"/>
                <w:iCs w:val="1"/>
                <w:color w:val="auto"/>
                <w:w w:val="89"/>
              </w:rPr>
              <w:t>(c)</w:t>
            </w:r>
          </w:p>
        </w:tc>
      </w:tr>
      <w:tr>
        <w:trPr>
          <w:trHeight w:val="27"/>
        </w:trPr>
        <w:tc>
          <w:tcPr>
            <w:tcW w:w="3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4"/>
        </w:trPr>
        <w:tc>
          <w:tcPr>
            <w:tcW w:w="39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w:t>
            </w:r>
          </w:p>
        </w:tc>
        <w:tc>
          <w:tcPr>
            <w:tcW w:w="25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230,424</w:t>
            </w:r>
          </w:p>
        </w:tc>
        <w:tc>
          <w:tcPr>
            <w:tcW w:w="24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892,004</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ind w:left="222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230,424</w:t>
            </w:r>
          </w:p>
        </w:tc>
        <w:tc>
          <w:tcPr>
            <w:tcW w:w="24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892,004</w:t>
            </w:r>
          </w:p>
        </w:tc>
      </w:tr>
      <w:tr>
        <w:trPr>
          <w:trHeight w:val="20"/>
        </w:trPr>
        <w:tc>
          <w:tcPr>
            <w:tcW w:w="39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bl>
    <w:p>
      <w:pPr>
        <w:jc w:val="both"/>
        <w:ind w:left="340" w:hanging="332"/>
        <w:spacing w:after="0" w:line="282"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following: (i) 73,532 securities representing the performance shares (including accrued dividends) granted under the executive long-term incentive compensation plan that vested but were not paid as of December 31, 2018; (ii) 82,190 securities representing the target number of performance share awards (including accrued dividends) granted under the executive long-term incentive compensation plan that were unvested as of December 31, 2018; and (iii) 74,702 director deferred stock units (including accrued dividends) under the non-employee director compensation deferral plan as of December 31, 2018.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2019 Proxy Statement.</w:t>
      </w:r>
    </w:p>
    <w:p>
      <w:pPr>
        <w:spacing w:after="0" w:line="3" w:lineRule="exact"/>
        <w:rPr>
          <w:rFonts w:ascii="Arial" w:cs="Arial" w:eastAsia="Arial" w:hAnsi="Arial"/>
          <w:sz w:val="14"/>
          <w:szCs w:val="14"/>
          <w:i w:val="1"/>
          <w:iCs w:val="1"/>
          <w:color w:val="auto"/>
        </w:rPr>
      </w:pPr>
    </w:p>
    <w:p>
      <w:pPr>
        <w:ind w:left="340" w:hanging="332"/>
        <w:spacing w:after="0" w:line="246"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Earned performance share awards are paid in shares of ALLETE common stock on a one-for-one basis. Accordingly, these awards do not have a weighted-average exercise price.</w:t>
      </w: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number of securities shown in the first column as to be issued upon exercise of outstanding options, warrants, and rights. The amount shown is comprised of:</w:t>
      </w:r>
    </w:p>
    <w:p>
      <w:pPr>
        <w:spacing w:after="0" w:line="28" w:lineRule="exact"/>
        <w:rPr>
          <w:rFonts w:ascii="Arial" w:cs="Arial" w:eastAsia="Arial" w:hAnsi="Arial"/>
          <w:sz w:val="14"/>
          <w:szCs w:val="14"/>
          <w:i w:val="1"/>
          <w:iCs w:val="1"/>
          <w:color w:val="auto"/>
        </w:rPr>
      </w:pPr>
    </w:p>
    <w:p>
      <w:pPr>
        <w:jc w:val="both"/>
        <w:ind w:left="340"/>
        <w:spacing w:after="0" w:line="250" w:lineRule="auto"/>
        <w:rPr>
          <w:rFonts w:ascii="Arial" w:cs="Arial" w:eastAsia="Arial" w:hAnsi="Arial"/>
          <w:sz w:val="14"/>
          <w:szCs w:val="14"/>
          <w:i w:val="1"/>
          <w:iCs w:val="1"/>
          <w:color w:val="auto"/>
        </w:rPr>
      </w:pPr>
      <w:r>
        <w:rPr>
          <w:rFonts w:ascii="Arial" w:cs="Arial" w:eastAsia="Arial" w:hAnsi="Arial"/>
          <w:sz w:val="16"/>
          <w:szCs w:val="16"/>
          <w:i w:val="1"/>
          <w:iCs w:val="1"/>
          <w:color w:val="auto"/>
        </w:rPr>
        <w:t>(i) 723,470 shares available for issuance under the executive long-term incentive compensation plan in the form of options, rights, restricted stock units, performance share awards, and other grants as approved by the Executive Compensation Committee of the Company’s Board of Directors; (ii) 55,204 shares available for issuance under the Non-Employee Director Stock Plan as payment for a portion of the annual retainer payable to non-employee Directors; and (iii) 113,330 shares available for issuance under the ALLETE and Affiliated Companies Employee Stock Purchase Plan.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“Corporate Governance” section in our 2019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“Audit Committee Report” section in our 2019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2"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36"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(1)</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Statements</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Page</w:t>
            </w: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ALLETE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10"/>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 as of December 31, 2018 and 2017</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43"/>
        </w:trPr>
        <w:tc>
          <w:tcPr>
            <w:tcW w:w="4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9"/>
              </w:rPr>
              <w:t>For the Years Ended December 31, 2018, 2017 and 2016</w:t>
            </w:r>
          </w:p>
        </w:tc>
        <w:tc>
          <w:tcPr>
            <w:tcW w:w="5420" w:type="dxa"/>
            <w:vAlign w:val="bottom"/>
            <w:tcBorders>
              <w:top w:val="single" w:sz="8" w:color="CCEE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 of Income</w:t>
              </w:r>
            </w:hyperlink>
          </w:p>
        </w:tc>
        <w:tc>
          <w:tcPr>
            <w:tcW w:w="7280" w:type="dxa"/>
            <w:vAlign w:val="bottom"/>
            <w:gridSpan w:val="7"/>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 of Comprehensive Income</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 of Cash Flows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3"/>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 of Equity</w:t>
              </w:r>
            </w:hyperlink>
          </w:p>
        </w:tc>
        <w:tc>
          <w:tcPr>
            <w:tcW w:w="6980" w:type="dxa"/>
            <w:vAlign w:val="bottom"/>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1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6840" w:type="dxa"/>
            <w:vAlign w:val="bottom"/>
            <w:gridSpan w:val="5"/>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 Schedules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Schedule II – ALLETE Valuation and Qualifying Accounts and Reserves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131</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480" w:type="dxa"/>
            <w:vAlign w:val="bottom"/>
          </w:tcPr>
          <w:p>
            <w:pPr>
              <w:spacing w:after="0"/>
              <w:rPr>
                <w:sz w:val="19"/>
                <w:szCs w:val="19"/>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w w:val="91"/>
              </w:rPr>
              <w:t>All other schedules have been omitted either because the information is not required to be reported by ALLETE or because the information is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included in the Consolidated Financial Statements or the notes.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02"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27">
              <w:r>
                <w:rPr>
                  <w:rFonts w:ascii="Arial" w:cs="Arial" w:eastAsia="Arial" w:hAnsi="Arial"/>
                  <w:sz w:val="16"/>
                  <w:szCs w:val="16"/>
                  <w:color w:val="0000FF"/>
                </w:rPr>
                <w:t>*3(a)1</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line="184" w:lineRule="exact"/>
              <w:rPr>
                <w:rFonts w:ascii="Arial" w:cs="Arial" w:eastAsia="Arial" w:hAnsi="Arial"/>
                <w:sz w:val="16"/>
                <w:szCs w:val="16"/>
                <w:color w:val="0000FF"/>
                <w:w w:val="98"/>
              </w:rPr>
            </w:pPr>
            <w:hyperlink r:id="rId27">
              <w:r>
                <w:rPr>
                  <w:rFonts w:ascii="Arial" w:cs="Arial" w:eastAsia="Arial" w:hAnsi="Arial"/>
                  <w:sz w:val="16"/>
                  <w:szCs w:val="16"/>
                  <w:color w:val="0000FF"/>
                  <w:w w:val="98"/>
                </w:rPr>
                <w:t>Articles of Incorporation, amended and restated as of May 8, 2001 (filed as Exhibit 3(b) to the March 31, 2001, Form 10</w:t>
              </w:r>
              <w:r>
                <w:rPr>
                  <w:rFonts w:ascii="MS PGothic" w:cs="MS PGothic" w:eastAsia="MS PGothic" w:hAnsi="MS PGothic"/>
                  <w:sz w:val="16"/>
                  <w:szCs w:val="16"/>
                  <w:color w:val="0000FF"/>
                  <w:w w:val="98"/>
                </w:rPr>
                <w:t>‑</w:t>
              </w:r>
              <w:r>
                <w:rPr>
                  <w:rFonts w:ascii="Arial" w:cs="Arial" w:eastAsia="Arial" w:hAnsi="Arial"/>
                  <w:sz w:val="16"/>
                  <w:szCs w:val="16"/>
                  <w:color w:val="0000FF"/>
                  <w:w w:val="98"/>
                </w:rPr>
                <w:t>Q, File No. 1-3548).</w:t>
              </w:r>
            </w:hyperlink>
          </w:p>
        </w:tc>
      </w:tr>
      <w:tr>
        <w:trPr>
          <w:trHeight w:val="48"/>
        </w:trPr>
        <w:tc>
          <w:tcPr>
            <w:tcW w:w="380" w:type="dxa"/>
            <w:vAlign w:val="bottom"/>
            <w:tcBorders>
              <w:top w:val="single" w:sz="8" w:color="0000FF"/>
              <w:lef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28">
              <w:r>
                <w:rPr>
                  <w:rFonts w:ascii="Arial" w:cs="Arial" w:eastAsia="Arial" w:hAnsi="Arial"/>
                  <w:sz w:val="16"/>
                  <w:szCs w:val="16"/>
                  <w:color w:val="0000FF"/>
                </w:rPr>
                <w:t>*3(a)2</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7"/>
          </w:tcPr>
          <w:p>
            <w:pPr>
              <w:ind w:left="160"/>
              <w:spacing w:after="0"/>
              <w:rPr>
                <w:rFonts w:ascii="Arial" w:cs="Arial" w:eastAsia="Arial" w:hAnsi="Arial"/>
                <w:sz w:val="16"/>
                <w:szCs w:val="16"/>
                <w:color w:val="0000FF"/>
                <w:w w:val="93"/>
              </w:rPr>
            </w:pPr>
            <w:hyperlink r:id="rId28">
              <w:r>
                <w:rPr>
                  <w:rFonts w:ascii="Arial" w:cs="Arial" w:eastAsia="Arial" w:hAnsi="Arial"/>
                  <w:sz w:val="16"/>
                  <w:szCs w:val="16"/>
                  <w:color w:val="0000FF"/>
                  <w:w w:val="93"/>
                </w:rPr>
                <w:t>Amendment to Articles of Incorporation, dated as of September 20, 2004 (filed as Exhibit 3 to the September 21, 2004, Form 8-K, File No. 1-3548).</w:t>
              </w:r>
            </w:hyperlink>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29">
              <w:r>
                <w:rPr>
                  <w:rFonts w:ascii="Arial" w:cs="Arial" w:eastAsia="Arial" w:hAnsi="Arial"/>
                  <w:sz w:val="16"/>
                  <w:szCs w:val="16"/>
                  <w:color w:val="0000FF"/>
                </w:rPr>
                <w:t>*3(a)3</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rFonts w:ascii="Arial" w:cs="Arial" w:eastAsia="Arial" w:hAnsi="Arial"/>
                <w:sz w:val="16"/>
                <w:szCs w:val="16"/>
                <w:color w:val="0000FF"/>
              </w:rPr>
            </w:pPr>
            <w:hyperlink r:id="rId29">
              <w:r>
                <w:rPr>
                  <w:rFonts w:ascii="Arial" w:cs="Arial" w:eastAsia="Arial" w:hAnsi="Arial"/>
                  <w:sz w:val="16"/>
                  <w:szCs w:val="16"/>
                  <w:color w:val="0000FF"/>
                </w:rPr>
                <w:t>Amendment to Articles of Incorporation, dated as of May 12, 2009 (filed as Exhibit 3 to the June 30, 2009, Form 10-Q, File No. 1-3548).</w:t>
              </w:r>
            </w:hyperlink>
          </w:p>
        </w:tc>
      </w:tr>
      <w:tr>
        <w:trPr>
          <w:trHeight w:val="48"/>
        </w:trPr>
        <w:tc>
          <w:tcPr>
            <w:tcW w:w="380" w:type="dxa"/>
            <w:vAlign w:val="bottom"/>
            <w:tcBorders>
              <w:top w:val="single" w:sz="8" w:color="0000FF"/>
              <w:lef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30">
              <w:r>
                <w:rPr>
                  <w:rFonts w:ascii="Arial" w:cs="Arial" w:eastAsia="Arial" w:hAnsi="Arial"/>
                  <w:sz w:val="16"/>
                  <w:szCs w:val="16"/>
                  <w:color w:val="0000FF"/>
                </w:rPr>
                <w:t>*3(a)4</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7"/>
          </w:tcPr>
          <w:p>
            <w:pPr>
              <w:ind w:left="160"/>
              <w:spacing w:after="0"/>
              <w:rPr>
                <w:rFonts w:ascii="Arial" w:cs="Arial" w:eastAsia="Arial" w:hAnsi="Arial"/>
                <w:sz w:val="16"/>
                <w:szCs w:val="16"/>
                <w:color w:val="0000FF"/>
              </w:rPr>
            </w:pPr>
            <w:hyperlink r:id="rId30">
              <w:r>
                <w:rPr>
                  <w:rFonts w:ascii="Arial" w:cs="Arial" w:eastAsia="Arial" w:hAnsi="Arial"/>
                  <w:sz w:val="16"/>
                  <w:szCs w:val="16"/>
                  <w:color w:val="0000FF"/>
                </w:rPr>
                <w:t>Amendment to Articles of Incorporation, dated as of May 11, 2010 (filed as Exhibit 3(a) to the May 14, 2010, Form 8-K, File No. 1-3548).</w:t>
              </w:r>
            </w:hyperlink>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820" w:type="dxa"/>
            <w:vAlign w:val="bottom"/>
            <w:tcBorders>
              <w:left w:val="single" w:sz="8" w:color="CCEEFF"/>
            </w:tcBorders>
            <w:gridSpan w:val="3"/>
            <w:shd w:val="clear" w:color="auto" w:fill="CCEEFF"/>
          </w:tcPr>
          <w:p>
            <w:pPr>
              <w:ind w:left="40"/>
              <w:spacing w:after="0"/>
              <w:rPr>
                <w:rFonts w:ascii="Arial" w:cs="Arial" w:eastAsia="Arial" w:hAnsi="Arial"/>
                <w:sz w:val="16"/>
                <w:szCs w:val="16"/>
                <w:color w:val="0000FF"/>
              </w:rPr>
            </w:pPr>
            <w:hyperlink r:id="rId31">
              <w:r>
                <w:rPr>
                  <w:rFonts w:ascii="Arial" w:cs="Arial" w:eastAsia="Arial" w:hAnsi="Arial"/>
                  <w:sz w:val="16"/>
                  <w:szCs w:val="16"/>
                  <w:color w:val="0000FF"/>
                </w:rPr>
                <w:t>*3(a)5</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rFonts w:ascii="Arial" w:cs="Arial" w:eastAsia="Arial" w:hAnsi="Arial"/>
                <w:sz w:val="16"/>
                <w:szCs w:val="16"/>
                <w:color w:val="0000FF"/>
                <w:w w:val="96"/>
              </w:rPr>
            </w:pPr>
            <w:hyperlink r:id="rId31">
              <w:r>
                <w:rPr>
                  <w:rFonts w:ascii="Arial" w:cs="Arial" w:eastAsia="Arial" w:hAnsi="Arial"/>
                  <w:sz w:val="16"/>
                  <w:szCs w:val="16"/>
                  <w:color w:val="0000FF"/>
                  <w:w w:val="96"/>
                </w:rPr>
                <w:t>Amendment to Certificate of Assumed Name, filed with the Minnesota Secretary of State on May 8, 2001 (filed as Exhibit 3(a) to the March 31,</w:t>
              </w:r>
            </w:hyperlink>
          </w:p>
        </w:tc>
      </w:tr>
      <w:tr>
        <w:trPr>
          <w:trHeight w:val="20"/>
        </w:trPr>
        <w:tc>
          <w:tcPr>
            <w:tcW w:w="38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r>
      <w:tr>
        <w:trPr>
          <w:trHeight w:val="183"/>
        </w:trPr>
        <w:tc>
          <w:tcPr>
            <w:tcW w:w="3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780" w:type="dxa"/>
            <w:vAlign w:val="bottom"/>
            <w:gridSpan w:val="30"/>
            <w:shd w:val="clear" w:color="auto" w:fill="CCEEFF"/>
          </w:tcPr>
          <w:p>
            <w:pPr>
              <w:ind w:left="160"/>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2001, Form 10-Q, File No. 1-3548).</w:t>
              </w:r>
            </w:hyperlink>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820" w:type="dxa"/>
            <w:vAlign w:val="bottom"/>
            <w:gridSpan w:val="3"/>
          </w:tcPr>
          <w:p>
            <w:pPr>
              <w:ind w:left="40"/>
              <w:spacing w:after="0"/>
              <w:rPr>
                <w:rFonts w:ascii="Arial" w:cs="Arial" w:eastAsia="Arial" w:hAnsi="Arial"/>
                <w:sz w:val="16"/>
                <w:szCs w:val="16"/>
                <w:color w:val="0000FF"/>
              </w:rPr>
            </w:pPr>
            <w:hyperlink r:id="rId32">
              <w:r>
                <w:rPr>
                  <w:rFonts w:ascii="Arial" w:cs="Arial" w:eastAsia="Arial" w:hAnsi="Arial"/>
                  <w:sz w:val="16"/>
                  <w:szCs w:val="16"/>
                  <w:color w:val="0000FF"/>
                </w:rPr>
                <w:t>*3(b)</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980" w:type="dxa"/>
            <w:vAlign w:val="bottom"/>
            <w:gridSpan w:val="39"/>
          </w:tcPr>
          <w:p>
            <w:pPr>
              <w:ind w:left="160"/>
              <w:spacing w:after="0"/>
              <w:rPr>
                <w:rFonts w:ascii="Arial" w:cs="Arial" w:eastAsia="Arial" w:hAnsi="Arial"/>
                <w:sz w:val="16"/>
                <w:szCs w:val="16"/>
                <w:color w:val="0000FF"/>
                <w:w w:val="96"/>
              </w:rPr>
            </w:pPr>
            <w:hyperlink r:id="rId32">
              <w:r>
                <w:rPr>
                  <w:rFonts w:ascii="Arial" w:cs="Arial" w:eastAsia="Arial" w:hAnsi="Arial"/>
                  <w:sz w:val="16"/>
                  <w:szCs w:val="16"/>
                  <w:color w:val="0000FF"/>
                  <w:w w:val="96"/>
                </w:rPr>
                <w:t>Bylaws, as amended effective May 11, 2010 (filed as Exhibit 3(b) to the May 14, 2010, Form 8-K, File No. 1-3548).</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0"/>
        </w:trPr>
        <w:tc>
          <w:tcPr>
            <w:tcW w:w="82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*4(a)1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right w:val="single" w:sz="8" w:color="CCEEFF"/>
            </w:tcBorders>
            <w:gridSpan w:val="47"/>
            <w:shd w:val="clear" w:color="auto" w:fill="CCEEFF"/>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19"/>
        </w:trPr>
        <w:tc>
          <w:tcPr>
            <w:tcW w:w="38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right w:val="single" w:sz="8" w:color="CCEEFF"/>
            </w:tcBorders>
            <w:gridSpan w:val="47"/>
            <w:shd w:val="clear" w:color="auto" w:fill="CCEEFF"/>
          </w:tcPr>
          <w:p>
            <w:pPr>
              <w:ind w:left="160"/>
              <w:spacing w:after="0"/>
              <w:rPr>
                <w:sz w:val="20"/>
                <w:szCs w:val="20"/>
                <w:color w:val="auto"/>
              </w:rPr>
            </w:pPr>
            <w:r>
              <w:rPr>
                <w:rFonts w:ascii="Arial" w:cs="Arial" w:eastAsia="Arial" w:hAnsi="Arial"/>
                <w:sz w:val="16"/>
                <w:szCs w:val="16"/>
                <w:color w:val="auto"/>
                <w:w w:val="93"/>
              </w:rPr>
              <w:t>York Mellon (formerly Irving Trust Company) and Andres Serrano (successor to Richard H. West), Trustees (filed as Exhibit 7(c), File No. 2-5865).</w:t>
            </w:r>
          </w:p>
        </w:tc>
      </w:tr>
      <w:tr>
        <w:trPr>
          <w:trHeight w:val="224"/>
        </w:trPr>
        <w:tc>
          <w:tcPr>
            <w:tcW w:w="820" w:type="dxa"/>
            <w:vAlign w:val="bottom"/>
            <w:gridSpan w:val="3"/>
          </w:tcPr>
          <w:p>
            <w:pPr>
              <w:ind w:left="40"/>
              <w:spacing w:after="0"/>
              <w:rPr>
                <w:sz w:val="20"/>
                <w:szCs w:val="20"/>
                <w:color w:val="auto"/>
              </w:rPr>
            </w:pPr>
            <w:r>
              <w:rPr>
                <w:rFonts w:ascii="Arial" w:cs="Arial" w:eastAsia="Arial" w:hAnsi="Arial"/>
                <w:sz w:val="16"/>
                <w:szCs w:val="16"/>
                <w:color w:val="auto"/>
              </w:rPr>
              <w:t>*4(a)2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980" w:type="dxa"/>
            <w:vAlign w:val="bottom"/>
            <w:gridSpan w:val="39"/>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b w:val="1"/>
                <w:bCs w:val="1"/>
                <w:color w:val="auto"/>
              </w:rPr>
              <w:t>Number</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b w:val="1"/>
                <w:bCs w:val="1"/>
                <w:color w:val="auto"/>
              </w:rPr>
              <w:t>Exhibit</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First</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1949</w:t>
            </w:r>
          </w:p>
        </w:tc>
        <w:tc>
          <w:tcPr>
            <w:tcW w:w="720" w:type="dxa"/>
            <w:vAlign w:val="bottom"/>
          </w:tcPr>
          <w:p>
            <w:pPr>
              <w:spacing w:after="0"/>
              <w:rPr>
                <w:sz w:val="20"/>
                <w:szCs w:val="20"/>
                <w:color w:val="auto"/>
              </w:rPr>
            </w:pPr>
            <w:r>
              <w:rPr>
                <w:rFonts w:ascii="Arial" w:cs="Arial" w:eastAsia="Arial" w:hAnsi="Arial"/>
                <w:sz w:val="16"/>
                <w:szCs w:val="16"/>
                <w:color w:val="auto"/>
              </w:rPr>
              <w:t>2-7826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7(b)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Second</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1951</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2-9036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7(c)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Third</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1957</w:t>
            </w:r>
          </w:p>
        </w:tc>
        <w:tc>
          <w:tcPr>
            <w:tcW w:w="720" w:type="dxa"/>
            <w:vAlign w:val="bottom"/>
          </w:tcPr>
          <w:p>
            <w:pPr>
              <w:spacing w:after="0"/>
              <w:rPr>
                <w:sz w:val="20"/>
                <w:szCs w:val="20"/>
                <w:color w:val="auto"/>
              </w:rPr>
            </w:pPr>
            <w:r>
              <w:rPr>
                <w:rFonts w:ascii="Arial" w:cs="Arial" w:eastAsia="Arial" w:hAnsi="Arial"/>
                <w:sz w:val="16"/>
                <w:szCs w:val="16"/>
                <w:color w:val="auto"/>
              </w:rPr>
              <w:t>2-13075</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Fourth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January 1, 1968</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2-27794</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Fifth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April 1, 1971</w:t>
            </w:r>
          </w:p>
        </w:tc>
        <w:tc>
          <w:tcPr>
            <w:tcW w:w="720" w:type="dxa"/>
            <w:vAlign w:val="bottom"/>
          </w:tcPr>
          <w:p>
            <w:pPr>
              <w:spacing w:after="0"/>
              <w:rPr>
                <w:sz w:val="20"/>
                <w:szCs w:val="20"/>
                <w:color w:val="auto"/>
              </w:rPr>
            </w:pPr>
            <w:r>
              <w:rPr>
                <w:rFonts w:ascii="Arial" w:cs="Arial" w:eastAsia="Arial" w:hAnsi="Arial"/>
                <w:sz w:val="16"/>
                <w:szCs w:val="16"/>
                <w:color w:val="auto"/>
              </w:rPr>
              <w:t>2-39537</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Sixth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August 1, 1975</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2-54116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Seventh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September 1, 1976</w:t>
            </w:r>
          </w:p>
        </w:tc>
        <w:tc>
          <w:tcPr>
            <w:tcW w:w="720" w:type="dxa"/>
            <w:vAlign w:val="bottom"/>
          </w:tcPr>
          <w:p>
            <w:pPr>
              <w:spacing w:after="0"/>
              <w:rPr>
                <w:sz w:val="20"/>
                <w:szCs w:val="20"/>
                <w:color w:val="auto"/>
              </w:rPr>
            </w:pPr>
            <w:r>
              <w:rPr>
                <w:rFonts w:ascii="Arial" w:cs="Arial" w:eastAsia="Arial" w:hAnsi="Arial"/>
                <w:sz w:val="16"/>
                <w:szCs w:val="16"/>
                <w:color w:val="auto"/>
              </w:rPr>
              <w:t>2-57014</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Eighth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September 1, 1977</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2-59690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Ninth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April 1, 1978</w:t>
            </w:r>
          </w:p>
        </w:tc>
        <w:tc>
          <w:tcPr>
            <w:tcW w:w="720" w:type="dxa"/>
            <w:vAlign w:val="bottom"/>
          </w:tcPr>
          <w:p>
            <w:pPr>
              <w:spacing w:after="0"/>
              <w:rPr>
                <w:sz w:val="20"/>
                <w:szCs w:val="20"/>
                <w:color w:val="auto"/>
              </w:rPr>
            </w:pPr>
            <w:r>
              <w:rPr>
                <w:rFonts w:ascii="Arial" w:cs="Arial" w:eastAsia="Arial" w:hAnsi="Arial"/>
                <w:sz w:val="16"/>
                <w:szCs w:val="16"/>
                <w:color w:val="auto"/>
              </w:rPr>
              <w:t>2-60866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2(c)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August 1, 1978</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2-62852</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2(d)2</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Eleventh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December 1, 1982</w:t>
            </w:r>
          </w:p>
        </w:tc>
        <w:tc>
          <w:tcPr>
            <w:tcW w:w="720" w:type="dxa"/>
            <w:vAlign w:val="bottom"/>
          </w:tcPr>
          <w:p>
            <w:pPr>
              <w:spacing w:after="0"/>
              <w:rPr>
                <w:sz w:val="20"/>
                <w:szCs w:val="20"/>
                <w:color w:val="auto"/>
              </w:rPr>
            </w:pPr>
            <w:r>
              <w:rPr>
                <w:rFonts w:ascii="Arial" w:cs="Arial" w:eastAsia="Arial" w:hAnsi="Arial"/>
                <w:sz w:val="16"/>
                <w:szCs w:val="16"/>
                <w:color w:val="auto"/>
              </w:rPr>
              <w:t>2-56649</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4(a)3</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Twelfth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April 1, 1987</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33-30224</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4(a)3</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Thirteenth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March 1, 1992</w:t>
            </w:r>
          </w:p>
        </w:tc>
        <w:tc>
          <w:tcPr>
            <w:tcW w:w="720" w:type="dxa"/>
            <w:vAlign w:val="bottom"/>
          </w:tcPr>
          <w:p>
            <w:pPr>
              <w:spacing w:after="0"/>
              <w:rPr>
                <w:sz w:val="20"/>
                <w:szCs w:val="20"/>
                <w:color w:val="auto"/>
              </w:rPr>
            </w:pPr>
            <w:r>
              <w:rPr>
                <w:rFonts w:ascii="Arial" w:cs="Arial" w:eastAsia="Arial" w:hAnsi="Arial"/>
                <w:sz w:val="16"/>
                <w:szCs w:val="16"/>
                <w:color w:val="auto"/>
              </w:rPr>
              <w:t>33-47438</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Fourteenth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June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33-55240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Fifteenth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Pr>
          <w:p>
            <w:pPr>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4(c)</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Sixteenth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33-55240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4(d)</w:t>
            </w:r>
          </w:p>
        </w:tc>
      </w:tr>
      <w:tr>
        <w:trPr>
          <w:trHeight w:val="224"/>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Seventeenth</w:t>
            </w:r>
          </w:p>
        </w:tc>
        <w:tc>
          <w:tcPr>
            <w:tcW w:w="2200" w:type="dxa"/>
            <w:vAlign w:val="bottom"/>
            <w:gridSpan w:val="13"/>
          </w:tcPr>
          <w:p>
            <w:pPr>
              <w:ind w:left="400"/>
              <w:spacing w:after="0"/>
              <w:rPr>
                <w:sz w:val="20"/>
                <w:szCs w:val="20"/>
                <w:color w:val="auto"/>
              </w:rPr>
            </w:pPr>
            <w:r>
              <w:rPr>
                <w:rFonts w:ascii="Arial" w:cs="Arial" w:eastAsia="Arial" w:hAnsi="Arial"/>
                <w:sz w:val="16"/>
                <w:szCs w:val="16"/>
                <w:color w:val="auto"/>
              </w:rPr>
              <w:t>February 1, 1993</w:t>
            </w:r>
          </w:p>
        </w:tc>
        <w:tc>
          <w:tcPr>
            <w:tcW w:w="720" w:type="dxa"/>
            <w:vAlign w:val="bottom"/>
          </w:tcPr>
          <w:p>
            <w:pPr>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8"/>
          </w:tcPr>
          <w:p>
            <w:pPr>
              <w:spacing w:after="0"/>
              <w:rPr>
                <w:sz w:val="20"/>
                <w:szCs w:val="20"/>
                <w:color w:val="auto"/>
              </w:rPr>
            </w:pPr>
            <w:r>
              <w:rPr>
                <w:rFonts w:ascii="Arial" w:cs="Arial" w:eastAsia="Arial" w:hAnsi="Arial"/>
                <w:sz w:val="16"/>
                <w:szCs w:val="16"/>
                <w:color w:val="auto"/>
              </w:rPr>
              <w:t>4(b)</w:t>
            </w:r>
          </w:p>
        </w:tc>
      </w:tr>
      <w:tr>
        <w:trPr>
          <w:trHeight w:val="33"/>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Eighteenth</w:t>
            </w:r>
          </w:p>
        </w:tc>
        <w:tc>
          <w:tcPr>
            <w:tcW w:w="2200" w:type="dxa"/>
            <w:vAlign w:val="bottom"/>
            <w:tcBorders>
              <w:bottom w:val="single" w:sz="8" w:color="CCEEFF"/>
            </w:tcBorders>
            <w:gridSpan w:val="13"/>
            <w:shd w:val="clear" w:color="auto" w:fill="CCEEFF"/>
          </w:tcPr>
          <w:p>
            <w:pPr>
              <w:ind w:left="400"/>
              <w:spacing w:after="0"/>
              <w:rPr>
                <w:sz w:val="20"/>
                <w:szCs w:val="20"/>
                <w:color w:val="auto"/>
              </w:rPr>
            </w:pPr>
            <w:r>
              <w:rPr>
                <w:rFonts w:ascii="Arial" w:cs="Arial" w:eastAsia="Arial" w:hAnsi="Arial"/>
                <w:sz w:val="16"/>
                <w:szCs w:val="16"/>
                <w:color w:val="auto"/>
              </w:rPr>
              <w:t>July 1, 1993</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33-50143</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4(c)</w:t>
            </w: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3">
              <w:r>
                <w:rPr>
                  <w:rFonts w:ascii="Arial" w:cs="Arial" w:eastAsia="Arial" w:hAnsi="Arial"/>
                  <w:sz w:val="16"/>
                  <w:szCs w:val="16"/>
                  <w:color w:val="0000FF"/>
                </w:rPr>
                <w:t>Nineteenth</w:t>
              </w:r>
            </w:hyperlink>
          </w:p>
        </w:tc>
        <w:tc>
          <w:tcPr>
            <w:tcW w:w="2200" w:type="dxa"/>
            <w:vAlign w:val="bottom"/>
            <w:gridSpan w:val="13"/>
          </w:tcPr>
          <w:p>
            <w:pPr>
              <w:ind w:left="400"/>
              <w:spacing w:after="0"/>
              <w:rPr>
                <w:rFonts w:ascii="Arial" w:cs="Arial" w:eastAsia="Arial" w:hAnsi="Arial"/>
                <w:sz w:val="16"/>
                <w:szCs w:val="16"/>
                <w:color w:val="0000FF"/>
              </w:rPr>
            </w:pPr>
            <w:hyperlink r:id="rId33">
              <w:r>
                <w:rPr>
                  <w:rFonts w:ascii="Arial" w:cs="Arial" w:eastAsia="Arial" w:hAnsi="Arial"/>
                  <w:sz w:val="16"/>
                  <w:szCs w:val="16"/>
                  <w:color w:val="0000FF"/>
                </w:rPr>
                <w:t>February 1, 1997</w:t>
              </w:r>
            </w:hyperlink>
          </w:p>
        </w:tc>
        <w:tc>
          <w:tcPr>
            <w:tcW w:w="4200" w:type="dxa"/>
            <w:vAlign w:val="bottom"/>
            <w:gridSpan w:val="9"/>
          </w:tcPr>
          <w:p>
            <w:pPr>
              <w:spacing w:after="0"/>
              <w:rPr>
                <w:rFonts w:ascii="Arial" w:cs="Arial" w:eastAsia="Arial" w:hAnsi="Arial"/>
                <w:sz w:val="16"/>
                <w:szCs w:val="16"/>
                <w:color w:val="0000FF"/>
              </w:rPr>
            </w:pPr>
            <w:hyperlink r:id="rId33">
              <w:r>
                <w:rPr>
                  <w:rFonts w:ascii="Arial" w:cs="Arial" w:eastAsia="Arial" w:hAnsi="Arial"/>
                  <w:sz w:val="16"/>
                  <w:szCs w:val="16"/>
                  <w:color w:val="0000FF"/>
                </w:rPr>
                <w:t>1-3548 (1996 Form 10-K)</w:t>
              </w:r>
            </w:hyperlink>
          </w:p>
        </w:tc>
        <w:tc>
          <w:tcPr>
            <w:tcW w:w="1920" w:type="dxa"/>
            <w:vAlign w:val="bottom"/>
            <w:gridSpan w:val="8"/>
          </w:tcPr>
          <w:p>
            <w:pPr>
              <w:spacing w:after="0"/>
              <w:rPr>
                <w:rFonts w:ascii="Arial" w:cs="Arial" w:eastAsia="Arial" w:hAnsi="Arial"/>
                <w:sz w:val="16"/>
                <w:szCs w:val="16"/>
                <w:color w:val="0000FF"/>
              </w:rPr>
            </w:pPr>
            <w:hyperlink r:id="rId33">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4">
              <w:r>
                <w:rPr>
                  <w:rFonts w:ascii="Arial" w:cs="Arial" w:eastAsia="Arial" w:hAnsi="Arial"/>
                  <w:sz w:val="16"/>
                  <w:szCs w:val="16"/>
                  <w:color w:val="0000FF"/>
                </w:rPr>
                <w:t>Twentieth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4">
              <w:r>
                <w:rPr>
                  <w:rFonts w:ascii="Arial" w:cs="Arial" w:eastAsia="Arial" w:hAnsi="Arial"/>
                  <w:sz w:val="16"/>
                  <w:szCs w:val="16"/>
                  <w:color w:val="0000FF"/>
                </w:rPr>
                <w:t>November 1, 1997</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4">
              <w:r>
                <w:rPr>
                  <w:rFonts w:ascii="Arial" w:cs="Arial" w:eastAsia="Arial" w:hAnsi="Arial"/>
                  <w:sz w:val="16"/>
                  <w:szCs w:val="16"/>
                  <w:color w:val="0000FF"/>
                </w:rPr>
                <w:t>1-3548 (1997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34">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5">
              <w:r>
                <w:rPr>
                  <w:rFonts w:ascii="Arial" w:cs="Arial" w:eastAsia="Arial" w:hAnsi="Arial"/>
                  <w:sz w:val="16"/>
                  <w:szCs w:val="16"/>
                  <w:color w:val="0000FF"/>
                </w:rPr>
                <w:t>Twenty-first</w:t>
              </w:r>
            </w:hyperlink>
          </w:p>
        </w:tc>
        <w:tc>
          <w:tcPr>
            <w:tcW w:w="2200" w:type="dxa"/>
            <w:vAlign w:val="bottom"/>
            <w:gridSpan w:val="13"/>
          </w:tcPr>
          <w:p>
            <w:pPr>
              <w:ind w:left="400"/>
              <w:spacing w:after="0"/>
              <w:rPr>
                <w:rFonts w:ascii="Arial" w:cs="Arial" w:eastAsia="Arial" w:hAnsi="Arial"/>
                <w:sz w:val="16"/>
                <w:szCs w:val="16"/>
                <w:color w:val="0000FF"/>
              </w:rPr>
            </w:pPr>
            <w:hyperlink r:id="rId35">
              <w:r>
                <w:rPr>
                  <w:rFonts w:ascii="Arial" w:cs="Arial" w:eastAsia="Arial" w:hAnsi="Arial"/>
                  <w:sz w:val="16"/>
                  <w:szCs w:val="16"/>
                  <w:color w:val="0000FF"/>
                </w:rPr>
                <w:t>October 1, 2000</w:t>
              </w:r>
            </w:hyperlink>
          </w:p>
        </w:tc>
        <w:tc>
          <w:tcPr>
            <w:tcW w:w="1700" w:type="dxa"/>
            <w:vAlign w:val="bottom"/>
            <w:gridSpan w:val="2"/>
          </w:tcPr>
          <w:p>
            <w:pPr>
              <w:spacing w:after="0"/>
              <w:rPr>
                <w:rFonts w:ascii="Arial" w:cs="Arial" w:eastAsia="Arial" w:hAnsi="Arial"/>
                <w:sz w:val="16"/>
                <w:szCs w:val="16"/>
                <w:color w:val="0000FF"/>
              </w:rPr>
            </w:pPr>
            <w:hyperlink r:id="rId35">
              <w:r>
                <w:rPr>
                  <w:rFonts w:ascii="Arial" w:cs="Arial" w:eastAsia="Arial" w:hAnsi="Arial"/>
                  <w:sz w:val="16"/>
                  <w:szCs w:val="16"/>
                  <w:color w:val="0000FF"/>
                </w:rPr>
                <w:t>333-54330</w:t>
              </w:r>
            </w:hyperlink>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8"/>
          </w:tcPr>
          <w:p>
            <w:pPr>
              <w:spacing w:after="0"/>
              <w:rPr>
                <w:rFonts w:ascii="Arial" w:cs="Arial" w:eastAsia="Arial" w:hAnsi="Arial"/>
                <w:sz w:val="16"/>
                <w:szCs w:val="16"/>
                <w:color w:val="0000FF"/>
              </w:rPr>
            </w:pPr>
            <w:hyperlink r:id="rId35">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6">
              <w:r>
                <w:rPr>
                  <w:rFonts w:ascii="Arial" w:cs="Arial" w:eastAsia="Arial" w:hAnsi="Arial"/>
                  <w:sz w:val="16"/>
                  <w:szCs w:val="16"/>
                  <w:color w:val="0000FF"/>
                </w:rPr>
                <w:t>Twenty-second</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6">
              <w:r>
                <w:rPr>
                  <w:rFonts w:ascii="Arial" w:cs="Arial" w:eastAsia="Arial" w:hAnsi="Arial"/>
                  <w:sz w:val="16"/>
                  <w:szCs w:val="16"/>
                  <w:color w:val="0000FF"/>
                </w:rPr>
                <w:t>July 1, 2003</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6">
              <w:r>
                <w:rPr>
                  <w:rFonts w:ascii="Arial" w:cs="Arial" w:eastAsia="Arial" w:hAnsi="Arial"/>
                  <w:sz w:val="16"/>
                  <w:szCs w:val="16"/>
                  <w:color w:val="0000FF"/>
                </w:rPr>
                <w:t>1-3548 (June 30, 2003,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6">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7">
              <w:r>
                <w:rPr>
                  <w:rFonts w:ascii="Arial" w:cs="Arial" w:eastAsia="Arial" w:hAnsi="Arial"/>
                  <w:sz w:val="16"/>
                  <w:szCs w:val="16"/>
                  <w:color w:val="0000FF"/>
                </w:rPr>
                <w:t>Twenty-third</w:t>
              </w:r>
            </w:hyperlink>
          </w:p>
        </w:tc>
        <w:tc>
          <w:tcPr>
            <w:tcW w:w="2200" w:type="dxa"/>
            <w:vAlign w:val="bottom"/>
            <w:gridSpan w:val="13"/>
          </w:tcPr>
          <w:p>
            <w:pPr>
              <w:ind w:left="400"/>
              <w:spacing w:after="0"/>
              <w:rPr>
                <w:rFonts w:ascii="Arial" w:cs="Arial" w:eastAsia="Arial" w:hAnsi="Arial"/>
                <w:sz w:val="16"/>
                <w:szCs w:val="16"/>
                <w:color w:val="0000FF"/>
              </w:rPr>
            </w:pPr>
            <w:hyperlink r:id="rId37">
              <w:r>
                <w:rPr>
                  <w:rFonts w:ascii="Arial" w:cs="Arial" w:eastAsia="Arial" w:hAnsi="Arial"/>
                  <w:sz w:val="16"/>
                  <w:szCs w:val="16"/>
                  <w:color w:val="0000FF"/>
                </w:rPr>
                <w:t>August 1, 2004</w:t>
              </w:r>
            </w:hyperlink>
          </w:p>
        </w:tc>
        <w:tc>
          <w:tcPr>
            <w:tcW w:w="4200" w:type="dxa"/>
            <w:vAlign w:val="bottom"/>
            <w:gridSpan w:val="9"/>
          </w:tcPr>
          <w:p>
            <w:pPr>
              <w:spacing w:after="0"/>
              <w:rPr>
                <w:rFonts w:ascii="Arial" w:cs="Arial" w:eastAsia="Arial" w:hAnsi="Arial"/>
                <w:sz w:val="16"/>
                <w:szCs w:val="16"/>
                <w:color w:val="0000FF"/>
              </w:rPr>
            </w:pPr>
            <w:hyperlink r:id="rId37">
              <w:r>
                <w:rPr>
                  <w:rFonts w:ascii="Arial" w:cs="Arial" w:eastAsia="Arial" w:hAnsi="Arial"/>
                  <w:sz w:val="16"/>
                  <w:szCs w:val="16"/>
                  <w:color w:val="0000FF"/>
                </w:rPr>
                <w:t>1-3548 (Sept. 30, 2004, Form 10-Q)</w:t>
              </w:r>
            </w:hyperlink>
          </w:p>
        </w:tc>
        <w:tc>
          <w:tcPr>
            <w:tcW w:w="1920" w:type="dxa"/>
            <w:vAlign w:val="bottom"/>
            <w:gridSpan w:val="8"/>
          </w:tcPr>
          <w:p>
            <w:pPr>
              <w:spacing w:after="0"/>
              <w:rPr>
                <w:rFonts w:ascii="Arial" w:cs="Arial" w:eastAsia="Arial" w:hAnsi="Arial"/>
                <w:sz w:val="16"/>
                <w:szCs w:val="16"/>
                <w:color w:val="0000FF"/>
              </w:rPr>
            </w:pPr>
            <w:hyperlink r:id="rId37">
              <w:r>
                <w:rPr>
                  <w:rFonts w:ascii="Arial" w:cs="Arial" w:eastAsia="Arial" w:hAnsi="Arial"/>
                  <w:sz w:val="16"/>
                  <w:szCs w:val="16"/>
                  <w:color w:val="0000FF"/>
                </w:rPr>
                <w:t>4(a)</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8">
              <w:r>
                <w:rPr>
                  <w:rFonts w:ascii="Arial" w:cs="Arial" w:eastAsia="Arial" w:hAnsi="Arial"/>
                  <w:sz w:val="16"/>
                  <w:szCs w:val="16"/>
                  <w:color w:val="0000FF"/>
                </w:rPr>
                <w:t>Twenty-fourth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38">
              <w:r>
                <w:rPr>
                  <w:rFonts w:ascii="Arial" w:cs="Arial" w:eastAsia="Arial" w:hAnsi="Arial"/>
                  <w:sz w:val="16"/>
                  <w:szCs w:val="16"/>
                  <w:color w:val="0000FF"/>
                </w:rPr>
                <w:t>March 1, 2005</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38">
              <w:r>
                <w:rPr>
                  <w:rFonts w:ascii="Arial" w:cs="Arial" w:eastAsia="Arial" w:hAnsi="Arial"/>
                  <w:sz w:val="16"/>
                  <w:szCs w:val="16"/>
                  <w:color w:val="0000FF"/>
                </w:rPr>
                <w:t>1-3548 (March 31, 2005,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8">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9">
              <w:r>
                <w:rPr>
                  <w:rFonts w:ascii="Arial" w:cs="Arial" w:eastAsia="Arial" w:hAnsi="Arial"/>
                  <w:sz w:val="16"/>
                  <w:szCs w:val="16"/>
                  <w:color w:val="0000FF"/>
                </w:rPr>
                <w:t>Twenty-fifth</w:t>
              </w:r>
            </w:hyperlink>
          </w:p>
        </w:tc>
        <w:tc>
          <w:tcPr>
            <w:tcW w:w="2200" w:type="dxa"/>
            <w:vAlign w:val="bottom"/>
            <w:gridSpan w:val="13"/>
          </w:tcPr>
          <w:p>
            <w:pPr>
              <w:ind w:left="400"/>
              <w:spacing w:after="0"/>
              <w:rPr>
                <w:rFonts w:ascii="Arial" w:cs="Arial" w:eastAsia="Arial" w:hAnsi="Arial"/>
                <w:sz w:val="16"/>
                <w:szCs w:val="16"/>
                <w:color w:val="0000FF"/>
              </w:rPr>
            </w:pPr>
            <w:hyperlink r:id="rId39">
              <w:r>
                <w:rPr>
                  <w:rFonts w:ascii="Arial" w:cs="Arial" w:eastAsia="Arial" w:hAnsi="Arial"/>
                  <w:sz w:val="16"/>
                  <w:szCs w:val="16"/>
                  <w:color w:val="0000FF"/>
                </w:rPr>
                <w:t>December 1, 2005</w:t>
              </w:r>
            </w:hyperlink>
          </w:p>
        </w:tc>
        <w:tc>
          <w:tcPr>
            <w:tcW w:w="4200" w:type="dxa"/>
            <w:vAlign w:val="bottom"/>
            <w:gridSpan w:val="9"/>
          </w:tcPr>
          <w:p>
            <w:pPr>
              <w:spacing w:after="0"/>
              <w:rPr>
                <w:rFonts w:ascii="Arial" w:cs="Arial" w:eastAsia="Arial" w:hAnsi="Arial"/>
                <w:sz w:val="16"/>
                <w:szCs w:val="16"/>
                <w:color w:val="0000FF"/>
              </w:rPr>
            </w:pPr>
            <w:hyperlink r:id="rId39">
              <w:r>
                <w:rPr>
                  <w:rFonts w:ascii="Arial" w:cs="Arial" w:eastAsia="Arial" w:hAnsi="Arial"/>
                  <w:sz w:val="16"/>
                  <w:szCs w:val="16"/>
                  <w:color w:val="0000FF"/>
                </w:rPr>
                <w:t>1-3548 (March 31, 2006, Form 10-Q)</w:t>
              </w:r>
            </w:hyperlink>
          </w:p>
        </w:tc>
        <w:tc>
          <w:tcPr>
            <w:tcW w:w="260" w:type="dxa"/>
            <w:vAlign w:val="bottom"/>
            <w:gridSpan w:val="2"/>
          </w:tcPr>
          <w:p>
            <w:pPr>
              <w:spacing w:after="0"/>
              <w:rPr>
                <w:rFonts w:ascii="Arial" w:cs="Arial" w:eastAsia="Arial" w:hAnsi="Arial"/>
                <w:sz w:val="16"/>
                <w:szCs w:val="16"/>
                <w:color w:val="0000FF"/>
              </w:rPr>
            </w:pPr>
            <w:hyperlink r:id="rId39">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0">
              <w:r>
                <w:rPr>
                  <w:rFonts w:ascii="Arial" w:cs="Arial" w:eastAsia="Arial" w:hAnsi="Arial"/>
                  <w:sz w:val="16"/>
                  <w:szCs w:val="16"/>
                  <w:color w:val="0000FF"/>
                </w:rPr>
                <w:t>Twenty-sixth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0">
              <w:r>
                <w:rPr>
                  <w:rFonts w:ascii="Arial" w:cs="Arial" w:eastAsia="Arial" w:hAnsi="Arial"/>
                  <w:sz w:val="16"/>
                  <w:szCs w:val="16"/>
                  <w:color w:val="0000FF"/>
                </w:rPr>
                <w:t>October 1, 2006</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0">
              <w:r>
                <w:rPr>
                  <w:rFonts w:ascii="Arial" w:cs="Arial" w:eastAsia="Arial" w:hAnsi="Arial"/>
                  <w:sz w:val="16"/>
                  <w:szCs w:val="16"/>
                  <w:color w:val="0000FF"/>
                </w:rPr>
                <w:t>1-3548 (2006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40">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1">
              <w:r>
                <w:rPr>
                  <w:rFonts w:ascii="Arial" w:cs="Arial" w:eastAsia="Arial" w:hAnsi="Arial"/>
                  <w:sz w:val="16"/>
                  <w:szCs w:val="16"/>
                  <w:color w:val="0000FF"/>
                </w:rPr>
                <w:t>Twenty-seventh</w:t>
              </w:r>
            </w:hyperlink>
          </w:p>
        </w:tc>
        <w:tc>
          <w:tcPr>
            <w:tcW w:w="2200" w:type="dxa"/>
            <w:vAlign w:val="bottom"/>
            <w:gridSpan w:val="13"/>
          </w:tcPr>
          <w:p>
            <w:pPr>
              <w:ind w:left="400"/>
              <w:spacing w:after="0"/>
              <w:rPr>
                <w:rFonts w:ascii="Arial" w:cs="Arial" w:eastAsia="Arial" w:hAnsi="Arial"/>
                <w:sz w:val="16"/>
                <w:szCs w:val="16"/>
                <w:color w:val="0000FF"/>
              </w:rPr>
            </w:pPr>
            <w:hyperlink r:id="rId41">
              <w:r>
                <w:rPr>
                  <w:rFonts w:ascii="Arial" w:cs="Arial" w:eastAsia="Arial" w:hAnsi="Arial"/>
                  <w:sz w:val="16"/>
                  <w:szCs w:val="16"/>
                  <w:color w:val="0000FF"/>
                </w:rPr>
                <w:t>February 1, 2008</w:t>
              </w:r>
            </w:hyperlink>
          </w:p>
        </w:tc>
        <w:tc>
          <w:tcPr>
            <w:tcW w:w="4200" w:type="dxa"/>
            <w:vAlign w:val="bottom"/>
            <w:gridSpan w:val="9"/>
          </w:tcPr>
          <w:p>
            <w:pPr>
              <w:spacing w:after="0"/>
              <w:rPr>
                <w:rFonts w:ascii="Arial" w:cs="Arial" w:eastAsia="Arial" w:hAnsi="Arial"/>
                <w:sz w:val="16"/>
                <w:szCs w:val="16"/>
                <w:color w:val="0000FF"/>
              </w:rPr>
            </w:pPr>
            <w:hyperlink r:id="rId41">
              <w:r>
                <w:rPr>
                  <w:rFonts w:ascii="Arial" w:cs="Arial" w:eastAsia="Arial" w:hAnsi="Arial"/>
                  <w:sz w:val="16"/>
                  <w:szCs w:val="16"/>
                  <w:color w:val="0000FF"/>
                </w:rPr>
                <w:t>1-3548 (2007 Form 10-K)</w:t>
              </w:r>
            </w:hyperlink>
          </w:p>
        </w:tc>
        <w:tc>
          <w:tcPr>
            <w:tcW w:w="1920" w:type="dxa"/>
            <w:vAlign w:val="bottom"/>
            <w:gridSpan w:val="8"/>
          </w:tcPr>
          <w:p>
            <w:pPr>
              <w:spacing w:after="0"/>
              <w:rPr>
                <w:rFonts w:ascii="Arial" w:cs="Arial" w:eastAsia="Arial" w:hAnsi="Arial"/>
                <w:sz w:val="16"/>
                <w:szCs w:val="16"/>
                <w:color w:val="0000FF"/>
              </w:rPr>
            </w:pPr>
            <w:hyperlink r:id="rId41">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2">
              <w:r>
                <w:rPr>
                  <w:rFonts w:ascii="Arial" w:cs="Arial" w:eastAsia="Arial" w:hAnsi="Arial"/>
                  <w:sz w:val="16"/>
                  <w:szCs w:val="16"/>
                  <w:color w:val="0000FF"/>
                </w:rPr>
                <w:t>Twenty-eighth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2">
              <w:r>
                <w:rPr>
                  <w:rFonts w:ascii="Arial" w:cs="Arial" w:eastAsia="Arial" w:hAnsi="Arial"/>
                  <w:sz w:val="16"/>
                  <w:szCs w:val="16"/>
                  <w:color w:val="0000FF"/>
                </w:rPr>
                <w:t>May 1, 2008</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2">
              <w:r>
                <w:rPr>
                  <w:rFonts w:ascii="Arial" w:cs="Arial" w:eastAsia="Arial" w:hAnsi="Arial"/>
                  <w:sz w:val="16"/>
                  <w:szCs w:val="16"/>
                  <w:color w:val="0000FF"/>
                </w:rPr>
                <w:t>1-3548 (June 30, 2008,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2">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3">
              <w:r>
                <w:rPr>
                  <w:rFonts w:ascii="Arial" w:cs="Arial" w:eastAsia="Arial" w:hAnsi="Arial"/>
                  <w:sz w:val="16"/>
                  <w:szCs w:val="16"/>
                  <w:color w:val="0000FF"/>
                </w:rPr>
                <w:t>Twenty-ninth</w:t>
              </w:r>
            </w:hyperlink>
          </w:p>
        </w:tc>
        <w:tc>
          <w:tcPr>
            <w:tcW w:w="2200" w:type="dxa"/>
            <w:vAlign w:val="bottom"/>
            <w:gridSpan w:val="13"/>
          </w:tcPr>
          <w:p>
            <w:pPr>
              <w:ind w:left="400"/>
              <w:spacing w:after="0"/>
              <w:rPr>
                <w:rFonts w:ascii="Arial" w:cs="Arial" w:eastAsia="Arial" w:hAnsi="Arial"/>
                <w:sz w:val="16"/>
                <w:szCs w:val="16"/>
                <w:color w:val="0000FF"/>
              </w:rPr>
            </w:pPr>
            <w:hyperlink r:id="rId43">
              <w:r>
                <w:rPr>
                  <w:rFonts w:ascii="Arial" w:cs="Arial" w:eastAsia="Arial" w:hAnsi="Arial"/>
                  <w:sz w:val="16"/>
                  <w:szCs w:val="16"/>
                  <w:color w:val="0000FF"/>
                </w:rPr>
                <w:t>November 1, 2008</w:t>
              </w:r>
            </w:hyperlink>
          </w:p>
        </w:tc>
        <w:tc>
          <w:tcPr>
            <w:tcW w:w="4200" w:type="dxa"/>
            <w:vAlign w:val="bottom"/>
            <w:gridSpan w:val="9"/>
          </w:tcPr>
          <w:p>
            <w:pPr>
              <w:spacing w:after="0"/>
              <w:rPr>
                <w:rFonts w:ascii="Arial" w:cs="Arial" w:eastAsia="Arial" w:hAnsi="Arial"/>
                <w:sz w:val="16"/>
                <w:szCs w:val="16"/>
                <w:color w:val="0000FF"/>
              </w:rPr>
            </w:pPr>
            <w:hyperlink r:id="rId43">
              <w:r>
                <w:rPr>
                  <w:rFonts w:ascii="Arial" w:cs="Arial" w:eastAsia="Arial" w:hAnsi="Arial"/>
                  <w:sz w:val="16"/>
                  <w:szCs w:val="16"/>
                  <w:color w:val="0000FF"/>
                </w:rPr>
                <w:t>1-3548 (2008 Form 10-K)</w:t>
              </w:r>
            </w:hyperlink>
          </w:p>
        </w:tc>
        <w:tc>
          <w:tcPr>
            <w:tcW w:w="1920" w:type="dxa"/>
            <w:vAlign w:val="bottom"/>
            <w:gridSpan w:val="8"/>
          </w:tcPr>
          <w:p>
            <w:pPr>
              <w:spacing w:after="0"/>
              <w:rPr>
                <w:rFonts w:ascii="Arial" w:cs="Arial" w:eastAsia="Arial" w:hAnsi="Arial"/>
                <w:sz w:val="16"/>
                <w:szCs w:val="16"/>
                <w:color w:val="0000FF"/>
              </w:rPr>
            </w:pPr>
            <w:hyperlink r:id="rId43">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4">
              <w:r>
                <w:rPr>
                  <w:rFonts w:ascii="Arial" w:cs="Arial" w:eastAsia="Arial" w:hAnsi="Arial"/>
                  <w:sz w:val="16"/>
                  <w:szCs w:val="16"/>
                  <w:color w:val="0000FF"/>
                </w:rPr>
                <w:t>Thirtieth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4">
              <w:r>
                <w:rPr>
                  <w:rFonts w:ascii="Arial" w:cs="Arial" w:eastAsia="Arial" w:hAnsi="Arial"/>
                  <w:sz w:val="16"/>
                  <w:szCs w:val="16"/>
                  <w:color w:val="0000FF"/>
                </w:rPr>
                <w:t>January 1, 2009</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4">
              <w:r>
                <w:rPr>
                  <w:rFonts w:ascii="Arial" w:cs="Arial" w:eastAsia="Arial" w:hAnsi="Arial"/>
                  <w:sz w:val="16"/>
                  <w:szCs w:val="16"/>
                  <w:color w:val="0000FF"/>
                </w:rPr>
                <w:t>1-3548 (2008 Form 10-K)</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44">
              <w:r>
                <w:rPr>
                  <w:rFonts w:ascii="Arial" w:cs="Arial" w:eastAsia="Arial" w:hAnsi="Arial"/>
                  <w:sz w:val="16"/>
                  <w:szCs w:val="16"/>
                  <w:color w:val="0000FF"/>
                </w:rPr>
                <w:t>4(a)</w:t>
              </w:r>
              <w:r>
                <w:rPr>
                  <w:rFonts w:ascii="Arial" w:cs="Arial" w:eastAsia="Arial" w:hAnsi="Arial"/>
                  <w:sz w:val="16"/>
                  <w:szCs w:val="16"/>
                  <w:u w:val="single" w:color="auto"/>
                  <w:color w:val="0000FF"/>
                </w:rPr>
                <w:t>4</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5">
              <w:r>
                <w:rPr>
                  <w:rFonts w:ascii="Arial" w:cs="Arial" w:eastAsia="Arial" w:hAnsi="Arial"/>
                  <w:sz w:val="16"/>
                  <w:szCs w:val="16"/>
                  <w:color w:val="0000FF"/>
                </w:rPr>
                <w:t>Thirty-first</w:t>
              </w:r>
            </w:hyperlink>
          </w:p>
        </w:tc>
        <w:tc>
          <w:tcPr>
            <w:tcW w:w="2200" w:type="dxa"/>
            <w:vAlign w:val="bottom"/>
            <w:gridSpan w:val="13"/>
          </w:tcPr>
          <w:p>
            <w:pPr>
              <w:ind w:left="400"/>
              <w:spacing w:after="0"/>
              <w:rPr>
                <w:rFonts w:ascii="Arial" w:cs="Arial" w:eastAsia="Arial" w:hAnsi="Arial"/>
                <w:sz w:val="16"/>
                <w:szCs w:val="16"/>
                <w:color w:val="0000FF"/>
              </w:rPr>
            </w:pPr>
            <w:hyperlink r:id="rId45">
              <w:r>
                <w:rPr>
                  <w:rFonts w:ascii="Arial" w:cs="Arial" w:eastAsia="Arial" w:hAnsi="Arial"/>
                  <w:sz w:val="16"/>
                  <w:szCs w:val="16"/>
                  <w:color w:val="0000FF"/>
                </w:rPr>
                <w:t>February 1, 2010</w:t>
              </w:r>
            </w:hyperlink>
          </w:p>
        </w:tc>
        <w:tc>
          <w:tcPr>
            <w:tcW w:w="4200" w:type="dxa"/>
            <w:vAlign w:val="bottom"/>
            <w:gridSpan w:val="9"/>
          </w:tcPr>
          <w:p>
            <w:pPr>
              <w:spacing w:after="0"/>
              <w:rPr>
                <w:rFonts w:ascii="Arial" w:cs="Arial" w:eastAsia="Arial" w:hAnsi="Arial"/>
                <w:sz w:val="16"/>
                <w:szCs w:val="16"/>
                <w:color w:val="0000FF"/>
              </w:rPr>
            </w:pPr>
            <w:hyperlink r:id="rId45">
              <w:r>
                <w:rPr>
                  <w:rFonts w:ascii="Arial" w:cs="Arial" w:eastAsia="Arial" w:hAnsi="Arial"/>
                  <w:sz w:val="16"/>
                  <w:szCs w:val="16"/>
                  <w:color w:val="0000FF"/>
                </w:rPr>
                <w:t>1-3548 (March 31, 2010, Form 10-Q)</w:t>
              </w:r>
            </w:hyperlink>
          </w:p>
        </w:tc>
        <w:tc>
          <w:tcPr>
            <w:tcW w:w="260" w:type="dxa"/>
            <w:vAlign w:val="bottom"/>
            <w:gridSpan w:val="2"/>
          </w:tcPr>
          <w:p>
            <w:pPr>
              <w:spacing w:after="0"/>
              <w:rPr>
                <w:rFonts w:ascii="Arial" w:cs="Arial" w:eastAsia="Arial" w:hAnsi="Arial"/>
                <w:sz w:val="16"/>
                <w:szCs w:val="16"/>
                <w:color w:val="0000FF"/>
              </w:rPr>
            </w:pPr>
            <w:hyperlink r:id="rId45">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8"/>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6">
              <w:r>
                <w:rPr>
                  <w:rFonts w:ascii="Arial" w:cs="Arial" w:eastAsia="Arial" w:hAnsi="Arial"/>
                  <w:sz w:val="16"/>
                  <w:szCs w:val="16"/>
                  <w:color w:val="0000FF"/>
                </w:rPr>
                <w:t>Thirty-second</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6">
              <w:r>
                <w:rPr>
                  <w:rFonts w:ascii="Arial" w:cs="Arial" w:eastAsia="Arial" w:hAnsi="Arial"/>
                  <w:sz w:val="16"/>
                  <w:szCs w:val="16"/>
                  <w:color w:val="0000FF"/>
                </w:rPr>
                <w:t>August 1, 2010</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6">
              <w:r>
                <w:rPr>
                  <w:rFonts w:ascii="Arial" w:cs="Arial" w:eastAsia="Arial" w:hAnsi="Arial"/>
                  <w:sz w:val="16"/>
                  <w:szCs w:val="16"/>
                  <w:color w:val="0000FF"/>
                </w:rPr>
                <w:t>1-3548 (Sept. 30, 2010,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6">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7">
              <w:r>
                <w:rPr>
                  <w:rFonts w:ascii="Arial" w:cs="Arial" w:eastAsia="Arial" w:hAnsi="Arial"/>
                  <w:sz w:val="16"/>
                  <w:szCs w:val="16"/>
                  <w:color w:val="0000FF"/>
                </w:rPr>
                <w:t>Thirty-third</w:t>
              </w:r>
            </w:hyperlink>
          </w:p>
        </w:tc>
        <w:tc>
          <w:tcPr>
            <w:tcW w:w="2200" w:type="dxa"/>
            <w:vAlign w:val="bottom"/>
            <w:gridSpan w:val="13"/>
          </w:tcPr>
          <w:p>
            <w:pPr>
              <w:ind w:left="400"/>
              <w:spacing w:after="0"/>
              <w:rPr>
                <w:rFonts w:ascii="Arial" w:cs="Arial" w:eastAsia="Arial" w:hAnsi="Arial"/>
                <w:sz w:val="16"/>
                <w:szCs w:val="16"/>
                <w:color w:val="0000FF"/>
              </w:rPr>
            </w:pPr>
            <w:hyperlink r:id="rId47">
              <w:r>
                <w:rPr>
                  <w:rFonts w:ascii="Arial" w:cs="Arial" w:eastAsia="Arial" w:hAnsi="Arial"/>
                  <w:sz w:val="16"/>
                  <w:szCs w:val="16"/>
                  <w:color w:val="0000FF"/>
                </w:rPr>
                <w:t>July 1, 2012</w:t>
              </w:r>
            </w:hyperlink>
          </w:p>
        </w:tc>
        <w:tc>
          <w:tcPr>
            <w:tcW w:w="4200" w:type="dxa"/>
            <w:vAlign w:val="bottom"/>
            <w:gridSpan w:val="9"/>
          </w:tcPr>
          <w:p>
            <w:pPr>
              <w:spacing w:after="0"/>
              <w:rPr>
                <w:rFonts w:ascii="Arial" w:cs="Arial" w:eastAsia="Arial" w:hAnsi="Arial"/>
                <w:sz w:val="16"/>
                <w:szCs w:val="16"/>
                <w:color w:val="0000FF"/>
              </w:rPr>
            </w:pPr>
            <w:hyperlink r:id="rId47">
              <w:r>
                <w:rPr>
                  <w:rFonts w:ascii="Arial" w:cs="Arial" w:eastAsia="Arial" w:hAnsi="Arial"/>
                  <w:sz w:val="16"/>
                  <w:szCs w:val="16"/>
                  <w:color w:val="0000FF"/>
                </w:rPr>
                <w:t>1-3548 (July 2, 2012, Form 8-K)</w:t>
              </w:r>
            </w:hyperlink>
          </w:p>
        </w:tc>
        <w:tc>
          <w:tcPr>
            <w:tcW w:w="260" w:type="dxa"/>
            <w:vAlign w:val="bottom"/>
            <w:gridSpan w:val="2"/>
          </w:tcPr>
          <w:p>
            <w:pPr>
              <w:spacing w:after="0"/>
              <w:rPr>
                <w:rFonts w:ascii="Arial" w:cs="Arial" w:eastAsia="Arial" w:hAnsi="Arial"/>
                <w:sz w:val="16"/>
                <w:szCs w:val="16"/>
                <w:color w:val="0000FF"/>
              </w:rPr>
            </w:pPr>
            <w:hyperlink r:id="rId47">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8">
              <w:r>
                <w:rPr>
                  <w:rFonts w:ascii="Arial" w:cs="Arial" w:eastAsia="Arial" w:hAnsi="Arial"/>
                  <w:sz w:val="16"/>
                  <w:szCs w:val="16"/>
                  <w:color w:val="0000FF"/>
                </w:rPr>
                <w:t>Thirty-fourth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48">
              <w:r>
                <w:rPr>
                  <w:rFonts w:ascii="Arial" w:cs="Arial" w:eastAsia="Arial" w:hAnsi="Arial"/>
                  <w:sz w:val="16"/>
                  <w:szCs w:val="16"/>
                  <w:color w:val="0000FF"/>
                </w:rPr>
                <w:t>April 1, 2013</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48">
              <w:r>
                <w:rPr>
                  <w:rFonts w:ascii="Arial" w:cs="Arial" w:eastAsia="Arial" w:hAnsi="Arial"/>
                  <w:sz w:val="16"/>
                  <w:szCs w:val="16"/>
                  <w:color w:val="0000FF"/>
                </w:rPr>
                <w:t>1-3548 (April 2, 2013, Form 8-K)</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8">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9">
              <w:r>
                <w:rPr>
                  <w:rFonts w:ascii="Arial" w:cs="Arial" w:eastAsia="Arial" w:hAnsi="Arial"/>
                  <w:sz w:val="16"/>
                  <w:szCs w:val="16"/>
                  <w:color w:val="0000FF"/>
                </w:rPr>
                <w:t>Thirty-fifth</w:t>
              </w:r>
            </w:hyperlink>
          </w:p>
        </w:tc>
        <w:tc>
          <w:tcPr>
            <w:tcW w:w="2200" w:type="dxa"/>
            <w:vAlign w:val="bottom"/>
            <w:gridSpan w:val="13"/>
          </w:tcPr>
          <w:p>
            <w:pPr>
              <w:ind w:left="400"/>
              <w:spacing w:after="0"/>
              <w:rPr>
                <w:rFonts w:ascii="Arial" w:cs="Arial" w:eastAsia="Arial" w:hAnsi="Arial"/>
                <w:sz w:val="16"/>
                <w:szCs w:val="16"/>
                <w:color w:val="0000FF"/>
              </w:rPr>
            </w:pPr>
            <w:hyperlink r:id="rId49">
              <w:r>
                <w:rPr>
                  <w:rFonts w:ascii="Arial" w:cs="Arial" w:eastAsia="Arial" w:hAnsi="Arial"/>
                  <w:sz w:val="16"/>
                  <w:szCs w:val="16"/>
                  <w:color w:val="0000FF"/>
                </w:rPr>
                <w:t>March 1, 2014</w:t>
              </w:r>
            </w:hyperlink>
          </w:p>
        </w:tc>
        <w:tc>
          <w:tcPr>
            <w:tcW w:w="4200" w:type="dxa"/>
            <w:vAlign w:val="bottom"/>
            <w:gridSpan w:val="9"/>
          </w:tcPr>
          <w:p>
            <w:pPr>
              <w:spacing w:after="0"/>
              <w:rPr>
                <w:rFonts w:ascii="Arial" w:cs="Arial" w:eastAsia="Arial" w:hAnsi="Arial"/>
                <w:sz w:val="16"/>
                <w:szCs w:val="16"/>
                <w:color w:val="0000FF"/>
              </w:rPr>
            </w:pPr>
            <w:hyperlink r:id="rId49">
              <w:r>
                <w:rPr>
                  <w:rFonts w:ascii="Arial" w:cs="Arial" w:eastAsia="Arial" w:hAnsi="Arial"/>
                  <w:sz w:val="16"/>
                  <w:szCs w:val="16"/>
                  <w:color w:val="0000FF"/>
                </w:rPr>
                <w:t>1-3548 (March 31, 2014, Form 10-Q)</w:t>
              </w:r>
            </w:hyperlink>
          </w:p>
        </w:tc>
        <w:tc>
          <w:tcPr>
            <w:tcW w:w="260" w:type="dxa"/>
            <w:vAlign w:val="bottom"/>
            <w:gridSpan w:val="2"/>
          </w:tcPr>
          <w:p>
            <w:pPr>
              <w:spacing w:after="0"/>
              <w:rPr>
                <w:rFonts w:ascii="Arial" w:cs="Arial" w:eastAsia="Arial" w:hAnsi="Arial"/>
                <w:sz w:val="16"/>
                <w:szCs w:val="16"/>
                <w:color w:val="0000FF"/>
              </w:rPr>
            </w:pPr>
            <w:hyperlink r:id="rId49">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50">
              <w:r>
                <w:rPr>
                  <w:rFonts w:ascii="Arial" w:cs="Arial" w:eastAsia="Arial" w:hAnsi="Arial"/>
                  <w:sz w:val="16"/>
                  <w:szCs w:val="16"/>
                  <w:color w:val="0000FF"/>
                </w:rPr>
                <w:t>Thirty-sixth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50">
              <w:r>
                <w:rPr>
                  <w:rFonts w:ascii="Arial" w:cs="Arial" w:eastAsia="Arial" w:hAnsi="Arial"/>
                  <w:sz w:val="16"/>
                  <w:szCs w:val="16"/>
                  <w:color w:val="0000FF"/>
                </w:rPr>
                <w:t>June 1, 2014</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50">
              <w:r>
                <w:rPr>
                  <w:rFonts w:ascii="Arial" w:cs="Arial" w:eastAsia="Arial" w:hAnsi="Arial"/>
                  <w:sz w:val="16"/>
                  <w:szCs w:val="16"/>
                  <w:color w:val="0000FF"/>
                </w:rPr>
                <w:t>1-3548 (June 30, 2014,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50">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51">
              <w:r>
                <w:rPr>
                  <w:rFonts w:ascii="Arial" w:cs="Arial" w:eastAsia="Arial" w:hAnsi="Arial"/>
                  <w:sz w:val="16"/>
                  <w:szCs w:val="16"/>
                  <w:color w:val="0000FF"/>
                </w:rPr>
                <w:t>Thirty-seventh</w:t>
              </w:r>
            </w:hyperlink>
          </w:p>
        </w:tc>
        <w:tc>
          <w:tcPr>
            <w:tcW w:w="2200" w:type="dxa"/>
            <w:vAlign w:val="bottom"/>
            <w:gridSpan w:val="13"/>
          </w:tcPr>
          <w:p>
            <w:pPr>
              <w:ind w:left="400"/>
              <w:spacing w:after="0"/>
              <w:rPr>
                <w:rFonts w:ascii="Arial" w:cs="Arial" w:eastAsia="Arial" w:hAnsi="Arial"/>
                <w:sz w:val="16"/>
                <w:szCs w:val="16"/>
                <w:color w:val="0000FF"/>
              </w:rPr>
            </w:pPr>
            <w:hyperlink r:id="rId51">
              <w:r>
                <w:rPr>
                  <w:rFonts w:ascii="Arial" w:cs="Arial" w:eastAsia="Arial" w:hAnsi="Arial"/>
                  <w:sz w:val="16"/>
                  <w:szCs w:val="16"/>
                  <w:color w:val="0000FF"/>
                </w:rPr>
                <w:t>September 1, 2014</w:t>
              </w:r>
            </w:hyperlink>
          </w:p>
        </w:tc>
        <w:tc>
          <w:tcPr>
            <w:tcW w:w="4200" w:type="dxa"/>
            <w:vAlign w:val="bottom"/>
            <w:gridSpan w:val="9"/>
          </w:tcPr>
          <w:p>
            <w:pPr>
              <w:spacing w:after="0"/>
              <w:rPr>
                <w:rFonts w:ascii="Arial" w:cs="Arial" w:eastAsia="Arial" w:hAnsi="Arial"/>
                <w:sz w:val="16"/>
                <w:szCs w:val="16"/>
                <w:color w:val="0000FF"/>
              </w:rPr>
            </w:pPr>
            <w:hyperlink r:id="rId51">
              <w:r>
                <w:rPr>
                  <w:rFonts w:ascii="Arial" w:cs="Arial" w:eastAsia="Arial" w:hAnsi="Arial"/>
                  <w:sz w:val="16"/>
                  <w:szCs w:val="16"/>
                  <w:color w:val="0000FF"/>
                </w:rPr>
                <w:t>1-3548 (Sept. 30, 2014, Form 10-Q)</w:t>
              </w:r>
            </w:hyperlink>
          </w:p>
        </w:tc>
        <w:tc>
          <w:tcPr>
            <w:tcW w:w="260" w:type="dxa"/>
            <w:vAlign w:val="bottom"/>
            <w:gridSpan w:val="2"/>
          </w:tcPr>
          <w:p>
            <w:pPr>
              <w:spacing w:after="0"/>
              <w:rPr>
                <w:rFonts w:ascii="Arial" w:cs="Arial" w:eastAsia="Arial" w:hAnsi="Arial"/>
                <w:sz w:val="16"/>
                <w:szCs w:val="16"/>
                <w:color w:val="0000FF"/>
              </w:rPr>
            </w:pPr>
            <w:hyperlink r:id="rId51">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52">
              <w:r>
                <w:rPr>
                  <w:rFonts w:ascii="Arial" w:cs="Arial" w:eastAsia="Arial" w:hAnsi="Arial"/>
                  <w:sz w:val="16"/>
                  <w:szCs w:val="16"/>
                  <w:color w:val="0000FF"/>
                </w:rPr>
                <w:t>Thirty-eighth</w:t>
              </w:r>
            </w:hyperlink>
          </w:p>
        </w:tc>
        <w:tc>
          <w:tcPr>
            <w:tcW w:w="2200" w:type="dxa"/>
            <w:vAlign w:val="bottom"/>
            <w:gridSpan w:val="13"/>
            <w:shd w:val="clear" w:color="auto" w:fill="CCEEFF"/>
          </w:tcPr>
          <w:p>
            <w:pPr>
              <w:ind w:left="400"/>
              <w:spacing w:after="0"/>
              <w:rPr>
                <w:rFonts w:ascii="Arial" w:cs="Arial" w:eastAsia="Arial" w:hAnsi="Arial"/>
                <w:sz w:val="16"/>
                <w:szCs w:val="16"/>
                <w:color w:val="0000FF"/>
              </w:rPr>
            </w:pPr>
            <w:hyperlink r:id="rId52">
              <w:r>
                <w:rPr>
                  <w:rFonts w:ascii="Arial" w:cs="Arial" w:eastAsia="Arial" w:hAnsi="Arial"/>
                  <w:sz w:val="16"/>
                  <w:szCs w:val="16"/>
                  <w:color w:val="0000FF"/>
                </w:rPr>
                <w:t>September 1, 2015</w:t>
              </w:r>
            </w:hyperlink>
          </w:p>
        </w:tc>
        <w:tc>
          <w:tcPr>
            <w:tcW w:w="4200" w:type="dxa"/>
            <w:vAlign w:val="bottom"/>
            <w:gridSpan w:val="9"/>
            <w:shd w:val="clear" w:color="auto" w:fill="CCEEFF"/>
          </w:tcPr>
          <w:p>
            <w:pPr>
              <w:spacing w:after="0"/>
              <w:rPr>
                <w:rFonts w:ascii="Arial" w:cs="Arial" w:eastAsia="Arial" w:hAnsi="Arial"/>
                <w:sz w:val="16"/>
                <w:szCs w:val="16"/>
                <w:color w:val="0000FF"/>
              </w:rPr>
            </w:pPr>
            <w:hyperlink r:id="rId52">
              <w:r>
                <w:rPr>
                  <w:rFonts w:ascii="Arial" w:cs="Arial" w:eastAsia="Arial" w:hAnsi="Arial"/>
                  <w:sz w:val="16"/>
                  <w:szCs w:val="16"/>
                  <w:color w:val="0000FF"/>
                </w:rPr>
                <w:t>1-3548 (Sept. 30, 2015, Form 10-Q)</w:t>
              </w:r>
            </w:hyperlink>
          </w:p>
        </w:tc>
        <w:tc>
          <w:tcPr>
            <w:tcW w:w="1920" w:type="dxa"/>
            <w:vAlign w:val="bottom"/>
            <w:tcBorders>
              <w:right w:val="single" w:sz="8" w:color="CCEEFF"/>
            </w:tcBorders>
            <w:gridSpan w:val="8"/>
            <w:shd w:val="clear" w:color="auto" w:fill="CCEEFF"/>
          </w:tcPr>
          <w:p>
            <w:pPr>
              <w:spacing w:after="0"/>
              <w:rPr>
                <w:rFonts w:ascii="Arial" w:cs="Arial" w:eastAsia="Arial" w:hAnsi="Arial"/>
                <w:sz w:val="16"/>
                <w:szCs w:val="16"/>
                <w:color w:val="0000FF"/>
              </w:rPr>
            </w:pPr>
            <w:hyperlink r:id="rId52">
              <w:r>
                <w:rPr>
                  <w:rFonts w:ascii="Arial" w:cs="Arial" w:eastAsia="Arial" w:hAnsi="Arial"/>
                  <w:sz w:val="16"/>
                  <w:szCs w:val="16"/>
                  <w:color w:val="0000FF"/>
                </w:rPr>
                <w:t>4(a)</w:t>
              </w:r>
            </w:hyperlink>
          </w:p>
        </w:tc>
      </w:tr>
      <w:tr>
        <w:trPr>
          <w:trHeight w:val="61"/>
        </w:trPr>
        <w:tc>
          <w:tcPr>
            <w:tcW w:w="3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00"/>
          </w:cols>
          <w:pgMar w:left="240" w:top="89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891" w:right="2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99" w:lineRule="exact"/>
        <w:rPr>
          <w:sz w:val="20"/>
          <w:szCs w:val="20"/>
          <w:color w:val="auto"/>
        </w:rPr>
      </w:pPr>
    </w:p>
    <w:p>
      <w:pPr>
        <w:ind w:left="1660"/>
        <w:spacing w:after="0"/>
        <w:tabs>
          <w:tab w:leader="none" w:pos="3460" w:val="left"/>
          <w:tab w:leader="none" w:pos="5260" w:val="left"/>
          <w:tab w:leader="none" w:pos="9460" w:val="left"/>
        </w:tabs>
        <w:rPr>
          <w:rFonts w:ascii="Arial" w:cs="Arial" w:eastAsia="Arial" w:hAnsi="Arial"/>
          <w:sz w:val="14"/>
          <w:szCs w:val="14"/>
          <w:u w:val="single" w:color="auto"/>
          <w:color w:val="0000FF"/>
        </w:rPr>
      </w:pPr>
      <w:hyperlink r:id="rId53">
        <w:r>
          <w:rPr>
            <w:rFonts w:ascii="Arial" w:cs="Arial" w:eastAsia="Arial" w:hAnsi="Arial"/>
            <w:sz w:val="16"/>
            <w:szCs w:val="16"/>
            <w:u w:val="single" w:color="auto"/>
            <w:color w:val="0000FF"/>
          </w:rPr>
          <w:t>Thirty-ninth</w:t>
        </w:r>
      </w:hyperlink>
      <w:r>
        <w:rPr>
          <w:rFonts w:ascii="Arial" w:cs="Arial" w:eastAsia="Arial" w:hAnsi="Arial"/>
          <w:sz w:val="16"/>
          <w:szCs w:val="16"/>
          <w:u w:val="single" w:color="auto"/>
          <w:color w:val="0000FF"/>
        </w:rPr>
        <w:tab/>
      </w:r>
      <w:hyperlink r:id="rId53">
        <w:r>
          <w:rPr>
            <w:rFonts w:ascii="Arial" w:cs="Arial" w:eastAsia="Arial" w:hAnsi="Arial"/>
            <w:sz w:val="16"/>
            <w:szCs w:val="16"/>
            <w:u w:val="single" w:color="auto"/>
            <w:color w:val="0000FF"/>
          </w:rPr>
          <w:t>April 1, 2018</w:t>
        </w:r>
      </w:hyperlink>
      <w:r>
        <w:rPr>
          <w:rFonts w:ascii="Arial" w:cs="Arial" w:eastAsia="Arial" w:hAnsi="Arial"/>
          <w:sz w:val="16"/>
          <w:szCs w:val="16"/>
          <w:u w:val="single" w:color="auto"/>
          <w:color w:val="0000FF"/>
        </w:rPr>
        <w:tab/>
      </w:r>
      <w:hyperlink r:id="rId53">
        <w:r>
          <w:rPr>
            <w:rFonts w:ascii="Arial" w:cs="Arial" w:eastAsia="Arial" w:hAnsi="Arial"/>
            <w:sz w:val="16"/>
            <w:szCs w:val="16"/>
            <w:u w:val="single" w:color="auto"/>
            <w:color w:val="0000FF"/>
          </w:rPr>
          <w:t>1-3548 (March 31, 2018, Form 10-Q)</w:t>
        </w:r>
      </w:hyperlink>
      <w:r>
        <w:rPr>
          <w:rFonts w:ascii="Arial" w:cs="Arial" w:eastAsia="Arial" w:hAnsi="Arial"/>
          <w:sz w:val="16"/>
          <w:szCs w:val="16"/>
          <w:u w:val="single" w:color="auto"/>
          <w:color w:val="0000FF"/>
        </w:rPr>
        <w:tab/>
      </w:r>
      <w:hyperlink r:id="rId53">
        <w:r>
          <w:rPr>
            <w:rFonts w:ascii="Arial" w:cs="Arial" w:eastAsia="Arial" w:hAnsi="Arial"/>
            <w:sz w:val="14"/>
            <w:szCs w:val="14"/>
            <w:u w:val="single" w:color="auto"/>
            <w:color w:val="0000FF"/>
          </w:rPr>
          <w:t>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66" w:lineRule="exact"/>
        <w:rPr>
          <w:rFonts w:ascii="Arial" w:cs="Arial" w:eastAsia="Arial" w:hAnsi="Arial"/>
          <w:sz w:val="16"/>
          <w:szCs w:val="16"/>
          <w:u w:val="single" w:color="auto"/>
          <w:color w:val="0000FF"/>
        </w:rPr>
      </w:pPr>
    </w:p>
    <w:p>
      <w:pPr>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1" w:lineRule="exact"/>
        <w:rPr>
          <w:rFonts w:ascii="Arial" w:cs="Arial" w:eastAsia="Arial" w:hAnsi="Arial"/>
          <w:sz w:val="16"/>
          <w:szCs w:val="16"/>
          <w:u w:val="single" w:color="auto"/>
          <w:color w:val="0000FF"/>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55"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294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Exhibit</w:t>
            </w:r>
          </w:p>
        </w:tc>
      </w:tr>
      <w:tr>
        <w:trPr>
          <w:trHeight w:val="224"/>
        </w:trPr>
        <w:tc>
          <w:tcPr>
            <w:tcW w:w="1660" w:type="dxa"/>
            <w:vAlign w:val="bottom"/>
          </w:tcPr>
          <w:p>
            <w:pPr>
              <w:spacing w:after="0"/>
              <w:rPr>
                <w:sz w:val="19"/>
                <w:szCs w:val="19"/>
                <w:color w:val="auto"/>
              </w:rPr>
            </w:pPr>
          </w:p>
        </w:tc>
        <w:tc>
          <w:tcPr>
            <w:tcW w:w="680" w:type="dxa"/>
            <w:vAlign w:val="bottom"/>
            <w:gridSpan w:val="7"/>
          </w:tcPr>
          <w:p>
            <w:pPr>
              <w:spacing w:after="0"/>
              <w:rPr>
                <w:sz w:val="20"/>
                <w:szCs w:val="20"/>
                <w:color w:val="auto"/>
              </w:rPr>
            </w:pPr>
            <w:r>
              <w:rPr>
                <w:rFonts w:ascii="Arial" w:cs="Arial" w:eastAsia="Arial" w:hAnsi="Arial"/>
                <w:sz w:val="16"/>
                <w:szCs w:val="16"/>
                <w:color w:val="auto"/>
              </w:rPr>
              <w:t>First</w:t>
            </w:r>
          </w:p>
        </w:tc>
        <w:tc>
          <w:tcPr>
            <w:tcW w:w="2940" w:type="dxa"/>
            <w:vAlign w:val="bottom"/>
            <w:gridSpan w:val="6"/>
          </w:tcPr>
          <w:p>
            <w:pPr>
              <w:ind w:left="1140"/>
              <w:spacing w:after="0"/>
              <w:rPr>
                <w:sz w:val="20"/>
                <w:szCs w:val="20"/>
                <w:color w:val="auto"/>
              </w:rPr>
            </w:pPr>
            <w:r>
              <w:rPr>
                <w:rFonts w:ascii="Arial" w:cs="Arial" w:eastAsia="Arial" w:hAnsi="Arial"/>
                <w:sz w:val="16"/>
                <w:szCs w:val="16"/>
                <w:color w:val="auto"/>
              </w:rPr>
              <w:t>March 1, 1951</w:t>
            </w:r>
          </w:p>
        </w:tc>
        <w:tc>
          <w:tcPr>
            <w:tcW w:w="1700" w:type="dxa"/>
            <w:vAlign w:val="bottom"/>
            <w:gridSpan w:val="2"/>
          </w:tcPr>
          <w:p>
            <w:pPr>
              <w:spacing w:after="0"/>
              <w:rPr>
                <w:sz w:val="20"/>
                <w:szCs w:val="20"/>
                <w:color w:val="auto"/>
              </w:rPr>
            </w:pPr>
            <w:r>
              <w:rPr>
                <w:rFonts w:ascii="Arial" w:cs="Arial" w:eastAsia="Arial" w:hAnsi="Arial"/>
                <w:sz w:val="16"/>
                <w:szCs w:val="16"/>
                <w:color w:val="auto"/>
              </w:rPr>
              <w:t>2-59690</w:t>
            </w: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6"/>
                <w:szCs w:val="16"/>
                <w:color w:val="auto"/>
              </w:rPr>
              <w:t>2(d)(1)</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Second</w:t>
            </w:r>
          </w:p>
        </w:tc>
        <w:tc>
          <w:tcPr>
            <w:tcW w:w="294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6"/>
                <w:szCs w:val="16"/>
                <w:color w:val="auto"/>
              </w:rPr>
              <w:t>March 1, 1962</w:t>
            </w: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2-27794</w:t>
            </w:r>
          </w:p>
        </w:tc>
        <w:tc>
          <w:tcPr>
            <w:tcW w:w="6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2(d)1</w:t>
            </w:r>
          </w:p>
        </w:tc>
      </w:tr>
      <w:tr>
        <w:trPr>
          <w:trHeight w:val="224"/>
        </w:trPr>
        <w:tc>
          <w:tcPr>
            <w:tcW w:w="1660" w:type="dxa"/>
            <w:vAlign w:val="bottom"/>
          </w:tcPr>
          <w:p>
            <w:pPr>
              <w:spacing w:after="0"/>
              <w:rPr>
                <w:sz w:val="19"/>
                <w:szCs w:val="19"/>
                <w:color w:val="auto"/>
              </w:rPr>
            </w:pPr>
          </w:p>
        </w:tc>
        <w:tc>
          <w:tcPr>
            <w:tcW w:w="680" w:type="dxa"/>
            <w:vAlign w:val="bottom"/>
            <w:gridSpan w:val="7"/>
          </w:tcPr>
          <w:p>
            <w:pPr>
              <w:spacing w:after="0"/>
              <w:rPr>
                <w:sz w:val="20"/>
                <w:szCs w:val="20"/>
                <w:color w:val="auto"/>
              </w:rPr>
            </w:pPr>
            <w:r>
              <w:rPr>
                <w:rFonts w:ascii="Arial" w:cs="Arial" w:eastAsia="Arial" w:hAnsi="Arial"/>
                <w:sz w:val="16"/>
                <w:szCs w:val="16"/>
                <w:color w:val="auto"/>
              </w:rPr>
              <w:t>Third</w:t>
            </w:r>
          </w:p>
        </w:tc>
        <w:tc>
          <w:tcPr>
            <w:tcW w:w="2940" w:type="dxa"/>
            <w:vAlign w:val="bottom"/>
            <w:gridSpan w:val="6"/>
          </w:tcPr>
          <w:p>
            <w:pPr>
              <w:ind w:left="1140"/>
              <w:spacing w:after="0"/>
              <w:rPr>
                <w:sz w:val="20"/>
                <w:szCs w:val="20"/>
                <w:color w:val="auto"/>
              </w:rPr>
            </w:pPr>
            <w:r>
              <w:rPr>
                <w:rFonts w:ascii="Arial" w:cs="Arial" w:eastAsia="Arial" w:hAnsi="Arial"/>
                <w:sz w:val="16"/>
                <w:szCs w:val="16"/>
                <w:color w:val="auto"/>
              </w:rPr>
              <w:t>July 1, 1976</w:t>
            </w:r>
          </w:p>
        </w:tc>
        <w:tc>
          <w:tcPr>
            <w:tcW w:w="1700" w:type="dxa"/>
            <w:vAlign w:val="bottom"/>
            <w:gridSpan w:val="2"/>
          </w:tcPr>
          <w:p>
            <w:pPr>
              <w:spacing w:after="0"/>
              <w:rPr>
                <w:sz w:val="20"/>
                <w:szCs w:val="20"/>
                <w:color w:val="auto"/>
              </w:rPr>
            </w:pPr>
            <w:r>
              <w:rPr>
                <w:rFonts w:ascii="Arial" w:cs="Arial" w:eastAsia="Arial" w:hAnsi="Arial"/>
                <w:sz w:val="16"/>
                <w:szCs w:val="16"/>
                <w:color w:val="auto"/>
              </w:rPr>
              <w:t>2-57478</w:t>
            </w: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6"/>
                <w:szCs w:val="16"/>
                <w:color w:val="auto"/>
              </w:rPr>
              <w:t>2(e)1</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6"/>
                <w:szCs w:val="16"/>
                <w:color w:val="auto"/>
              </w:rPr>
              <w:t>Fourth</w:t>
            </w:r>
          </w:p>
        </w:tc>
        <w:tc>
          <w:tcPr>
            <w:tcW w:w="294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6"/>
                <w:szCs w:val="16"/>
                <w:color w:val="auto"/>
              </w:rPr>
              <w:t>March 1, 1985</w:t>
            </w: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2-78641</w:t>
            </w:r>
          </w:p>
        </w:tc>
        <w:tc>
          <w:tcPr>
            <w:tcW w:w="6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1660" w:type="dxa"/>
            <w:vAlign w:val="bottom"/>
          </w:tcPr>
          <w:p>
            <w:pPr>
              <w:spacing w:after="0"/>
              <w:rPr>
                <w:sz w:val="19"/>
                <w:szCs w:val="19"/>
                <w:color w:val="auto"/>
              </w:rPr>
            </w:pPr>
          </w:p>
        </w:tc>
        <w:tc>
          <w:tcPr>
            <w:tcW w:w="680" w:type="dxa"/>
            <w:vAlign w:val="bottom"/>
            <w:gridSpan w:val="7"/>
          </w:tcPr>
          <w:p>
            <w:pPr>
              <w:spacing w:after="0"/>
              <w:rPr>
                <w:sz w:val="20"/>
                <w:szCs w:val="20"/>
                <w:color w:val="auto"/>
              </w:rPr>
            </w:pPr>
            <w:r>
              <w:rPr>
                <w:rFonts w:ascii="Arial" w:cs="Arial" w:eastAsia="Arial" w:hAnsi="Arial"/>
                <w:sz w:val="16"/>
                <w:szCs w:val="16"/>
                <w:color w:val="auto"/>
              </w:rPr>
              <w:t>Fifth</w:t>
            </w:r>
          </w:p>
        </w:tc>
        <w:tc>
          <w:tcPr>
            <w:tcW w:w="2940" w:type="dxa"/>
            <w:vAlign w:val="bottom"/>
            <w:gridSpan w:val="6"/>
          </w:tcPr>
          <w:p>
            <w:pPr>
              <w:ind w:left="1140"/>
              <w:spacing w:after="0"/>
              <w:rPr>
                <w:sz w:val="20"/>
                <w:szCs w:val="20"/>
                <w:color w:val="auto"/>
              </w:rPr>
            </w:pPr>
            <w:r>
              <w:rPr>
                <w:rFonts w:ascii="Arial" w:cs="Arial" w:eastAsia="Arial" w:hAnsi="Arial"/>
                <w:sz w:val="16"/>
                <w:szCs w:val="16"/>
                <w:color w:val="auto"/>
              </w:rPr>
              <w:t>December 1, 1992</w:t>
            </w:r>
          </w:p>
        </w:tc>
        <w:tc>
          <w:tcPr>
            <w:tcW w:w="4200" w:type="dxa"/>
            <w:vAlign w:val="bottom"/>
            <w:gridSpan w:val="4"/>
          </w:tcPr>
          <w:p>
            <w:pPr>
              <w:jc w:val="right"/>
              <w:ind w:right="2500"/>
              <w:spacing w:after="0"/>
              <w:rPr>
                <w:sz w:val="20"/>
                <w:szCs w:val="20"/>
                <w:color w:val="auto"/>
              </w:rPr>
            </w:pPr>
            <w:r>
              <w:rPr>
                <w:rFonts w:ascii="Arial" w:cs="Arial" w:eastAsia="Arial" w:hAnsi="Arial"/>
                <w:sz w:val="16"/>
                <w:szCs w:val="16"/>
                <w:color w:val="auto"/>
                <w:w w:val="93"/>
              </w:rPr>
              <w:t>1-3548 (1992 Form 10-K)</w:t>
            </w:r>
          </w:p>
        </w:tc>
        <w:tc>
          <w:tcPr>
            <w:tcW w:w="1920" w:type="dxa"/>
            <w:vAlign w:val="bottom"/>
            <w:gridSpan w:val="3"/>
          </w:tcPr>
          <w:p>
            <w:pPr>
              <w:spacing w:after="0"/>
              <w:rPr>
                <w:sz w:val="20"/>
                <w:szCs w:val="20"/>
                <w:color w:val="auto"/>
              </w:rPr>
            </w:pPr>
            <w:r>
              <w:rPr>
                <w:rFonts w:ascii="Arial" w:cs="Arial" w:eastAsia="Arial" w:hAnsi="Arial"/>
                <w:sz w:val="16"/>
                <w:szCs w:val="16"/>
                <w:color w:val="auto"/>
              </w:rPr>
              <w:t>4(b)1</w:t>
            </w:r>
          </w:p>
        </w:tc>
      </w:tr>
      <w:tr>
        <w:trPr>
          <w:trHeight w:val="33"/>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1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rFonts w:ascii="Arial" w:cs="Arial" w:eastAsia="Arial" w:hAnsi="Arial"/>
                <w:sz w:val="16"/>
                <w:szCs w:val="16"/>
                <w:color w:val="0000FF"/>
                <w:w w:val="89"/>
              </w:rPr>
            </w:pPr>
            <w:hyperlink r:id="rId33">
              <w:r>
                <w:rPr>
                  <w:rFonts w:ascii="Arial" w:cs="Arial" w:eastAsia="Arial" w:hAnsi="Arial"/>
                  <w:sz w:val="16"/>
                  <w:szCs w:val="16"/>
                  <w:color w:val="0000FF"/>
                  <w:w w:val="89"/>
                </w:rPr>
                <w:t>Sixth</w:t>
              </w:r>
            </w:hyperlink>
          </w:p>
        </w:tc>
        <w:tc>
          <w:tcPr>
            <w:tcW w:w="340" w:type="dxa"/>
            <w:vAlign w:val="bottom"/>
            <w:gridSpan w:val="6"/>
            <w:shd w:val="clear" w:color="auto" w:fill="CCEEFF"/>
          </w:tcPr>
          <w:p>
            <w:pPr>
              <w:spacing w:after="0"/>
              <w:rPr>
                <w:sz w:val="16"/>
                <w:szCs w:val="16"/>
                <w:color w:val="auto"/>
              </w:rPr>
            </w:pPr>
          </w:p>
        </w:tc>
        <w:tc>
          <w:tcPr>
            <w:tcW w:w="2940" w:type="dxa"/>
            <w:vAlign w:val="bottom"/>
            <w:gridSpan w:val="6"/>
            <w:shd w:val="clear" w:color="auto" w:fill="CCEEFF"/>
          </w:tcPr>
          <w:p>
            <w:pPr>
              <w:ind w:left="1140"/>
              <w:spacing w:after="0"/>
              <w:rPr>
                <w:rFonts w:ascii="Arial" w:cs="Arial" w:eastAsia="Arial" w:hAnsi="Arial"/>
                <w:sz w:val="16"/>
                <w:szCs w:val="16"/>
                <w:color w:val="0000FF"/>
              </w:rPr>
            </w:pPr>
            <w:hyperlink r:id="rId33">
              <w:r>
                <w:rPr>
                  <w:rFonts w:ascii="Arial" w:cs="Arial" w:eastAsia="Arial" w:hAnsi="Arial"/>
                  <w:sz w:val="16"/>
                  <w:szCs w:val="16"/>
                  <w:color w:val="0000FF"/>
                </w:rPr>
                <w:t>March 24, 1994</w:t>
              </w:r>
            </w:hyperlink>
          </w:p>
        </w:tc>
        <w:tc>
          <w:tcPr>
            <w:tcW w:w="4200" w:type="dxa"/>
            <w:vAlign w:val="bottom"/>
            <w:gridSpan w:val="4"/>
            <w:shd w:val="clear" w:color="auto" w:fill="CCEEFF"/>
          </w:tcPr>
          <w:p>
            <w:pPr>
              <w:jc w:val="right"/>
              <w:ind w:right="2500"/>
              <w:spacing w:after="0"/>
              <w:rPr>
                <w:rFonts w:ascii="Arial" w:cs="Arial" w:eastAsia="Arial" w:hAnsi="Arial"/>
                <w:sz w:val="16"/>
                <w:szCs w:val="16"/>
                <w:color w:val="0000FF"/>
                <w:w w:val="93"/>
              </w:rPr>
            </w:pPr>
            <w:hyperlink r:id="rId33">
              <w:r>
                <w:rPr>
                  <w:rFonts w:ascii="Arial" w:cs="Arial" w:eastAsia="Arial" w:hAnsi="Arial"/>
                  <w:sz w:val="16"/>
                  <w:szCs w:val="16"/>
                  <w:color w:val="0000FF"/>
                  <w:w w:val="93"/>
                </w:rPr>
                <w:t>1-3548 (1996 Form 10-K)</w:t>
              </w:r>
            </w:hyperlink>
          </w:p>
        </w:tc>
        <w:tc>
          <w:tcPr>
            <w:tcW w:w="1920" w:type="dxa"/>
            <w:vAlign w:val="bottom"/>
            <w:gridSpan w:val="3"/>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4(b)</w:t>
              </w:r>
              <w:r>
                <w:rPr>
                  <w:rFonts w:ascii="Arial" w:cs="Arial" w:eastAsia="Arial" w:hAnsi="Arial"/>
                  <w:sz w:val="16"/>
                  <w:szCs w:val="16"/>
                  <w:u w:val="single" w:color="auto"/>
                  <w:color w:val="0000FF"/>
                </w:rPr>
                <w:t>1</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680" w:type="dxa"/>
            <w:vAlign w:val="bottom"/>
            <w:gridSpan w:val="7"/>
          </w:tcPr>
          <w:p>
            <w:pPr>
              <w:spacing w:after="0"/>
              <w:rPr>
                <w:rFonts w:ascii="Arial" w:cs="Arial" w:eastAsia="Arial" w:hAnsi="Arial"/>
                <w:sz w:val="16"/>
                <w:szCs w:val="16"/>
                <w:color w:val="0000FF"/>
              </w:rPr>
            </w:pPr>
            <w:hyperlink r:id="rId33">
              <w:r>
                <w:rPr>
                  <w:rFonts w:ascii="Arial" w:cs="Arial" w:eastAsia="Arial" w:hAnsi="Arial"/>
                  <w:sz w:val="16"/>
                  <w:szCs w:val="16"/>
                  <w:color w:val="0000FF"/>
                </w:rPr>
                <w:t>Seventh</w:t>
              </w:r>
            </w:hyperlink>
          </w:p>
        </w:tc>
        <w:tc>
          <w:tcPr>
            <w:tcW w:w="2940" w:type="dxa"/>
            <w:vAlign w:val="bottom"/>
            <w:gridSpan w:val="6"/>
          </w:tcPr>
          <w:p>
            <w:pPr>
              <w:ind w:left="1140"/>
              <w:spacing w:after="0"/>
              <w:rPr>
                <w:rFonts w:ascii="Arial" w:cs="Arial" w:eastAsia="Arial" w:hAnsi="Arial"/>
                <w:sz w:val="16"/>
                <w:szCs w:val="16"/>
                <w:color w:val="0000FF"/>
              </w:rPr>
            </w:pPr>
            <w:hyperlink r:id="rId33">
              <w:r>
                <w:rPr>
                  <w:rFonts w:ascii="Arial" w:cs="Arial" w:eastAsia="Arial" w:hAnsi="Arial"/>
                  <w:sz w:val="16"/>
                  <w:szCs w:val="16"/>
                  <w:color w:val="0000FF"/>
                </w:rPr>
                <w:t>November 1, 1994</w:t>
              </w:r>
            </w:hyperlink>
          </w:p>
        </w:tc>
        <w:tc>
          <w:tcPr>
            <w:tcW w:w="4200" w:type="dxa"/>
            <w:vAlign w:val="bottom"/>
            <w:gridSpan w:val="4"/>
          </w:tcPr>
          <w:p>
            <w:pPr>
              <w:jc w:val="right"/>
              <w:ind w:right="2500"/>
              <w:spacing w:after="0"/>
              <w:rPr>
                <w:rFonts w:ascii="Arial" w:cs="Arial" w:eastAsia="Arial" w:hAnsi="Arial"/>
                <w:sz w:val="16"/>
                <w:szCs w:val="16"/>
                <w:color w:val="0000FF"/>
                <w:w w:val="93"/>
              </w:rPr>
            </w:pPr>
            <w:hyperlink r:id="rId33">
              <w:r>
                <w:rPr>
                  <w:rFonts w:ascii="Arial" w:cs="Arial" w:eastAsia="Arial" w:hAnsi="Arial"/>
                  <w:sz w:val="16"/>
                  <w:szCs w:val="16"/>
                  <w:color w:val="0000FF"/>
                  <w:w w:val="93"/>
                </w:rPr>
                <w:t>1-3548 (1996 Form 10-K)</w:t>
              </w:r>
            </w:hyperlink>
          </w:p>
        </w:tc>
        <w:tc>
          <w:tcPr>
            <w:tcW w:w="1920" w:type="dxa"/>
            <w:vAlign w:val="bottom"/>
            <w:gridSpan w:val="3"/>
          </w:tcPr>
          <w:p>
            <w:pPr>
              <w:spacing w:after="0"/>
              <w:rPr>
                <w:rFonts w:ascii="Arial" w:cs="Arial" w:eastAsia="Arial" w:hAnsi="Arial"/>
                <w:sz w:val="16"/>
                <w:szCs w:val="16"/>
                <w:color w:val="0000FF"/>
              </w:rPr>
            </w:pPr>
            <w:hyperlink r:id="rId33">
              <w:r>
                <w:rPr>
                  <w:rFonts w:ascii="Arial" w:cs="Arial" w:eastAsia="Arial" w:hAnsi="Arial"/>
                  <w:sz w:val="16"/>
                  <w:szCs w:val="16"/>
                  <w:color w:val="0000FF"/>
                </w:rPr>
                <w:t>4(b)</w:t>
              </w:r>
              <w:r>
                <w:rPr>
                  <w:rFonts w:ascii="Arial" w:cs="Arial" w:eastAsia="Arial" w:hAnsi="Arial"/>
                  <w:sz w:val="16"/>
                  <w:szCs w:val="16"/>
                  <w:u w:val="single" w:color="auto"/>
                  <w:color w:val="0000FF"/>
                </w:rPr>
                <w:t>2</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1660" w:type="dxa"/>
            <w:vAlign w:val="bottom"/>
            <w:shd w:val="clear" w:color="auto" w:fill="CCEEFF"/>
          </w:tcPr>
          <w:p>
            <w:pPr>
              <w:spacing w:after="0"/>
              <w:rPr>
                <w:sz w:val="16"/>
                <w:szCs w:val="16"/>
                <w:color w:val="auto"/>
              </w:rPr>
            </w:pPr>
          </w:p>
        </w:tc>
        <w:tc>
          <w:tcPr>
            <w:tcW w:w="680" w:type="dxa"/>
            <w:vAlign w:val="bottom"/>
            <w:gridSpan w:val="7"/>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Eighth</w:t>
              </w:r>
            </w:hyperlink>
          </w:p>
        </w:tc>
        <w:tc>
          <w:tcPr>
            <w:tcW w:w="2940" w:type="dxa"/>
            <w:vAlign w:val="bottom"/>
            <w:gridSpan w:val="6"/>
            <w:shd w:val="clear" w:color="auto" w:fill="CCEEFF"/>
          </w:tcPr>
          <w:p>
            <w:pPr>
              <w:ind w:left="1140"/>
              <w:spacing w:after="0"/>
              <w:rPr>
                <w:rFonts w:ascii="Arial" w:cs="Arial" w:eastAsia="Arial" w:hAnsi="Arial"/>
                <w:sz w:val="16"/>
                <w:szCs w:val="16"/>
                <w:color w:val="0000FF"/>
              </w:rPr>
            </w:pPr>
            <w:hyperlink r:id="rId33">
              <w:r>
                <w:rPr>
                  <w:rFonts w:ascii="Arial" w:cs="Arial" w:eastAsia="Arial" w:hAnsi="Arial"/>
                  <w:sz w:val="16"/>
                  <w:szCs w:val="16"/>
                  <w:color w:val="0000FF"/>
                </w:rPr>
                <w:t>January 1, 1997</w:t>
              </w:r>
            </w:hyperlink>
          </w:p>
        </w:tc>
        <w:tc>
          <w:tcPr>
            <w:tcW w:w="4200" w:type="dxa"/>
            <w:vAlign w:val="bottom"/>
            <w:gridSpan w:val="4"/>
            <w:shd w:val="clear" w:color="auto" w:fill="CCEEFF"/>
          </w:tcPr>
          <w:p>
            <w:pPr>
              <w:jc w:val="right"/>
              <w:ind w:right="2500"/>
              <w:spacing w:after="0"/>
              <w:rPr>
                <w:rFonts w:ascii="Arial" w:cs="Arial" w:eastAsia="Arial" w:hAnsi="Arial"/>
                <w:sz w:val="16"/>
                <w:szCs w:val="16"/>
                <w:color w:val="0000FF"/>
                <w:w w:val="93"/>
              </w:rPr>
            </w:pPr>
            <w:hyperlink r:id="rId33">
              <w:r>
                <w:rPr>
                  <w:rFonts w:ascii="Arial" w:cs="Arial" w:eastAsia="Arial" w:hAnsi="Arial"/>
                  <w:sz w:val="16"/>
                  <w:szCs w:val="16"/>
                  <w:color w:val="0000FF"/>
                  <w:w w:val="93"/>
                </w:rPr>
                <w:t>1-3548 (1996 Form 10-K)</w:t>
              </w:r>
            </w:hyperlink>
          </w:p>
        </w:tc>
        <w:tc>
          <w:tcPr>
            <w:tcW w:w="1920" w:type="dxa"/>
            <w:vAlign w:val="bottom"/>
            <w:gridSpan w:val="3"/>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4(b)</w:t>
              </w:r>
              <w:r>
                <w:rPr>
                  <w:rFonts w:ascii="Arial" w:cs="Arial" w:eastAsia="Arial" w:hAnsi="Arial"/>
                  <w:sz w:val="16"/>
                  <w:szCs w:val="16"/>
                  <w:u w:val="single" w:color="auto"/>
                  <w:color w:val="0000FF"/>
                </w:rPr>
                <w:t>3</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420" w:type="dxa"/>
            <w:vAlign w:val="bottom"/>
            <w:gridSpan w:val="3"/>
          </w:tcPr>
          <w:p>
            <w:pPr>
              <w:spacing w:after="0"/>
              <w:rPr>
                <w:rFonts w:ascii="Arial" w:cs="Arial" w:eastAsia="Arial" w:hAnsi="Arial"/>
                <w:sz w:val="16"/>
                <w:szCs w:val="16"/>
                <w:color w:val="0000FF"/>
              </w:rPr>
            </w:pPr>
            <w:hyperlink r:id="rId55">
              <w:r>
                <w:rPr>
                  <w:rFonts w:ascii="Arial" w:cs="Arial" w:eastAsia="Arial" w:hAnsi="Arial"/>
                  <w:sz w:val="16"/>
                  <w:szCs w:val="16"/>
                  <w:color w:val="0000FF"/>
                </w:rPr>
                <w:t>Ninth</w:t>
              </w:r>
            </w:hyperlink>
          </w:p>
        </w:tc>
        <w:tc>
          <w:tcPr>
            <w:tcW w:w="260" w:type="dxa"/>
            <w:vAlign w:val="bottom"/>
            <w:gridSpan w:val="4"/>
          </w:tcPr>
          <w:p>
            <w:pPr>
              <w:spacing w:after="0"/>
              <w:rPr>
                <w:sz w:val="16"/>
                <w:szCs w:val="16"/>
                <w:color w:val="auto"/>
              </w:rPr>
            </w:pPr>
          </w:p>
        </w:tc>
        <w:tc>
          <w:tcPr>
            <w:tcW w:w="2940" w:type="dxa"/>
            <w:vAlign w:val="bottom"/>
            <w:gridSpan w:val="6"/>
          </w:tcPr>
          <w:p>
            <w:pPr>
              <w:ind w:left="1140"/>
              <w:spacing w:after="0"/>
              <w:rPr>
                <w:rFonts w:ascii="Arial" w:cs="Arial" w:eastAsia="Arial" w:hAnsi="Arial"/>
                <w:sz w:val="16"/>
                <w:szCs w:val="16"/>
                <w:color w:val="0000FF"/>
              </w:rPr>
            </w:pPr>
            <w:hyperlink r:id="rId55">
              <w:r>
                <w:rPr>
                  <w:rFonts w:ascii="Arial" w:cs="Arial" w:eastAsia="Arial" w:hAnsi="Arial"/>
                  <w:sz w:val="16"/>
                  <w:szCs w:val="16"/>
                  <w:color w:val="0000FF"/>
                </w:rPr>
                <w:t>October 1, 2007</w:t>
              </w:r>
            </w:hyperlink>
          </w:p>
        </w:tc>
        <w:tc>
          <w:tcPr>
            <w:tcW w:w="4200" w:type="dxa"/>
            <w:vAlign w:val="bottom"/>
            <w:gridSpan w:val="4"/>
          </w:tcPr>
          <w:p>
            <w:pPr>
              <w:jc w:val="right"/>
              <w:ind w:right="2500"/>
              <w:spacing w:after="0"/>
              <w:rPr>
                <w:rFonts w:ascii="Arial" w:cs="Arial" w:eastAsia="Arial" w:hAnsi="Arial"/>
                <w:sz w:val="16"/>
                <w:szCs w:val="16"/>
                <w:color w:val="0000FF"/>
                <w:w w:val="93"/>
              </w:rPr>
            </w:pPr>
            <w:hyperlink r:id="rId55">
              <w:r>
                <w:rPr>
                  <w:rFonts w:ascii="Arial" w:cs="Arial" w:eastAsia="Arial" w:hAnsi="Arial"/>
                  <w:sz w:val="16"/>
                  <w:szCs w:val="16"/>
                  <w:color w:val="0000FF"/>
                  <w:w w:val="93"/>
                </w:rPr>
                <w:t>1-3548 (2007 Form 10-K)</w:t>
              </w:r>
            </w:hyperlink>
          </w:p>
        </w:tc>
        <w:tc>
          <w:tcPr>
            <w:tcW w:w="1920" w:type="dxa"/>
            <w:vAlign w:val="bottom"/>
            <w:gridSpan w:val="3"/>
          </w:tcPr>
          <w:p>
            <w:pPr>
              <w:spacing w:after="0"/>
              <w:rPr>
                <w:rFonts w:ascii="Arial" w:cs="Arial" w:eastAsia="Arial" w:hAnsi="Arial"/>
                <w:sz w:val="16"/>
                <w:szCs w:val="16"/>
                <w:color w:val="0000FF"/>
              </w:rPr>
            </w:pPr>
            <w:hyperlink r:id="rId55">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1660" w:type="dxa"/>
            <w:vAlign w:val="bottom"/>
            <w:shd w:val="clear" w:color="auto" w:fill="CCEEFF"/>
          </w:tcPr>
          <w:p>
            <w:pPr>
              <w:spacing w:after="0"/>
              <w:rPr>
                <w:sz w:val="16"/>
                <w:szCs w:val="16"/>
                <w:color w:val="auto"/>
              </w:rPr>
            </w:pPr>
          </w:p>
        </w:tc>
        <w:tc>
          <w:tcPr>
            <w:tcW w:w="680" w:type="dxa"/>
            <w:vAlign w:val="bottom"/>
            <w:gridSpan w:val="7"/>
            <w:shd w:val="clear" w:color="auto" w:fill="CCEEFF"/>
          </w:tcPr>
          <w:p>
            <w:pPr>
              <w:spacing w:after="0"/>
              <w:rPr>
                <w:rFonts w:ascii="Arial" w:cs="Arial" w:eastAsia="Arial" w:hAnsi="Arial"/>
                <w:sz w:val="16"/>
                <w:szCs w:val="16"/>
                <w:color w:val="0000FF"/>
              </w:rPr>
            </w:pPr>
            <w:hyperlink r:id="rId56">
              <w:r>
                <w:rPr>
                  <w:rFonts w:ascii="Arial" w:cs="Arial" w:eastAsia="Arial" w:hAnsi="Arial"/>
                  <w:sz w:val="16"/>
                  <w:szCs w:val="16"/>
                  <w:color w:val="0000FF"/>
                </w:rPr>
                <w:t>Tenth</w:t>
              </w:r>
            </w:hyperlink>
          </w:p>
        </w:tc>
        <w:tc>
          <w:tcPr>
            <w:tcW w:w="2940" w:type="dxa"/>
            <w:vAlign w:val="bottom"/>
            <w:gridSpan w:val="6"/>
            <w:shd w:val="clear" w:color="auto" w:fill="CCEEFF"/>
          </w:tcPr>
          <w:p>
            <w:pPr>
              <w:ind w:left="1140"/>
              <w:spacing w:after="0"/>
              <w:rPr>
                <w:rFonts w:ascii="Arial" w:cs="Arial" w:eastAsia="Arial" w:hAnsi="Arial"/>
                <w:sz w:val="16"/>
                <w:szCs w:val="16"/>
                <w:color w:val="0000FF"/>
              </w:rPr>
            </w:pPr>
            <w:hyperlink r:id="rId56">
              <w:r>
                <w:rPr>
                  <w:rFonts w:ascii="Arial" w:cs="Arial" w:eastAsia="Arial" w:hAnsi="Arial"/>
                  <w:sz w:val="16"/>
                  <w:szCs w:val="16"/>
                  <w:color w:val="0000FF"/>
                </w:rPr>
                <w:t>October 1, 2007</w:t>
              </w:r>
            </w:hyperlink>
          </w:p>
        </w:tc>
        <w:tc>
          <w:tcPr>
            <w:tcW w:w="480" w:type="dxa"/>
            <w:vAlign w:val="bottom"/>
            <w:shd w:val="clear" w:color="auto" w:fill="CCEEFF"/>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1-3548</w:t>
              </w:r>
            </w:hyperlink>
          </w:p>
        </w:tc>
        <w:tc>
          <w:tcPr>
            <w:tcW w:w="3720" w:type="dxa"/>
            <w:vAlign w:val="bottom"/>
            <w:gridSpan w:val="3"/>
            <w:shd w:val="clear" w:color="auto" w:fill="CCEEFF"/>
          </w:tcPr>
          <w:p>
            <w:pPr>
              <w:jc w:val="right"/>
              <w:ind w:right="2500"/>
              <w:spacing w:after="0"/>
              <w:rPr>
                <w:rFonts w:ascii="Arial" w:cs="Arial" w:eastAsia="Arial" w:hAnsi="Arial"/>
                <w:sz w:val="16"/>
                <w:szCs w:val="16"/>
                <w:color w:val="0000FF"/>
                <w:w w:val="95"/>
              </w:rPr>
            </w:pPr>
            <w:hyperlink r:id="rId56">
              <w:r>
                <w:rPr>
                  <w:rFonts w:ascii="Arial" w:cs="Arial" w:eastAsia="Arial" w:hAnsi="Arial"/>
                  <w:sz w:val="16"/>
                  <w:szCs w:val="16"/>
                  <w:color w:val="0000FF"/>
                  <w:w w:val="95"/>
                </w:rPr>
                <w:t>(2007 Form 10-K)</w:t>
              </w:r>
            </w:hyperlink>
          </w:p>
        </w:tc>
        <w:tc>
          <w:tcPr>
            <w:tcW w:w="1920" w:type="dxa"/>
            <w:vAlign w:val="bottom"/>
            <w:gridSpan w:val="3"/>
            <w:shd w:val="clear" w:color="auto" w:fill="CCEEFF"/>
          </w:tcPr>
          <w:p>
            <w:pPr>
              <w:spacing w:after="0"/>
              <w:rPr>
                <w:rFonts w:ascii="Arial" w:cs="Arial" w:eastAsia="Arial" w:hAnsi="Arial"/>
                <w:sz w:val="16"/>
                <w:szCs w:val="16"/>
                <w:color w:val="0000FF"/>
              </w:rPr>
            </w:pPr>
            <w:hyperlink r:id="rId56">
              <w:r>
                <w:rPr>
                  <w:rFonts w:ascii="Arial" w:cs="Arial" w:eastAsia="Arial" w:hAnsi="Arial"/>
                  <w:sz w:val="16"/>
                  <w:szCs w:val="16"/>
                  <w:color w:val="0000FF"/>
                </w:rPr>
                <w:t>4(c)</w:t>
              </w:r>
              <w:r>
                <w:rPr>
                  <w:rFonts w:ascii="Arial" w:cs="Arial" w:eastAsia="Arial" w:hAnsi="Arial"/>
                  <w:sz w:val="16"/>
                  <w:szCs w:val="16"/>
                  <w:u w:val="single" w:color="auto"/>
                  <w:color w:val="0000FF"/>
                </w:rPr>
                <w:t>4</w:t>
              </w:r>
            </w:hyperlink>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189"/>
        </w:trPr>
        <w:tc>
          <w:tcPr>
            <w:tcW w:w="1660" w:type="dxa"/>
            <w:vAlign w:val="bottom"/>
          </w:tcPr>
          <w:p>
            <w:pPr>
              <w:spacing w:after="0"/>
              <w:rPr>
                <w:sz w:val="16"/>
                <w:szCs w:val="16"/>
                <w:color w:val="auto"/>
              </w:rPr>
            </w:pPr>
          </w:p>
        </w:tc>
        <w:tc>
          <w:tcPr>
            <w:tcW w:w="680" w:type="dxa"/>
            <w:vAlign w:val="bottom"/>
            <w:gridSpan w:val="7"/>
          </w:tcPr>
          <w:p>
            <w:pPr>
              <w:spacing w:after="0"/>
              <w:rPr>
                <w:rFonts w:ascii="Arial" w:cs="Arial" w:eastAsia="Arial" w:hAnsi="Arial"/>
                <w:sz w:val="16"/>
                <w:szCs w:val="16"/>
                <w:color w:val="0000FF"/>
              </w:rPr>
            </w:pPr>
            <w:hyperlink r:id="rId57">
              <w:r>
                <w:rPr>
                  <w:rFonts w:ascii="Arial" w:cs="Arial" w:eastAsia="Arial" w:hAnsi="Arial"/>
                  <w:sz w:val="16"/>
                  <w:szCs w:val="16"/>
                  <w:color w:val="0000FF"/>
                </w:rPr>
                <w:t>Eleventh</w:t>
              </w:r>
            </w:hyperlink>
          </w:p>
        </w:tc>
        <w:tc>
          <w:tcPr>
            <w:tcW w:w="2940" w:type="dxa"/>
            <w:vAlign w:val="bottom"/>
            <w:gridSpan w:val="6"/>
          </w:tcPr>
          <w:p>
            <w:pPr>
              <w:ind w:left="1140"/>
              <w:spacing w:after="0"/>
              <w:rPr>
                <w:rFonts w:ascii="Arial" w:cs="Arial" w:eastAsia="Arial" w:hAnsi="Arial"/>
                <w:sz w:val="16"/>
                <w:szCs w:val="16"/>
                <w:color w:val="0000FF"/>
              </w:rPr>
            </w:pPr>
            <w:hyperlink r:id="rId57">
              <w:r>
                <w:rPr>
                  <w:rFonts w:ascii="Arial" w:cs="Arial" w:eastAsia="Arial" w:hAnsi="Arial"/>
                  <w:sz w:val="16"/>
                  <w:szCs w:val="16"/>
                  <w:color w:val="0000FF"/>
                </w:rPr>
                <w:t>December 1, 2008</w:t>
              </w:r>
            </w:hyperlink>
          </w:p>
        </w:tc>
        <w:tc>
          <w:tcPr>
            <w:tcW w:w="480" w:type="dxa"/>
            <w:vAlign w:val="bottom"/>
          </w:tcPr>
          <w:p>
            <w:pPr>
              <w:spacing w:after="0"/>
              <w:rPr>
                <w:rFonts w:ascii="Arial" w:cs="Arial" w:eastAsia="Arial" w:hAnsi="Arial"/>
                <w:sz w:val="16"/>
                <w:szCs w:val="16"/>
                <w:color w:val="0000FF"/>
                <w:w w:val="92"/>
              </w:rPr>
            </w:pPr>
            <w:hyperlink r:id="rId57">
              <w:r>
                <w:rPr>
                  <w:rFonts w:ascii="Arial" w:cs="Arial" w:eastAsia="Arial" w:hAnsi="Arial"/>
                  <w:sz w:val="16"/>
                  <w:szCs w:val="16"/>
                  <w:color w:val="0000FF"/>
                  <w:w w:val="92"/>
                </w:rPr>
                <w:t>1-3548</w:t>
              </w:r>
            </w:hyperlink>
          </w:p>
        </w:tc>
        <w:tc>
          <w:tcPr>
            <w:tcW w:w="3720" w:type="dxa"/>
            <w:vAlign w:val="bottom"/>
            <w:gridSpan w:val="3"/>
          </w:tcPr>
          <w:p>
            <w:pPr>
              <w:jc w:val="right"/>
              <w:ind w:right="2500"/>
              <w:spacing w:after="0"/>
              <w:rPr>
                <w:rFonts w:ascii="Arial" w:cs="Arial" w:eastAsia="Arial" w:hAnsi="Arial"/>
                <w:sz w:val="16"/>
                <w:szCs w:val="16"/>
                <w:color w:val="0000FF"/>
                <w:w w:val="95"/>
              </w:rPr>
            </w:pPr>
            <w:hyperlink r:id="rId57">
              <w:r>
                <w:rPr>
                  <w:rFonts w:ascii="Arial" w:cs="Arial" w:eastAsia="Arial" w:hAnsi="Arial"/>
                  <w:sz w:val="16"/>
                  <w:szCs w:val="16"/>
                  <w:color w:val="0000FF"/>
                  <w:w w:val="95"/>
                </w:rPr>
                <w:t>(2008 Form 10-K)</w:t>
              </w:r>
            </w:hyperlink>
          </w:p>
        </w:tc>
        <w:tc>
          <w:tcPr>
            <w:tcW w:w="1920" w:type="dxa"/>
            <w:vAlign w:val="bottom"/>
            <w:gridSpan w:val="3"/>
          </w:tcPr>
          <w:p>
            <w:pPr>
              <w:spacing w:after="0"/>
              <w:rPr>
                <w:rFonts w:ascii="Arial" w:cs="Arial" w:eastAsia="Arial" w:hAnsi="Arial"/>
                <w:sz w:val="16"/>
                <w:szCs w:val="16"/>
                <w:color w:val="0000FF"/>
              </w:rPr>
            </w:pPr>
            <w:hyperlink r:id="rId57">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16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209"/>
        </w:trPr>
        <w:tc>
          <w:tcPr>
            <w:tcW w:w="16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spacing w:after="0" w:line="169" w:lineRule="exact"/>
              <w:rPr>
                <w:rFonts w:ascii="Arial" w:cs="Arial" w:eastAsia="Arial" w:hAnsi="Arial"/>
                <w:sz w:val="16"/>
                <w:szCs w:val="16"/>
                <w:color w:val="0000FF"/>
                <w:w w:val="92"/>
              </w:rPr>
            </w:pPr>
            <w:hyperlink r:id="rId58">
              <w:r>
                <w:rPr>
                  <w:rFonts w:ascii="Arial" w:cs="Arial" w:eastAsia="Arial" w:hAnsi="Arial"/>
                  <w:sz w:val="16"/>
                  <w:szCs w:val="16"/>
                  <w:color w:val="0000FF"/>
                  <w:w w:val="92"/>
                </w:rPr>
                <w:t>Twelfth</w:t>
              </w:r>
            </w:hyperlink>
          </w:p>
        </w:tc>
        <w:tc>
          <w:tcPr>
            <w:tcW w:w="180" w:type="dxa"/>
            <w:vAlign w:val="bottom"/>
            <w:gridSpan w:val="3"/>
            <w:shd w:val="clear" w:color="auto" w:fill="CCEEFF"/>
          </w:tcPr>
          <w:p>
            <w:pPr>
              <w:spacing w:after="0"/>
              <w:rPr>
                <w:sz w:val="18"/>
                <w:szCs w:val="18"/>
                <w:color w:val="auto"/>
              </w:rPr>
            </w:pPr>
          </w:p>
        </w:tc>
        <w:tc>
          <w:tcPr>
            <w:tcW w:w="2940" w:type="dxa"/>
            <w:vAlign w:val="bottom"/>
            <w:gridSpan w:val="6"/>
            <w:shd w:val="clear" w:color="auto" w:fill="CCEEFF"/>
          </w:tcPr>
          <w:p>
            <w:pPr>
              <w:ind w:left="1140"/>
              <w:spacing w:after="0" w:line="169" w:lineRule="exact"/>
              <w:rPr>
                <w:rFonts w:ascii="Arial" w:cs="Arial" w:eastAsia="Arial" w:hAnsi="Arial"/>
                <w:sz w:val="16"/>
                <w:szCs w:val="16"/>
                <w:color w:val="0000FF"/>
              </w:rPr>
            </w:pPr>
            <w:hyperlink r:id="rId58">
              <w:r>
                <w:rPr>
                  <w:rFonts w:ascii="Arial" w:cs="Arial" w:eastAsia="Arial" w:hAnsi="Arial"/>
                  <w:sz w:val="16"/>
                  <w:szCs w:val="16"/>
                  <w:color w:val="0000FF"/>
                </w:rPr>
                <w:t>December 2, 2013</w:t>
              </w:r>
            </w:hyperlink>
          </w:p>
        </w:tc>
        <w:tc>
          <w:tcPr>
            <w:tcW w:w="480" w:type="dxa"/>
            <w:vAlign w:val="bottom"/>
            <w:shd w:val="clear" w:color="auto" w:fill="CCEEFF"/>
          </w:tcPr>
          <w:p>
            <w:pPr>
              <w:spacing w:after="0" w:line="169" w:lineRule="exact"/>
              <w:rPr>
                <w:rFonts w:ascii="Arial" w:cs="Arial" w:eastAsia="Arial" w:hAnsi="Arial"/>
                <w:sz w:val="16"/>
                <w:szCs w:val="16"/>
                <w:color w:val="0000FF"/>
                <w:w w:val="92"/>
              </w:rPr>
            </w:pPr>
            <w:hyperlink r:id="rId58">
              <w:r>
                <w:rPr>
                  <w:rFonts w:ascii="Arial" w:cs="Arial" w:eastAsia="Arial" w:hAnsi="Arial"/>
                  <w:sz w:val="16"/>
                  <w:szCs w:val="16"/>
                  <w:color w:val="0000FF"/>
                  <w:w w:val="92"/>
                </w:rPr>
                <w:t>1-3548</w:t>
              </w:r>
            </w:hyperlink>
          </w:p>
        </w:tc>
        <w:tc>
          <w:tcPr>
            <w:tcW w:w="3720" w:type="dxa"/>
            <w:vAlign w:val="bottom"/>
            <w:gridSpan w:val="3"/>
            <w:shd w:val="clear" w:color="auto" w:fill="CCEEFF"/>
          </w:tcPr>
          <w:p>
            <w:pPr>
              <w:jc w:val="right"/>
              <w:ind w:right="2500"/>
              <w:spacing w:after="0" w:line="169" w:lineRule="exact"/>
              <w:rPr>
                <w:rFonts w:ascii="Arial" w:cs="Arial" w:eastAsia="Arial" w:hAnsi="Arial"/>
                <w:sz w:val="16"/>
                <w:szCs w:val="16"/>
                <w:color w:val="0000FF"/>
                <w:w w:val="95"/>
              </w:rPr>
            </w:pPr>
            <w:hyperlink r:id="rId58">
              <w:r>
                <w:rPr>
                  <w:rFonts w:ascii="Arial" w:cs="Arial" w:eastAsia="Arial" w:hAnsi="Arial"/>
                  <w:sz w:val="16"/>
                  <w:szCs w:val="16"/>
                  <w:color w:val="0000FF"/>
                  <w:w w:val="95"/>
                </w:rPr>
                <w:t>(2013 Form 10-K)</w:t>
              </w:r>
            </w:hyperlink>
          </w:p>
        </w:tc>
        <w:tc>
          <w:tcPr>
            <w:tcW w:w="1920" w:type="dxa"/>
            <w:vAlign w:val="bottom"/>
            <w:gridSpan w:val="3"/>
            <w:shd w:val="clear" w:color="auto" w:fill="CCEEFF"/>
          </w:tcPr>
          <w:p>
            <w:pPr>
              <w:spacing w:after="0" w:line="169" w:lineRule="exact"/>
              <w:rPr>
                <w:rFonts w:ascii="Arial" w:cs="Arial" w:eastAsia="Arial" w:hAnsi="Arial"/>
                <w:sz w:val="16"/>
                <w:szCs w:val="16"/>
                <w:color w:val="0000FF"/>
              </w:rPr>
            </w:pPr>
            <w:hyperlink r:id="rId58">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1"/>
        </w:trPr>
        <w:tc>
          <w:tcPr>
            <w:tcW w:w="16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22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8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CCEEFF"/>
            </w:tcBorders>
            <w:shd w:val="clear" w:color="auto" w:fill="CCEEFF"/>
          </w:tcPr>
          <w:p>
            <w:pPr>
              <w:spacing w:after="0"/>
              <w:rPr>
                <w:sz w:val="3"/>
                <w:szCs w:val="3"/>
                <w:color w:val="auto"/>
              </w:rPr>
            </w:pPr>
          </w:p>
        </w:tc>
      </w:tr>
      <w:tr>
        <w:trPr>
          <w:trHeight w:val="270"/>
        </w:trPr>
        <w:tc>
          <w:tcPr>
            <w:tcW w:w="1660" w:type="dxa"/>
            <w:vAlign w:val="bottom"/>
          </w:tcPr>
          <w:p>
            <w:pPr>
              <w:spacing w:after="0"/>
              <w:rPr>
                <w:sz w:val="23"/>
                <w:szCs w:val="23"/>
                <w:color w:val="auto"/>
              </w:rPr>
            </w:pPr>
          </w:p>
        </w:tc>
        <w:tc>
          <w:tcPr>
            <w:tcW w:w="680" w:type="dxa"/>
            <w:vAlign w:val="bottom"/>
            <w:gridSpan w:val="7"/>
          </w:tcPr>
          <w:p>
            <w:pPr>
              <w:spacing w:after="0"/>
              <w:rPr>
                <w:rFonts w:ascii="Arial" w:cs="Arial" w:eastAsia="Arial" w:hAnsi="Arial"/>
                <w:sz w:val="16"/>
                <w:szCs w:val="16"/>
                <w:color w:val="0000FF"/>
                <w:w w:val="91"/>
              </w:rPr>
            </w:pPr>
            <w:hyperlink r:id="rId59">
              <w:r>
                <w:rPr>
                  <w:rFonts w:ascii="Arial" w:cs="Arial" w:eastAsia="Arial" w:hAnsi="Arial"/>
                  <w:sz w:val="16"/>
                  <w:szCs w:val="16"/>
                  <w:color w:val="0000FF"/>
                  <w:w w:val="91"/>
                </w:rPr>
                <w:t>Thirteenth</w:t>
              </w:r>
            </w:hyperlink>
          </w:p>
        </w:tc>
        <w:tc>
          <w:tcPr>
            <w:tcW w:w="2940" w:type="dxa"/>
            <w:vAlign w:val="bottom"/>
            <w:gridSpan w:val="6"/>
          </w:tcPr>
          <w:p>
            <w:pPr>
              <w:ind w:left="1140"/>
              <w:spacing w:after="0"/>
              <w:rPr>
                <w:rFonts w:ascii="Arial" w:cs="Arial" w:eastAsia="Arial" w:hAnsi="Arial"/>
                <w:sz w:val="16"/>
                <w:szCs w:val="16"/>
                <w:color w:val="0000FF"/>
              </w:rPr>
            </w:pPr>
            <w:hyperlink r:id="rId59">
              <w:r>
                <w:rPr>
                  <w:rFonts w:ascii="Arial" w:cs="Arial" w:eastAsia="Arial" w:hAnsi="Arial"/>
                  <w:sz w:val="16"/>
                  <w:szCs w:val="16"/>
                  <w:color w:val="0000FF"/>
                </w:rPr>
                <w:t>May 29, 2018</w:t>
              </w:r>
            </w:hyperlink>
          </w:p>
        </w:tc>
        <w:tc>
          <w:tcPr>
            <w:tcW w:w="480" w:type="dxa"/>
            <w:vAlign w:val="bottom"/>
          </w:tcPr>
          <w:p>
            <w:pPr>
              <w:spacing w:after="0"/>
              <w:rPr>
                <w:rFonts w:ascii="Arial" w:cs="Arial" w:eastAsia="Arial" w:hAnsi="Arial"/>
                <w:sz w:val="16"/>
                <w:szCs w:val="16"/>
                <w:color w:val="0000FF"/>
                <w:w w:val="92"/>
              </w:rPr>
            </w:pPr>
            <w:hyperlink r:id="rId59">
              <w:r>
                <w:rPr>
                  <w:rFonts w:ascii="Arial" w:cs="Arial" w:eastAsia="Arial" w:hAnsi="Arial"/>
                  <w:sz w:val="16"/>
                  <w:szCs w:val="16"/>
                  <w:color w:val="0000FF"/>
                  <w:w w:val="92"/>
                </w:rPr>
                <w:t>1-3548</w:t>
              </w:r>
            </w:hyperlink>
          </w:p>
        </w:tc>
        <w:tc>
          <w:tcPr>
            <w:tcW w:w="3720" w:type="dxa"/>
            <w:vAlign w:val="bottom"/>
            <w:gridSpan w:val="3"/>
          </w:tcPr>
          <w:p>
            <w:pPr>
              <w:ind w:left="20"/>
              <w:spacing w:after="0"/>
              <w:rPr>
                <w:rFonts w:ascii="Arial" w:cs="Arial" w:eastAsia="Arial" w:hAnsi="Arial"/>
                <w:sz w:val="16"/>
                <w:szCs w:val="16"/>
                <w:color w:val="0000FF"/>
              </w:rPr>
            </w:pPr>
            <w:hyperlink r:id="rId59">
              <w:r>
                <w:rPr>
                  <w:rFonts w:ascii="Arial" w:cs="Arial" w:eastAsia="Arial" w:hAnsi="Arial"/>
                  <w:sz w:val="16"/>
                  <w:szCs w:val="16"/>
                  <w:color w:val="0000FF"/>
                </w:rPr>
                <w:t>(June 30, 2018, Form 10-Q)</w:t>
              </w:r>
            </w:hyperlink>
          </w:p>
        </w:tc>
        <w:tc>
          <w:tcPr>
            <w:tcW w:w="360" w:type="dxa"/>
            <w:vAlign w:val="bottom"/>
            <w:gridSpan w:val="2"/>
          </w:tcPr>
          <w:p>
            <w:pPr>
              <w:spacing w:after="0"/>
              <w:rPr>
                <w:rFonts w:ascii="Arial" w:cs="Arial" w:eastAsia="Arial" w:hAnsi="Arial"/>
                <w:sz w:val="16"/>
                <w:szCs w:val="16"/>
                <w:color w:val="0000FF"/>
              </w:rPr>
            </w:pPr>
            <w:hyperlink r:id="rId59">
              <w:r>
                <w:rPr>
                  <w:rFonts w:ascii="Arial" w:cs="Arial" w:eastAsia="Arial" w:hAnsi="Arial"/>
                  <w:sz w:val="16"/>
                  <w:szCs w:val="16"/>
                  <w:color w:val="0000FF"/>
                </w:rPr>
                <w:t>4</w:t>
              </w:r>
            </w:hyperlink>
          </w:p>
        </w:tc>
        <w:tc>
          <w:tcPr>
            <w:tcW w:w="1560" w:type="dxa"/>
            <w:vAlign w:val="bottom"/>
          </w:tcPr>
          <w:p>
            <w:pPr>
              <w:spacing w:after="0"/>
              <w:rPr>
                <w:sz w:val="23"/>
                <w:szCs w:val="23"/>
                <w:color w:val="auto"/>
              </w:rPr>
            </w:pPr>
          </w:p>
        </w:tc>
      </w:tr>
      <w:tr>
        <w:trPr>
          <w:trHeight w:val="20"/>
        </w:trPr>
        <w:tc>
          <w:tcPr>
            <w:tcW w:w="16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p>
      <w:pPr>
        <w:spacing w:after="0" w:line="152" w:lineRule="exact"/>
        <w:rPr>
          <w:sz w:val="20"/>
          <w:szCs w:val="20"/>
          <w:color w:val="auto"/>
        </w:rPr>
      </w:pPr>
    </w:p>
    <w:p>
      <w:pPr>
        <w:ind w:left="40"/>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*4(c)</w:t>
        </w:r>
      </w:hyperlink>
    </w:p>
    <w:p>
      <w:pPr>
        <w:spacing w:after="0" w:line="275" w:lineRule="exact"/>
        <w:rPr>
          <w:sz w:val="20"/>
          <w:szCs w:val="20"/>
          <w:color w:val="auto"/>
        </w:rPr>
      </w:pPr>
    </w:p>
    <w:p>
      <w:pPr>
        <w:ind w:left="40"/>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*4(d)</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*4(e)</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*10(a)</w:t>
        </w:r>
      </w:hyperlink>
    </w:p>
    <w:p>
      <w:pPr>
        <w:spacing w:after="0" w:line="275" w:lineRule="exact"/>
        <w:rPr>
          <w:sz w:val="20"/>
          <w:szCs w:val="20"/>
          <w:color w:val="auto"/>
        </w:rPr>
      </w:pPr>
    </w:p>
    <w:p>
      <w:pPr>
        <w:ind w:left="40"/>
        <w:spacing w:after="0"/>
        <w:rPr>
          <w:rFonts w:ascii="Arial" w:cs="Arial" w:eastAsia="Arial" w:hAnsi="Arial"/>
          <w:sz w:val="15"/>
          <w:szCs w:val="15"/>
          <w:u w:val="single" w:color="auto"/>
          <w:color w:val="0000FF"/>
        </w:rPr>
      </w:pPr>
      <w:hyperlink r:id="rId65">
        <w:r>
          <w:rPr>
            <w:rFonts w:ascii="Arial" w:cs="Arial" w:eastAsia="Arial" w:hAnsi="Arial"/>
            <w:sz w:val="15"/>
            <w:szCs w:val="15"/>
            <w:u w:val="single" w:color="auto"/>
            <w:color w:val="0000FF"/>
          </w:rPr>
          <w:t>*10(b)1</w:t>
        </w:r>
      </w:hyperlink>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hanging="311"/>
        <w:spacing w:after="0" w:line="29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FF"/>
          </w:rPr>
          <w:t>Note Purchase and Guarantee Agreement dated as of November 5, 2015, among Armenia Mountain Wind LLC, AMW I Holding, LLC and the</w:t>
        </w:r>
      </w:hyperlink>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FF"/>
          </w:rPr>
          <w:t>purchasers named therein (filed as Exhibit 4 to the November 12, 2015, Form 8-K, File No. 1-3548).</w:t>
        </w:r>
      </w:hyperlink>
    </w:p>
    <w:p>
      <w:pPr>
        <w:spacing w:after="0" w:line="9" w:lineRule="exact"/>
        <w:rPr>
          <w:rFonts w:ascii="Arial" w:cs="Arial" w:eastAsia="Arial" w:hAnsi="Arial"/>
          <w:sz w:val="16"/>
          <w:szCs w:val="16"/>
          <w:u w:val="single" w:color="auto"/>
          <w:color w:val="0000FF"/>
        </w:rPr>
      </w:pPr>
    </w:p>
    <w:p>
      <w:pPr>
        <w:ind w:right="40" w:hanging="311"/>
        <w:spacing w:after="0" w:line="225" w:lineRule="auto"/>
        <w:rPr>
          <w:rFonts w:ascii="Arial" w:cs="Arial" w:eastAsia="Arial" w:hAnsi="Arial"/>
          <w:sz w:val="16"/>
          <w:szCs w:val="16"/>
          <w:u w:val="single" w:color="auto"/>
          <w:color w:val="0000FF"/>
        </w:rPr>
      </w:pPr>
      <w:hyperlink r:id="rId62"/>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62">
        <w:r>
          <w:rPr>
            <w:rFonts w:ascii="Arial" w:cs="Arial" w:eastAsia="Arial" w:hAnsi="Arial"/>
            <w:sz w:val="16"/>
            <w:szCs w:val="16"/>
            <w:u w:val="single" w:color="auto"/>
            <w:color w:val="0000FF"/>
          </w:rPr>
          <w:t>Note Purchase Agreement, dated December 8, 2016, between ALLETE and Hartford Investment Management Company, Northwestern Mutual</w:t>
        </w:r>
      </w:hyperlink>
      <w:r>
        <w:rPr>
          <w:rFonts w:ascii="Arial" w:cs="Arial" w:eastAsia="Arial" w:hAnsi="Arial"/>
          <w:sz w:val="16"/>
          <w:szCs w:val="16"/>
          <w:color w:val="0000FF"/>
        </w:rPr>
        <w:t xml:space="preserve"> </w:t>
      </w:r>
      <w:hyperlink r:id="rId62">
        <w:r>
          <w:rPr>
            <w:rFonts w:ascii="Arial" w:cs="Arial" w:eastAsia="Arial" w:hAnsi="Arial"/>
            <w:sz w:val="16"/>
            <w:szCs w:val="16"/>
            <w:u w:val="single" w:color="auto"/>
            <w:color w:val="0000FF"/>
          </w:rPr>
          <w:t>Investment Management Company, The Northwestern Mutual Life Insurance Company and Nationwide Life insurance Company (filed as Exhibit 4</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to the December 12, 2016, Form 8-K, File No. 1-3548).</w:t>
        </w:r>
      </w:hyperlink>
    </w:p>
    <w:p>
      <w:pPr>
        <w:spacing w:after="0" w:line="133" w:lineRule="exact"/>
        <w:rPr>
          <w:rFonts w:ascii="Arial" w:cs="Arial" w:eastAsia="Arial" w:hAnsi="Arial"/>
          <w:sz w:val="16"/>
          <w:szCs w:val="16"/>
          <w:u w:val="single" w:color="auto"/>
          <w:color w:val="0000FF"/>
        </w:rPr>
      </w:pPr>
    </w:p>
    <w:p>
      <w:pPr>
        <w:ind w:right="40" w:hanging="311"/>
        <w:spacing w:after="0" w:line="225" w:lineRule="auto"/>
        <w:rPr>
          <w:rFonts w:ascii="Arial" w:cs="Arial" w:eastAsia="Arial" w:hAnsi="Arial"/>
          <w:sz w:val="16"/>
          <w:szCs w:val="16"/>
          <w:u w:val="single" w:color="auto"/>
          <w:color w:val="0000FF"/>
        </w:rPr>
      </w:pPr>
      <w:hyperlink r:id="rId63"/>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63">
        <w:r>
          <w:rPr>
            <w:rFonts w:ascii="Arial" w:cs="Arial" w:eastAsia="Arial" w:hAnsi="Arial"/>
            <w:sz w:val="16"/>
            <w:szCs w:val="16"/>
            <w:u w:val="single" w:color="auto"/>
            <w:color w:val="0000FF"/>
          </w:rPr>
          <w:t>Term Loan Agreement dated as of August 25, 2017, among ALLETE, as Borrower, the Lenders party hereto, JPMorgan Chase Bank, N.A., as</w:t>
        </w:r>
      </w:hyperlink>
      <w:r>
        <w:rPr>
          <w:rFonts w:ascii="Arial" w:cs="Arial" w:eastAsia="Arial" w:hAnsi="Arial"/>
          <w:sz w:val="16"/>
          <w:szCs w:val="16"/>
          <w:color w:val="0000FF"/>
        </w:rPr>
        <w:t xml:space="preserve"> </w:t>
      </w:r>
      <w:hyperlink r:id="rId63">
        <w:r>
          <w:rPr>
            <w:rFonts w:ascii="Arial" w:cs="Arial" w:eastAsia="Arial" w:hAnsi="Arial"/>
            <w:sz w:val="16"/>
            <w:szCs w:val="16"/>
            <w:u w:val="single" w:color="auto"/>
            <w:color w:val="0000FF"/>
          </w:rPr>
          <w:t>Administrative Agent, Bank of America, N.A., as Syndication Agent, and JPMorgan Chase Bank, N.A., as Sole Lead Arranger and Sole Book</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Runner (filed as Exhibit 4 to the September 30, 2017, Form 10-Q, File No. 1-3548).</w:t>
        </w:r>
      </w:hyperlink>
    </w:p>
    <w:p>
      <w:pPr>
        <w:spacing w:after="0" w:line="133" w:lineRule="exact"/>
        <w:rPr>
          <w:rFonts w:ascii="Arial" w:cs="Arial" w:eastAsia="Arial" w:hAnsi="Arial"/>
          <w:sz w:val="16"/>
          <w:szCs w:val="16"/>
          <w:u w:val="single" w:color="auto"/>
          <w:color w:val="0000FF"/>
        </w:rPr>
      </w:pPr>
    </w:p>
    <w:p>
      <w:pPr>
        <w:ind w:right="40" w:hanging="311"/>
        <w:spacing w:after="0" w:line="29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64">
        <w:r>
          <w:rPr>
            <w:rFonts w:ascii="Arial" w:cs="Arial" w:eastAsia="Arial" w:hAnsi="Arial"/>
            <w:sz w:val="16"/>
            <w:szCs w:val="16"/>
            <w:u w:val="single" w:color="auto"/>
            <w:color w:val="0000FF"/>
          </w:rPr>
          <w:t>Power Purchase and Sale Agreement, dated as of May 29, 1998, between Minnesota Power, Inc. (now ALLETE) and Square Butte Electric</w:t>
        </w:r>
      </w:hyperlink>
      <w:r>
        <w:rPr>
          <w:rFonts w:ascii="Arial" w:cs="Arial" w:eastAsia="Arial" w:hAnsi="Arial"/>
          <w:sz w:val="16"/>
          <w:szCs w:val="16"/>
          <w:color w:val="auto"/>
        </w:rPr>
        <w:t xml:space="preserve"> </w:t>
      </w:r>
      <w:hyperlink r:id="rId64">
        <w:r>
          <w:rPr>
            <w:rFonts w:ascii="Arial" w:cs="Arial" w:eastAsia="Arial" w:hAnsi="Arial"/>
            <w:sz w:val="16"/>
            <w:szCs w:val="16"/>
            <w:u w:val="single" w:color="auto"/>
            <w:color w:val="0000FF"/>
          </w:rPr>
          <w:t>Cooperative (filed as Exhibit 10 to the June 30, 1998, Form 10-Q, File No. 1-3548).</w:t>
        </w:r>
      </w:hyperlink>
    </w:p>
    <w:p>
      <w:pPr>
        <w:spacing w:after="0" w:line="9" w:lineRule="exact"/>
        <w:rPr>
          <w:rFonts w:ascii="Arial" w:cs="Arial" w:eastAsia="Arial" w:hAnsi="Arial"/>
          <w:sz w:val="16"/>
          <w:szCs w:val="16"/>
          <w:u w:val="single" w:color="auto"/>
          <w:color w:val="0000FF"/>
        </w:rPr>
      </w:pPr>
    </w:p>
    <w:p>
      <w:pPr>
        <w:ind w:right="40" w:hanging="311"/>
        <w:spacing w:after="0" w:line="27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65">
        <w:r>
          <w:rPr>
            <w:rFonts w:ascii="Arial" w:cs="Arial" w:eastAsia="Arial" w:hAnsi="Arial"/>
            <w:sz w:val="16"/>
            <w:szCs w:val="16"/>
            <w:u w:val="single" w:color="auto"/>
            <w:color w:val="0000FF"/>
          </w:rPr>
          <w:t>Credit Agreement dated as of November 4, 2013 among ALLETE, as Borrower, the lenders party thereto, JPMorgan Chase Bank, N.A., as</w:t>
        </w:r>
      </w:hyperlink>
      <w:r>
        <w:rPr>
          <w:rFonts w:ascii="Arial" w:cs="Arial" w:eastAsia="Arial" w:hAnsi="Arial"/>
          <w:sz w:val="16"/>
          <w:szCs w:val="16"/>
          <w:color w:val="auto"/>
        </w:rPr>
        <w:t xml:space="preserve"> </w:t>
      </w:r>
      <w:hyperlink r:id="rId65">
        <w:r>
          <w:rPr>
            <w:rFonts w:ascii="Arial" w:cs="Arial" w:eastAsia="Arial" w:hAnsi="Arial"/>
            <w:sz w:val="16"/>
            <w:szCs w:val="16"/>
            <w:u w:val="single" w:color="auto"/>
            <w:color w:val="0000FF"/>
          </w:rPr>
          <w:t>Administrative Agent, and J.P. Morgan Securities LLC, as Sole Lead Arranger and Sole Book Runner (filed as Exhibit 10 to the November 4, 2013,</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Form 8-K, File No. 1-3548).</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-1048385</wp:posOffset>
            </wp:positionH>
            <wp:positionV relativeFrom="paragraph">
              <wp:posOffset>-1231265</wp:posOffset>
            </wp:positionV>
            <wp:extent cx="7229475"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extLst>
                    </a:blip>
                    <a:srcRect/>
                    <a:stretch>
                      <a:fillRect/>
                    </a:stretch>
                  </pic:blipFill>
                  <pic:spPr bwMode="auto">
                    <a:xfrm>
                      <a:off x="0" y="0"/>
                      <a:ext cx="7229475" cy="52324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-416560</wp:posOffset>
            </wp:positionV>
            <wp:extent cx="7229475" cy="420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2" w:lineRule="exact"/>
        <w:rPr>
          <w:rFonts w:ascii="Arial" w:cs="Arial" w:eastAsia="Arial" w:hAnsi="Arial"/>
          <w:sz w:val="16"/>
          <w:szCs w:val="16"/>
          <w:color w:val="auto"/>
        </w:rPr>
      </w:pPr>
    </w:p>
    <w:p>
      <w:pPr>
        <w:sectPr>
          <w:pgSz w:w="11900" w:h="16838" w:orient="portrait"/>
          <w:cols w:equalWidth="0" w:num="2">
            <w:col w:w="940" w:space="720"/>
            <w:col w:w="9740"/>
          </w:cols>
          <w:pgMar w:left="240" w:top="891" w:right="259" w:bottom="1440" w:gutter="0" w:footer="0" w:header="0"/>
          <w:type w:val="continuous"/>
        </w:sect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w:anchor="page133">
        <w:r>
          <w:rPr>
            <w:rFonts w:ascii="Arial" w:cs="Arial" w:eastAsia="Arial" w:hAnsi="Arial"/>
            <w:sz w:val="16"/>
            <w:szCs w:val="16"/>
            <w:u w:val="single" w:color="auto"/>
            <w:color w:val="0000FF"/>
          </w:rPr>
          <w:t>10(b)2</w:t>
        </w:r>
      </w:hyperlink>
      <w:r>
        <w:rPr>
          <w:rFonts w:ascii="Arial" w:cs="Arial" w:eastAsia="Arial" w:hAnsi="Arial"/>
          <w:sz w:val="16"/>
          <w:szCs w:val="16"/>
          <w:color w:val="0000FF"/>
        </w:rPr>
        <w:tab/>
        <w:t xml:space="preserve">— </w:t>
      </w:r>
      <w:hyperlink w:anchor="page133">
        <w:r>
          <w:rPr>
            <w:rFonts w:ascii="Arial" w:cs="Arial" w:eastAsia="Arial" w:hAnsi="Arial"/>
            <w:sz w:val="16"/>
            <w:szCs w:val="16"/>
            <w:u w:val="single" w:color="auto"/>
            <w:color w:val="0000FF"/>
          </w:rPr>
          <w:t>Amended and Restated Credit Agreement dated as of January 10, 2019 among ALLETE, as Borrower, the lenders party hereto, JPMorgan Chase</w:t>
        </w:r>
      </w:hyperlink>
      <w:r>
        <w:rPr>
          <w:rFonts w:ascii="Arial" w:cs="Arial" w:eastAsia="Arial" w:hAnsi="Arial"/>
          <w:sz w:val="16"/>
          <w:szCs w:val="16"/>
          <w:color w:val="0000FF"/>
        </w:rPr>
        <w:t xml:space="preserve"> </w:t>
      </w:r>
      <w:hyperlink w:anchor="page133">
        <w:r>
          <w:rPr>
            <w:rFonts w:ascii="Arial" w:cs="Arial" w:eastAsia="Arial" w:hAnsi="Arial"/>
            <w:sz w:val="16"/>
            <w:szCs w:val="16"/>
            <w:u w:val="single" w:color="auto"/>
            <w:color w:val="0000FF"/>
          </w:rPr>
          <w:t>Bank, N.A., as Administrative Agent, and J.P. Morgan Chase Bank, N.A., as Sole Lead Arranger and Sole Book Runner.</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*10(c)1</w:t>
        </w:r>
      </w:hyperlink>
      <w:r>
        <w:rPr>
          <w:rFonts w:ascii="Arial" w:cs="Arial" w:eastAsia="Arial" w:hAnsi="Arial"/>
          <w:sz w:val="16"/>
          <w:szCs w:val="16"/>
          <w:color w:val="0000FF"/>
        </w:rPr>
        <w:tab/>
        <w:t xml:space="preserve">— </w:t>
      </w:r>
      <w:hyperlink r:id="rId69">
        <w:r>
          <w:rPr>
            <w:rFonts w:ascii="Arial" w:cs="Arial" w:eastAsia="Arial" w:hAnsi="Arial"/>
            <w:sz w:val="16"/>
            <w:szCs w:val="16"/>
            <w:u w:val="single" w:color="auto"/>
            <w:color w:val="0000FF"/>
          </w:rPr>
          <w:t>Financing Agreement between Collier County Industrial Development Authority and ALLETE dated as of July 1, 2006 (filed as Exhibit 10(b)1 to</w:t>
        </w:r>
      </w:hyperlink>
      <w:r>
        <w:rPr>
          <w:rFonts w:ascii="Arial" w:cs="Arial" w:eastAsia="Arial" w:hAnsi="Arial"/>
          <w:sz w:val="16"/>
          <w:szCs w:val="16"/>
          <w:color w:val="0000FF"/>
        </w:rPr>
        <w:t xml:space="preserve"> </w:t>
      </w:r>
      <w:hyperlink r:id="rId69">
        <w:r>
          <w:rPr>
            <w:rFonts w:ascii="Arial" w:cs="Arial" w:eastAsia="Arial" w:hAnsi="Arial"/>
            <w:sz w:val="16"/>
            <w:szCs w:val="16"/>
            <w:u w:val="single" w:color="auto"/>
            <w:color w:val="0000FF"/>
          </w:rPr>
          <w:t>the June 30, 2006, Form 10-Q, File No. 1-3548).</w:t>
        </w:r>
      </w:hyperlink>
    </w:p>
    <w:p>
      <w:pPr>
        <w:spacing w:after="0" w:line="10" w:lineRule="exact"/>
        <w:rPr>
          <w:rFonts w:ascii="Arial" w:cs="Arial" w:eastAsia="Arial" w:hAnsi="Arial"/>
          <w:sz w:val="16"/>
          <w:szCs w:val="16"/>
          <w:color w:val="0000FF"/>
        </w:rPr>
      </w:pPr>
    </w:p>
    <w:p>
      <w:pPr>
        <w:jc w:val="both"/>
        <w:ind w:left="1340" w:right="40" w:hanging="1620"/>
        <w:spacing w:after="0" w:line="319" w:lineRule="auto"/>
        <w:tabs>
          <w:tab w:leader="none" w:pos="1320" w:val="left"/>
        </w:tabs>
        <w:rPr>
          <w:rFonts w:ascii="Arial" w:cs="Arial" w:eastAsia="Arial" w:hAnsi="Arial"/>
          <w:sz w:val="15"/>
          <w:szCs w:val="15"/>
          <w:u w:val="single" w:color="auto"/>
          <w:color w:val="0000FF"/>
        </w:rPr>
      </w:pPr>
      <w:hyperlink r:id="rId70">
        <w:r>
          <w:rPr>
            <w:rFonts w:ascii="Arial" w:cs="Arial" w:eastAsia="Arial" w:hAnsi="Arial"/>
            <w:sz w:val="16"/>
            <w:szCs w:val="16"/>
            <w:u w:val="single" w:color="auto"/>
            <w:color w:val="0000FF"/>
          </w:rPr>
          <w:t>*10(c)2</w:t>
        </w:r>
      </w:hyperlink>
      <w:r>
        <w:rPr>
          <w:rFonts w:ascii="Arial" w:cs="Arial" w:eastAsia="Arial" w:hAnsi="Arial"/>
          <w:sz w:val="16"/>
          <w:szCs w:val="16"/>
          <w:color w:val="0000FF"/>
        </w:rPr>
        <w:tab/>
      </w:r>
      <w:r>
        <w:rPr>
          <w:rFonts w:ascii="Arial" w:cs="Arial" w:eastAsia="Arial" w:hAnsi="Arial"/>
          <w:sz w:val="15"/>
          <w:szCs w:val="15"/>
          <w:color w:val="0000FF"/>
        </w:rPr>
        <w:t xml:space="preserve">— </w:t>
      </w:r>
      <w:hyperlink r:id="rId70">
        <w:r>
          <w:rPr>
            <w:rFonts w:ascii="Arial" w:cs="Arial" w:eastAsia="Arial" w:hAnsi="Arial"/>
            <w:sz w:val="15"/>
            <w:szCs w:val="15"/>
            <w:u w:val="single" w:color="auto"/>
            <w:color w:val="0000FF"/>
          </w:rPr>
          <w:t>Amended and Restated Letter of Credit Agreement, dated as of June 3, 2011, among ALLETE, the participating banks and Wells Fargo Bank,</w:t>
        </w:r>
      </w:hyperlink>
      <w:r>
        <w:rPr>
          <w:rFonts w:ascii="Arial" w:cs="Arial" w:eastAsia="Arial" w:hAnsi="Arial"/>
          <w:sz w:val="15"/>
          <w:szCs w:val="15"/>
          <w:color w:val="0000FF"/>
        </w:rPr>
        <w:t xml:space="preserve"> </w:t>
      </w:r>
      <w:hyperlink r:id="rId70">
        <w:r>
          <w:rPr>
            <w:rFonts w:ascii="Arial" w:cs="Arial" w:eastAsia="Arial" w:hAnsi="Arial"/>
            <w:sz w:val="15"/>
            <w:szCs w:val="15"/>
            <w:u w:val="single" w:color="auto"/>
            <w:color w:val="0000FF"/>
          </w:rPr>
          <w:t>National Association, as Administrative Agent and Issuing Bank (filed as Exhibit 10(b) to the June 30, 2011, 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9475" cy="420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1">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jc w:val="both"/>
        <w:ind w:left="1340" w:right="40" w:hanging="1620"/>
        <w:spacing w:after="0" w:line="278" w:lineRule="auto"/>
        <w:tabs>
          <w:tab w:leader="none" w:pos="1320" w:val="left"/>
        </w:tabs>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*10(c)3</w:t>
        </w:r>
      </w:hyperlink>
      <w:r>
        <w:rPr>
          <w:rFonts w:ascii="Arial" w:cs="Arial" w:eastAsia="Arial" w:hAnsi="Arial"/>
          <w:sz w:val="16"/>
          <w:szCs w:val="16"/>
          <w:color w:val="0000FF"/>
        </w:rPr>
        <w:tab/>
        <w:t xml:space="preserve">— </w:t>
      </w:r>
      <w:hyperlink r:id="rId72">
        <w:r>
          <w:rPr>
            <w:rFonts w:ascii="Arial" w:cs="Arial" w:eastAsia="Arial" w:hAnsi="Arial"/>
            <w:sz w:val="16"/>
            <w:szCs w:val="16"/>
            <w:u w:val="single" w:color="auto"/>
            <w:color w:val="0000FF"/>
          </w:rPr>
          <w:t>First Amendment to Amended and Restated Letter of Credit Agreement, dated as of June 1, 2013, between ALLETE and Wells Fargo Bank, National</w:t>
        </w:r>
      </w:hyperlink>
      <w:r>
        <w:rPr>
          <w:rFonts w:ascii="Arial" w:cs="Arial" w:eastAsia="Arial" w:hAnsi="Arial"/>
          <w:sz w:val="16"/>
          <w:szCs w:val="16"/>
          <w:color w:val="0000FF"/>
        </w:rPr>
        <w:t xml:space="preserve"> </w:t>
      </w:r>
      <w:hyperlink r:id="rId72">
        <w:r>
          <w:rPr>
            <w:rFonts w:ascii="Arial" w:cs="Arial" w:eastAsia="Arial" w:hAnsi="Arial"/>
            <w:sz w:val="16"/>
            <w:szCs w:val="16"/>
            <w:u w:val="single" w:color="auto"/>
            <w:color w:val="0000FF"/>
          </w:rPr>
          <w:t>Association, as Issuing Bank, Administrative Agent and Sole Participating Bank (filed as Exhibit 10(b) to the June 30, 2013, Form 10-Q, File No. 1-</w:t>
        </w:r>
      </w:hyperlink>
      <w:hyperlink r:id="rId72">
        <w:r>
          <w:rPr>
            <w:rFonts w:ascii="Arial" w:cs="Arial" w:eastAsia="Arial" w:hAnsi="Arial"/>
            <w:sz w:val="16"/>
            <w:szCs w:val="16"/>
            <w:u w:val="single" w:color="auto"/>
            <w:color w:val="0000FF"/>
          </w:rPr>
          <w:t>3548).</w:t>
        </w:r>
      </w:hyperlink>
    </w:p>
    <w:p>
      <w:pPr>
        <w:spacing w:after="0" w:line="22"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*10(d)</w:t>
        </w:r>
      </w:hyperlink>
      <w:r>
        <w:rPr>
          <w:rFonts w:ascii="Arial" w:cs="Arial" w:eastAsia="Arial" w:hAnsi="Arial"/>
          <w:sz w:val="16"/>
          <w:szCs w:val="16"/>
          <w:color w:val="0000FF"/>
        </w:rPr>
        <w:tab/>
        <w:t xml:space="preserve">— </w:t>
      </w:r>
      <w:hyperlink r:id="rId73">
        <w:r>
          <w:rPr>
            <w:rFonts w:ascii="Arial" w:cs="Arial" w:eastAsia="Arial" w:hAnsi="Arial"/>
            <w:sz w:val="16"/>
            <w:szCs w:val="16"/>
            <w:u w:val="single" w:color="auto"/>
            <w:color w:val="0000FF"/>
          </w:rPr>
          <w:t>Agreement dated December 16, 2005, among ALLETE, Wisconsin Public Service Corporation and WPS Investments, LLC (filed as Exhibit 10(g) to</w:t>
        </w:r>
      </w:hyperlink>
      <w:r>
        <w:rPr>
          <w:rFonts w:ascii="Arial" w:cs="Arial" w:eastAsia="Arial" w:hAnsi="Arial"/>
          <w:sz w:val="16"/>
          <w:szCs w:val="16"/>
          <w:color w:val="0000FF"/>
        </w:rPr>
        <w:t xml:space="preserve"> </w:t>
      </w:r>
      <w:hyperlink r:id="rId73">
        <w:r>
          <w:rPr>
            <w:rFonts w:ascii="Arial" w:cs="Arial" w:eastAsia="Arial" w:hAnsi="Arial"/>
            <w:sz w:val="16"/>
            <w:szCs w:val="16"/>
            <w:u w:val="single" w:color="auto"/>
            <w:color w:val="0000FF"/>
          </w:rPr>
          <w:t>the 2009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+*10(e)1</w:t>
        </w:r>
      </w:hyperlink>
      <w:r>
        <w:rPr>
          <w:rFonts w:ascii="Arial" w:cs="Arial" w:eastAsia="Arial" w:hAnsi="Arial"/>
          <w:sz w:val="16"/>
          <w:szCs w:val="16"/>
          <w:color w:val="0000FF"/>
        </w:rPr>
        <w:tab/>
        <w:t xml:space="preserve">— </w:t>
      </w:r>
      <w:hyperlink r:id="rId75">
        <w:r>
          <w:rPr>
            <w:rFonts w:ascii="Arial" w:cs="Arial" w:eastAsia="Arial" w:hAnsi="Arial"/>
            <w:sz w:val="16"/>
            <w:szCs w:val="16"/>
            <w:u w:val="single" w:color="auto"/>
            <w:color w:val="0000FF"/>
          </w:rPr>
          <w:t>ALLETE Executive Annual Incentive Plan, as amended and restated, effective January 1, 2011 (filed as Exhibit 10(h)1 to the 2010 Form 10-K, File</w:t>
        </w:r>
      </w:hyperlink>
      <w:r>
        <w:rPr>
          <w:rFonts w:ascii="Arial" w:cs="Arial" w:eastAsia="Arial" w:hAnsi="Arial"/>
          <w:sz w:val="16"/>
          <w:szCs w:val="16"/>
          <w:color w:val="0000FF"/>
        </w:rPr>
        <w:t xml:space="preserve"> </w:t>
      </w:r>
      <w:hyperlink r:id="rId75">
        <w:r>
          <w:rPr>
            <w:rFonts w:ascii="Arial" w:cs="Arial" w:eastAsia="Arial" w:hAnsi="Arial"/>
            <w:sz w:val="16"/>
            <w:szCs w:val="16"/>
            <w:u w:val="single" w:color="auto"/>
            <w:color w:val="0000FF"/>
          </w:rPr>
          <w:t>No. 1-3548).</w:t>
        </w:r>
      </w:hyperlink>
    </w:p>
    <w:p>
      <w:pPr>
        <w:spacing w:after="0" w:line="10" w:lineRule="exact"/>
        <w:rPr>
          <w:rFonts w:ascii="Arial" w:cs="Arial" w:eastAsia="Arial" w:hAnsi="Arial"/>
          <w:sz w:val="16"/>
          <w:szCs w:val="16"/>
          <w:color w:val="0000FF"/>
        </w:rPr>
      </w:pPr>
    </w:p>
    <w:p>
      <w:pPr>
        <w:ind w:left="40"/>
        <w:spacing w:after="0" w:line="184" w:lineRule="exact"/>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+*10(e)2</w:t>
      </w:r>
      <w:r>
        <w:rPr>
          <w:sz w:val="20"/>
          <w:szCs w:val="20"/>
          <w:color w:val="auto"/>
        </w:rPr>
        <w:tab/>
      </w:r>
      <w:r>
        <w:rPr>
          <w:rFonts w:ascii="Arial" w:cs="Arial" w:eastAsia="Arial" w:hAnsi="Arial"/>
          <w:sz w:val="16"/>
          <w:szCs w:val="16"/>
          <w:color w:val="auto"/>
        </w:rPr>
        <w:t>—</w:t>
      </w:r>
      <w:r>
        <w:rPr>
          <w:sz w:val="20"/>
          <w:szCs w:val="20"/>
          <w:color w:val="auto"/>
        </w:rPr>
        <w:tab/>
      </w:r>
      <w:hyperlink r:id="rId76">
        <w:r>
          <w:rPr>
            <w:rFonts w:ascii="Arial" w:cs="Arial" w:eastAsia="Arial" w:hAnsi="Arial"/>
            <w:sz w:val="15"/>
            <w:szCs w:val="15"/>
            <w:u w:val="single" w:color="auto"/>
            <w:color w:val="0000FF"/>
          </w:rPr>
          <w:t>ALLETE Executive Annual Incentive Plan Form of Award Effective 2016 (filed as Exhibit 10(e)6 to the 2015 Form 10</w:t>
        </w:r>
        <w:r>
          <w:rPr>
            <w:rFonts w:ascii="MS PGothic" w:cs="MS PGothic" w:eastAsia="MS PGothic" w:hAnsi="MS PGothic"/>
            <w:sz w:val="15"/>
            <w:szCs w:val="15"/>
            <w:u w:val="single" w:color="auto"/>
            <w:color w:val="0000FF"/>
          </w:rPr>
          <w:t>‑</w:t>
        </w:r>
        <w:r>
          <w:rPr>
            <w:rFonts w:ascii="Arial" w:cs="Arial" w:eastAsia="Arial" w:hAnsi="Arial"/>
            <w:sz w:val="15"/>
            <w:szCs w:val="15"/>
            <w:u w:val="single" w:color="auto"/>
            <w:color w:val="0000FF"/>
          </w:rPr>
          <w:t>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+*10(e)3</w:t>
      </w:r>
      <w:r>
        <w:rPr>
          <w:sz w:val="20"/>
          <w:szCs w:val="20"/>
          <w:color w:val="auto"/>
        </w:rPr>
        <w:tab/>
      </w:r>
      <w:r>
        <w:rPr>
          <w:rFonts w:ascii="Arial" w:cs="Arial" w:eastAsia="Arial" w:hAnsi="Arial"/>
          <w:sz w:val="16"/>
          <w:szCs w:val="16"/>
          <w:color w:val="auto"/>
        </w:rPr>
        <w:t>—</w:t>
      </w:r>
      <w:r>
        <w:rPr>
          <w:sz w:val="20"/>
          <w:szCs w:val="20"/>
          <w:color w:val="auto"/>
        </w:rPr>
        <w:tab/>
      </w:r>
      <w:hyperlink r:id="rId78">
        <w:r>
          <w:rPr>
            <w:rFonts w:ascii="Arial" w:cs="Arial" w:eastAsia="Arial" w:hAnsi="Arial"/>
            <w:sz w:val="15"/>
            <w:szCs w:val="15"/>
            <w:u w:val="single" w:color="auto"/>
            <w:color w:val="0000FF"/>
          </w:rPr>
          <w:t>ALLETE Executive Annual Incentive Plan Form of Award Effective 2017 (filed as Exhibit 10(e)6 to the 2016 Form 10-K, File No. 1-3548).</w:t>
        </w:r>
      </w:hyperlink>
    </w:p>
    <w:p>
      <w:pPr>
        <w:spacing w:after="0" w:line="73"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+*10(e)4</w:t>
        </w:r>
      </w:hyperlink>
      <w:r>
        <w:rPr>
          <w:rFonts w:ascii="Arial" w:cs="Arial" w:eastAsia="Arial" w:hAnsi="Arial"/>
          <w:sz w:val="16"/>
          <w:szCs w:val="16"/>
          <w:color w:val="0000FF"/>
        </w:rPr>
        <w:tab/>
        <w:t xml:space="preserve">— </w:t>
      </w:r>
      <w:hyperlink r:id="rId79">
        <w:r>
          <w:rPr>
            <w:rFonts w:ascii="Arial" w:cs="Arial" w:eastAsia="Arial" w:hAnsi="Arial"/>
            <w:sz w:val="16"/>
            <w:szCs w:val="16"/>
            <w:u w:val="single" w:color="auto"/>
            <w:color w:val="0000FF"/>
          </w:rPr>
          <w:t>ALLETE Executive Annual Incentive Plan Form of Award Superior Water, Light and Power Effective 2017 (filed as Exhibit 10(e)7 to the 2016 Form</w:t>
        </w:r>
      </w:hyperlink>
      <w:r>
        <w:rPr>
          <w:rFonts w:ascii="Arial" w:cs="Arial" w:eastAsia="Arial" w:hAnsi="Arial"/>
          <w:sz w:val="16"/>
          <w:szCs w:val="16"/>
          <w:color w:val="0000FF"/>
        </w:rPr>
        <w:t xml:space="preserve"> </w:t>
      </w:r>
      <w:hyperlink r:id="rId79">
        <w:r>
          <w:rPr>
            <w:rFonts w:ascii="Arial" w:cs="Arial" w:eastAsia="Arial" w:hAnsi="Arial"/>
            <w:sz w:val="16"/>
            <w:szCs w:val="16"/>
            <w:u w:val="single" w:color="auto"/>
            <w:color w:val="0000FF"/>
          </w:rPr>
          <w:t>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+*10(e)5</w:t>
        </w:r>
      </w:hyperlink>
      <w:r>
        <w:rPr>
          <w:rFonts w:ascii="Arial" w:cs="Arial" w:eastAsia="Arial" w:hAnsi="Arial"/>
          <w:sz w:val="16"/>
          <w:szCs w:val="16"/>
          <w:color w:val="0000FF"/>
        </w:rPr>
        <w:tab/>
        <w:t xml:space="preserve">— </w:t>
      </w:r>
      <w:hyperlink r:id="rId81">
        <w:r>
          <w:rPr>
            <w:rFonts w:ascii="Arial" w:cs="Arial" w:eastAsia="Arial" w:hAnsi="Arial"/>
            <w:sz w:val="16"/>
            <w:szCs w:val="16"/>
            <w:u w:val="single" w:color="auto"/>
            <w:color w:val="0000FF"/>
          </w:rPr>
          <w:t>ALLETE Executive Annual Incentive Plan Form of Award Effective 2018 (filed as Exhibit 10(a)1 to the March 31, 2018, Form 10-Q, File No. 1-</w:t>
        </w:r>
      </w:hyperlink>
      <w:hyperlink r:id="rId81">
        <w:r>
          <w:rPr>
            <w:rFonts w:ascii="Arial" w:cs="Arial" w:eastAsia="Arial" w:hAnsi="Arial"/>
            <w:sz w:val="16"/>
            <w:szCs w:val="16"/>
            <w:u w:val="single" w:color="auto"/>
            <w:color w:val="0000FF"/>
          </w:rPr>
          <w:t>3548).</w:t>
        </w:r>
      </w:hyperlink>
    </w:p>
    <w:p>
      <w:pPr>
        <w:spacing w:after="0" w:line="10"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+*10(e)6</w:t>
        </w:r>
      </w:hyperlink>
      <w:r>
        <w:rPr>
          <w:rFonts w:ascii="Arial" w:cs="Arial" w:eastAsia="Arial" w:hAnsi="Arial"/>
          <w:sz w:val="16"/>
          <w:szCs w:val="16"/>
          <w:color w:val="0000FF"/>
        </w:rPr>
        <w:tab/>
        <w:t xml:space="preserve">— </w:t>
      </w:r>
      <w:hyperlink r:id="rId82">
        <w:r>
          <w:rPr>
            <w:rFonts w:ascii="Arial" w:cs="Arial" w:eastAsia="Arial" w:hAnsi="Arial"/>
            <w:sz w:val="16"/>
            <w:szCs w:val="16"/>
            <w:u w:val="single" w:color="auto"/>
            <w:color w:val="0000FF"/>
          </w:rPr>
          <w:t>ALLETE Executive Annual Incentive Plan Form of Award Superior Water, Light and Power Effective 2018 (filed as Exhibit 10(a)2 to the March 31,</w:t>
        </w:r>
      </w:hyperlink>
      <w:r>
        <w:rPr>
          <w:rFonts w:ascii="Arial" w:cs="Arial" w:eastAsia="Arial" w:hAnsi="Arial"/>
          <w:sz w:val="16"/>
          <w:szCs w:val="16"/>
          <w:color w:val="0000FF"/>
        </w:rPr>
        <w:t xml:space="preserve"> </w:t>
      </w:r>
      <w:hyperlink r:id="rId82">
        <w:r>
          <w:rPr>
            <w:rFonts w:ascii="Arial" w:cs="Arial" w:eastAsia="Arial" w:hAnsi="Arial"/>
            <w:sz w:val="16"/>
            <w:szCs w:val="16"/>
            <w:u w:val="single" w:color="auto"/>
            <w:color w:val="0000FF"/>
          </w:rPr>
          <w:t>2018, Form 10-Q, File No. 1-3548).</w:t>
        </w:r>
      </w:hyperlink>
    </w:p>
    <w:p>
      <w:pPr>
        <w:sectPr>
          <w:pgSz w:w="11900" w:h="16838" w:orient="portrait"/>
          <w:cols w:equalWidth="0" w:num="1">
            <w:col w:w="11400"/>
          </w:cols>
          <w:pgMar w:left="240" w:top="891" w:right="259" w:bottom="1440" w:gutter="0" w:footer="0" w:header="0"/>
          <w:type w:val="continuous"/>
        </w:sectPr>
      </w:pPr>
    </w:p>
    <w:p>
      <w:pPr>
        <w:spacing w:after="0" w:line="222"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7"/>
          <w:szCs w:val="17"/>
          <w:color w:val="auto"/>
        </w:rPr>
        <w:t>ALLETE, Inc. 2018 Form 10-K</w:t>
      </w:r>
    </w:p>
    <w:p>
      <w:pPr>
        <w:spacing w:after="0" w:line="35"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891" w:right="2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79" w:lineRule="exact"/>
        <w:rPr>
          <w:sz w:val="20"/>
          <w:szCs w:val="20"/>
          <w:color w:val="auto"/>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+10(e)7</w:t>
      </w:r>
      <w:r>
        <w:rPr>
          <w:sz w:val="20"/>
          <w:szCs w:val="20"/>
          <w:color w:val="auto"/>
        </w:rPr>
        <w:tab/>
      </w:r>
      <w:r>
        <w:rPr>
          <w:rFonts w:ascii="Arial" w:cs="Arial" w:eastAsia="Arial" w:hAnsi="Arial"/>
          <w:sz w:val="16"/>
          <w:szCs w:val="16"/>
          <w:color w:val="auto"/>
        </w:rPr>
        <w:t>—</w:t>
      </w:r>
      <w:r>
        <w:rPr>
          <w:sz w:val="20"/>
          <w:szCs w:val="20"/>
          <w:color w:val="auto"/>
        </w:rPr>
        <w:tab/>
      </w:r>
      <w:hyperlink w:anchor="page237">
        <w:r>
          <w:rPr>
            <w:rFonts w:ascii="Arial" w:cs="Arial" w:eastAsia="Arial" w:hAnsi="Arial"/>
            <w:sz w:val="15"/>
            <w:szCs w:val="15"/>
            <w:u w:val="single" w:color="auto"/>
            <w:color w:val="0000FF"/>
          </w:rPr>
          <w:t>ALLETE Executive Annual Incentive Plan Form of Award Effective 2019.</w:t>
        </w:r>
      </w:hyperlink>
    </w:p>
    <w:p>
      <w:pPr>
        <w:spacing w:after="0" w:line="73" w:lineRule="exact"/>
        <w:rPr>
          <w:sz w:val="20"/>
          <w:szCs w:val="20"/>
          <w:color w:val="auto"/>
        </w:rPr>
      </w:pPr>
    </w:p>
    <w:p>
      <w:pPr>
        <w:ind w:left="40"/>
        <w:spacing w:after="0" w:line="184" w:lineRule="exact"/>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+*10(e)8</w:t>
      </w:r>
      <w:r>
        <w:rPr>
          <w:sz w:val="20"/>
          <w:szCs w:val="20"/>
          <w:color w:val="auto"/>
        </w:rPr>
        <w:tab/>
      </w:r>
      <w:r>
        <w:rPr>
          <w:rFonts w:ascii="Arial" w:cs="Arial" w:eastAsia="Arial" w:hAnsi="Arial"/>
          <w:sz w:val="16"/>
          <w:szCs w:val="16"/>
          <w:color w:val="auto"/>
        </w:rPr>
        <w:t>—</w:t>
      </w:r>
      <w:r>
        <w:rPr>
          <w:sz w:val="20"/>
          <w:szCs w:val="20"/>
          <w:color w:val="auto"/>
        </w:rPr>
        <w:tab/>
      </w:r>
      <w:hyperlink r:id="rId84">
        <w:r>
          <w:rPr>
            <w:rFonts w:ascii="Arial" w:cs="Arial" w:eastAsia="Arial" w:hAnsi="Arial"/>
            <w:sz w:val="15"/>
            <w:szCs w:val="15"/>
            <w:u w:val="single" w:color="auto"/>
            <w:color w:val="0000FF"/>
          </w:rPr>
          <w:t>ALLETE Executive Annual Incentive Plan Form of Award Effective 2015 (filed as Exhibit 10(e)6 to the 2014 Form 10</w:t>
        </w:r>
        <w:r>
          <w:rPr>
            <w:rFonts w:ascii="MS PGothic" w:cs="MS PGothic" w:eastAsia="MS PGothic" w:hAnsi="MS PGothic"/>
            <w:sz w:val="15"/>
            <w:szCs w:val="15"/>
            <w:u w:val="single" w:color="auto"/>
            <w:color w:val="0000FF"/>
          </w:rPr>
          <w:t>‑</w:t>
        </w:r>
        <w:r>
          <w:rPr>
            <w:rFonts w:ascii="Arial" w:cs="Arial" w:eastAsia="Arial" w:hAnsi="Arial"/>
            <w:sz w:val="15"/>
            <w:szCs w:val="15"/>
            <w:u w:val="single" w:color="auto"/>
            <w:color w:val="0000FF"/>
          </w:rPr>
          <w:t>K, File No. 1-3548).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sz w:val="20"/>
          <w:szCs w:val="20"/>
          <w:color w:val="auto"/>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+*10(f)1</w:t>
        </w:r>
      </w:hyperlink>
      <w:r>
        <w:rPr>
          <w:rFonts w:ascii="Arial" w:cs="Arial" w:eastAsia="Arial" w:hAnsi="Arial"/>
          <w:sz w:val="16"/>
          <w:szCs w:val="16"/>
          <w:color w:val="0000FF"/>
        </w:rPr>
        <w:tab/>
        <w:t xml:space="preserve">— </w:t>
      </w:r>
      <w:hyperlink r:id="rId86">
        <w:r>
          <w:rPr>
            <w:rFonts w:ascii="Arial" w:cs="Arial" w:eastAsia="Arial" w:hAnsi="Arial"/>
            <w:sz w:val="16"/>
            <w:szCs w:val="16"/>
            <w:u w:val="single" w:color="auto"/>
            <w:color w:val="0000FF"/>
          </w:rPr>
          <w:t>ALLETE and Affiliated Companies Supplemental Executive Retirement Plan (SERP I), as amended and restated, effective January 1, 2009 (filed as</w:t>
        </w:r>
      </w:hyperlink>
      <w:r>
        <w:rPr>
          <w:rFonts w:ascii="Arial" w:cs="Arial" w:eastAsia="Arial" w:hAnsi="Arial"/>
          <w:sz w:val="16"/>
          <w:szCs w:val="16"/>
          <w:color w:val="0000FF"/>
        </w:rPr>
        <w:t xml:space="preserve"> </w:t>
      </w:r>
      <w:hyperlink r:id="rId86">
        <w:r>
          <w:rPr>
            <w:rFonts w:ascii="Arial" w:cs="Arial" w:eastAsia="Arial" w:hAnsi="Arial"/>
            <w:sz w:val="16"/>
            <w:szCs w:val="16"/>
            <w:u w:val="single" w:color="auto"/>
            <w:color w:val="0000FF"/>
          </w:rPr>
          <w:t>Exhibit 10(i)4 to the 2008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+*10(f)2</w:t>
        </w:r>
      </w:hyperlink>
      <w:r>
        <w:rPr>
          <w:rFonts w:ascii="Arial" w:cs="Arial" w:eastAsia="Arial" w:hAnsi="Arial"/>
          <w:sz w:val="16"/>
          <w:szCs w:val="16"/>
          <w:color w:val="0000FF"/>
        </w:rPr>
        <w:tab/>
        <w:t xml:space="preserve">— </w:t>
      </w:r>
      <w:hyperlink r:id="rId87">
        <w:r>
          <w:rPr>
            <w:rFonts w:ascii="Arial" w:cs="Arial" w:eastAsia="Arial" w:hAnsi="Arial"/>
            <w:sz w:val="16"/>
            <w:szCs w:val="16"/>
            <w:u w:val="single" w:color="auto"/>
            <w:color w:val="0000FF"/>
          </w:rPr>
          <w:t>Amendment to the ALLETE and Affiliated Companies Supplemental Executive Retirement Plan (SERP I), effective January 1, 2011 (filed as Exhibit</w:t>
        </w:r>
      </w:hyperlink>
      <w:r>
        <w:rPr>
          <w:rFonts w:ascii="Arial" w:cs="Arial" w:eastAsia="Arial" w:hAnsi="Arial"/>
          <w:sz w:val="16"/>
          <w:szCs w:val="16"/>
          <w:color w:val="0000FF"/>
        </w:rPr>
        <w:t xml:space="preserve"> </w:t>
      </w:r>
      <w:hyperlink r:id="rId87">
        <w:r>
          <w:rPr>
            <w:rFonts w:ascii="Arial" w:cs="Arial" w:eastAsia="Arial" w:hAnsi="Arial"/>
            <w:sz w:val="16"/>
            <w:szCs w:val="16"/>
            <w:u w:val="single" w:color="auto"/>
            <w:color w:val="0000FF"/>
          </w:rPr>
          <w:t>10(i)2 to the 2010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+*10(f)3</w:t>
        </w:r>
      </w:hyperlink>
      <w:r>
        <w:rPr>
          <w:rFonts w:ascii="Arial" w:cs="Arial" w:eastAsia="Arial" w:hAnsi="Arial"/>
          <w:sz w:val="16"/>
          <w:szCs w:val="16"/>
          <w:color w:val="0000FF"/>
        </w:rPr>
        <w:tab/>
        <w:t xml:space="preserve">— </w:t>
      </w:r>
      <w:hyperlink r:id="rId89">
        <w:r>
          <w:rPr>
            <w:rFonts w:ascii="Arial" w:cs="Arial" w:eastAsia="Arial" w:hAnsi="Arial"/>
            <w:sz w:val="16"/>
            <w:szCs w:val="16"/>
            <w:u w:val="single" w:color="auto"/>
            <w:color w:val="0000FF"/>
          </w:rPr>
          <w:t>ALLETE and Affiliated Companies Supplemental Executive Retirement Plan II (SERP II), as amended and restated, effective January 1, 2015 (filed</w:t>
        </w:r>
      </w:hyperlink>
      <w:r>
        <w:rPr>
          <w:rFonts w:ascii="Arial" w:cs="Arial" w:eastAsia="Arial" w:hAnsi="Arial"/>
          <w:sz w:val="16"/>
          <w:szCs w:val="16"/>
          <w:color w:val="0000FF"/>
        </w:rPr>
        <w:t xml:space="preserve"> </w:t>
      </w:r>
      <w:hyperlink r:id="rId89">
        <w:r>
          <w:rPr>
            <w:rFonts w:ascii="Arial" w:cs="Arial" w:eastAsia="Arial" w:hAnsi="Arial"/>
            <w:sz w:val="16"/>
            <w:szCs w:val="16"/>
            <w:u w:val="single" w:color="auto"/>
            <w:color w:val="0000FF"/>
          </w:rPr>
          <w:t>as Exhibit 10(f)3 to the 2014 Form 10-K, File No. 1-3548).</w:t>
        </w:r>
      </w:hyperlink>
    </w:p>
    <w:p>
      <w:pPr>
        <w:spacing w:after="0" w:line="10"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+10(f)4</w:t>
      </w:r>
      <w:r>
        <w:rPr>
          <w:sz w:val="20"/>
          <w:szCs w:val="20"/>
          <w:color w:val="auto"/>
        </w:rPr>
        <w:tab/>
      </w:r>
      <w:r>
        <w:rPr>
          <w:rFonts w:ascii="Arial" w:cs="Arial" w:eastAsia="Arial" w:hAnsi="Arial"/>
          <w:sz w:val="16"/>
          <w:szCs w:val="16"/>
          <w:color w:val="auto"/>
        </w:rPr>
        <w:t>—</w:t>
      </w:r>
      <w:r>
        <w:rPr>
          <w:sz w:val="20"/>
          <w:szCs w:val="20"/>
          <w:color w:val="auto"/>
        </w:rPr>
        <w:tab/>
      </w:r>
      <w:hyperlink w:anchor="page238">
        <w:r>
          <w:rPr>
            <w:rFonts w:ascii="Arial" w:cs="Arial" w:eastAsia="Arial" w:hAnsi="Arial"/>
            <w:sz w:val="14"/>
            <w:szCs w:val="14"/>
            <w:u w:val="single" w:color="auto"/>
            <w:color w:val="0000FF"/>
          </w:rPr>
          <w:t>ALLETE and Affiliated Companies Supplemental Executive Retirement Plan II (SERP II), as amended and restated, effective January 1, 2019.</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+*10(g)</w:t>
        </w:r>
      </w:hyperlink>
      <w:r>
        <w:rPr>
          <w:rFonts w:ascii="Arial" w:cs="Arial" w:eastAsia="Arial" w:hAnsi="Arial"/>
          <w:sz w:val="16"/>
          <w:szCs w:val="16"/>
          <w:color w:val="0000FF"/>
        </w:rPr>
        <w:tab/>
        <w:t xml:space="preserve">— </w:t>
      </w:r>
      <w:hyperlink r:id="rId91">
        <w:r>
          <w:rPr>
            <w:rFonts w:ascii="Arial" w:cs="Arial" w:eastAsia="Arial" w:hAnsi="Arial"/>
            <w:sz w:val="16"/>
            <w:szCs w:val="16"/>
            <w:u w:val="single" w:color="auto"/>
            <w:color w:val="0000FF"/>
          </w:rPr>
          <w:t>ALLETE Deferred Compensation Trust Agreement, as amended and restated, effective December 15, 2012 (filed as Exhibit 10(j) to the 2012 Form</w:t>
        </w:r>
      </w:hyperlink>
      <w:r>
        <w:rPr>
          <w:rFonts w:ascii="Arial" w:cs="Arial" w:eastAsia="Arial" w:hAnsi="Arial"/>
          <w:sz w:val="16"/>
          <w:szCs w:val="16"/>
          <w:color w:val="0000FF"/>
        </w:rPr>
        <w:t xml:space="preserve"> </w:t>
      </w:r>
      <w:hyperlink r:id="rId91">
        <w:r>
          <w:rPr>
            <w:rFonts w:ascii="Arial" w:cs="Arial" w:eastAsia="Arial" w:hAnsi="Arial"/>
            <w:sz w:val="16"/>
            <w:szCs w:val="16"/>
            <w:u w:val="single" w:color="auto"/>
            <w:color w:val="0000FF"/>
          </w:rPr>
          <w:t>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+*10(h)1</w:t>
        </w:r>
      </w:hyperlink>
      <w:r>
        <w:rPr>
          <w:rFonts w:ascii="Arial" w:cs="Arial" w:eastAsia="Arial" w:hAnsi="Arial"/>
          <w:sz w:val="16"/>
          <w:szCs w:val="16"/>
          <w:color w:val="0000FF"/>
        </w:rPr>
        <w:tab/>
        <w:t xml:space="preserve">— </w:t>
      </w:r>
      <w:hyperlink r:id="rId92">
        <w:r>
          <w:rPr>
            <w:rFonts w:ascii="Arial" w:cs="Arial" w:eastAsia="Arial" w:hAnsi="Arial"/>
            <w:sz w:val="16"/>
            <w:szCs w:val="16"/>
            <w:u w:val="single" w:color="auto"/>
            <w:color w:val="0000FF"/>
          </w:rPr>
          <w:t>ALLETE Executive Long-Term Incentive Compensation Plan as amended and restated effective January 1, 2006 (filed as Exhibit 10 to the May 16,</w:t>
        </w:r>
      </w:hyperlink>
      <w:r>
        <w:rPr>
          <w:rFonts w:ascii="Arial" w:cs="Arial" w:eastAsia="Arial" w:hAnsi="Arial"/>
          <w:sz w:val="16"/>
          <w:szCs w:val="16"/>
          <w:color w:val="0000FF"/>
        </w:rPr>
        <w:t xml:space="preserve"> </w:t>
      </w:r>
      <w:hyperlink r:id="rId92">
        <w:r>
          <w:rPr>
            <w:rFonts w:ascii="Arial" w:cs="Arial" w:eastAsia="Arial" w:hAnsi="Arial"/>
            <w:sz w:val="16"/>
            <w:szCs w:val="16"/>
            <w:u w:val="single" w:color="auto"/>
            <w:color w:val="0000FF"/>
          </w:rPr>
          <w:t>2005, Form 8-K,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+*10(h)2</w:t>
        </w:r>
      </w:hyperlink>
      <w:r>
        <w:rPr>
          <w:rFonts w:ascii="Arial" w:cs="Arial" w:eastAsia="Arial" w:hAnsi="Arial"/>
          <w:sz w:val="16"/>
          <w:szCs w:val="16"/>
          <w:color w:val="0000FF"/>
        </w:rPr>
        <w:tab/>
        <w:t xml:space="preserve">— </w:t>
      </w:r>
      <w:hyperlink r:id="rId94">
        <w:r>
          <w:rPr>
            <w:rFonts w:ascii="Arial" w:cs="Arial" w:eastAsia="Arial" w:hAnsi="Arial"/>
            <w:sz w:val="16"/>
            <w:szCs w:val="16"/>
            <w:u w:val="single" w:color="auto"/>
            <w:color w:val="0000FF"/>
          </w:rPr>
          <w:t>Amendment to the ALLETE Executive Long-Term Incentive Compensation Plan, effective January 1, 2011 (filed as Exhibit 10(m)2 to the 2010</w:t>
        </w:r>
      </w:hyperlink>
      <w:r>
        <w:rPr>
          <w:rFonts w:ascii="Arial" w:cs="Arial" w:eastAsia="Arial" w:hAnsi="Arial"/>
          <w:sz w:val="16"/>
          <w:szCs w:val="16"/>
          <w:color w:val="0000FF"/>
        </w:rPr>
        <w:t xml:space="preserve"> </w:t>
      </w:r>
      <w:hyperlink r:id="rId94">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+*10(h)3</w:t>
        </w:r>
      </w:hyperlink>
      <w:r>
        <w:rPr>
          <w:rFonts w:ascii="Arial" w:cs="Arial" w:eastAsia="Arial" w:hAnsi="Arial"/>
          <w:sz w:val="16"/>
          <w:szCs w:val="16"/>
          <w:color w:val="0000FF"/>
        </w:rPr>
        <w:tab/>
        <w:t xml:space="preserve">— </w:t>
      </w:r>
      <w:hyperlink r:id="rId95">
        <w:r>
          <w:rPr>
            <w:rFonts w:ascii="Arial" w:cs="Arial" w:eastAsia="Arial" w:hAnsi="Arial"/>
            <w:sz w:val="16"/>
            <w:szCs w:val="16"/>
            <w:u w:val="single" w:color="auto"/>
            <w:color w:val="0000FF"/>
          </w:rPr>
          <w:t>Form of ALLETE Executive Long-Term Incentive Compensation Plan Performance Share Grant Effective 2014 (filed as Exhibit 10(j)14 to the 2013</w:t>
        </w:r>
      </w:hyperlink>
      <w:r>
        <w:rPr>
          <w:rFonts w:ascii="Arial" w:cs="Arial" w:eastAsia="Arial" w:hAnsi="Arial"/>
          <w:sz w:val="16"/>
          <w:szCs w:val="16"/>
          <w:color w:val="0000FF"/>
        </w:rPr>
        <w:t xml:space="preserve"> </w:t>
      </w:r>
      <w:hyperlink r:id="rId95">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+*10(h)4</w:t>
        </w:r>
      </w:hyperlink>
      <w:r>
        <w:rPr>
          <w:rFonts w:ascii="Arial" w:cs="Arial" w:eastAsia="Arial" w:hAnsi="Arial"/>
          <w:sz w:val="16"/>
          <w:szCs w:val="16"/>
          <w:color w:val="0000FF"/>
        </w:rPr>
        <w:tab/>
        <w:t xml:space="preserve">— </w:t>
      </w:r>
      <w:hyperlink r:id="rId97">
        <w:r>
          <w:rPr>
            <w:rFonts w:ascii="Arial" w:cs="Arial" w:eastAsia="Arial" w:hAnsi="Arial"/>
            <w:sz w:val="16"/>
            <w:szCs w:val="16"/>
            <w:u w:val="single" w:color="auto"/>
            <w:color w:val="0000FF"/>
          </w:rPr>
          <w:t>Form of ALLETE Executive Long-Term Incentive Compensation Plan Restricted Stock Unit Grant Effective 2014 (filed as Exhibit 10(j)15 to the</w:t>
        </w:r>
      </w:hyperlink>
      <w:r>
        <w:rPr>
          <w:rFonts w:ascii="Arial" w:cs="Arial" w:eastAsia="Arial" w:hAnsi="Arial"/>
          <w:sz w:val="16"/>
          <w:szCs w:val="16"/>
          <w:color w:val="0000FF"/>
        </w:rPr>
        <w:t xml:space="preserve"> </w:t>
      </w:r>
      <w:hyperlink r:id="rId97">
        <w:r>
          <w:rPr>
            <w:rFonts w:ascii="Arial" w:cs="Arial" w:eastAsia="Arial" w:hAnsi="Arial"/>
            <w:sz w:val="16"/>
            <w:szCs w:val="16"/>
            <w:u w:val="single" w:color="auto"/>
            <w:color w:val="0000FF"/>
          </w:rPr>
          <w:t>2013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+*10(h)5</w:t>
        </w:r>
      </w:hyperlink>
      <w:r>
        <w:rPr>
          <w:rFonts w:ascii="Arial" w:cs="Arial" w:eastAsia="Arial" w:hAnsi="Arial"/>
          <w:sz w:val="16"/>
          <w:szCs w:val="16"/>
          <w:color w:val="0000FF"/>
        </w:rPr>
        <w:tab/>
        <w:t xml:space="preserve">— </w:t>
      </w:r>
      <w:hyperlink r:id="rId98">
        <w:r>
          <w:rPr>
            <w:rFonts w:ascii="Arial" w:cs="Arial" w:eastAsia="Arial" w:hAnsi="Arial"/>
            <w:sz w:val="16"/>
            <w:szCs w:val="16"/>
            <w:u w:val="single" w:color="auto"/>
            <w:color w:val="0000FF"/>
          </w:rPr>
          <w:t>Form of ALLETE Executive Long-Term Incentive Compensation Plan Performance Share Grant Effective 2015 (filed as Exhibit 10(j)16 to the 2014</w:t>
        </w:r>
      </w:hyperlink>
      <w:r>
        <w:rPr>
          <w:rFonts w:ascii="Arial" w:cs="Arial" w:eastAsia="Arial" w:hAnsi="Arial"/>
          <w:sz w:val="16"/>
          <w:szCs w:val="16"/>
          <w:color w:val="0000FF"/>
        </w:rPr>
        <w:t xml:space="preserve"> </w:t>
      </w:r>
      <w:hyperlink r:id="rId98">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+*10(h)6</w:t>
        </w:r>
      </w:hyperlink>
      <w:r>
        <w:rPr>
          <w:rFonts w:ascii="Arial" w:cs="Arial" w:eastAsia="Arial" w:hAnsi="Arial"/>
          <w:sz w:val="16"/>
          <w:szCs w:val="16"/>
          <w:color w:val="0000FF"/>
        </w:rPr>
        <w:tab/>
        <w:t xml:space="preserve">— </w:t>
      </w:r>
      <w:hyperlink r:id="rId100">
        <w:r>
          <w:rPr>
            <w:rFonts w:ascii="Arial" w:cs="Arial" w:eastAsia="Arial" w:hAnsi="Arial"/>
            <w:sz w:val="16"/>
            <w:szCs w:val="16"/>
            <w:u w:val="single" w:color="auto"/>
            <w:color w:val="0000FF"/>
          </w:rPr>
          <w:t>Form of ALLETE Executive Long-Term Incentive Compensation Plan Restricted Stock Unit Grant Effective 2015 (filed as Exhibit 10(j)17 to the</w:t>
        </w:r>
      </w:hyperlink>
      <w:r>
        <w:rPr>
          <w:rFonts w:ascii="Arial" w:cs="Arial" w:eastAsia="Arial" w:hAnsi="Arial"/>
          <w:sz w:val="16"/>
          <w:szCs w:val="16"/>
          <w:color w:val="0000FF"/>
        </w:rPr>
        <w:t xml:space="preserve"> </w:t>
      </w:r>
      <w:hyperlink r:id="rId100">
        <w:r>
          <w:rPr>
            <w:rFonts w:ascii="Arial" w:cs="Arial" w:eastAsia="Arial" w:hAnsi="Arial"/>
            <w:sz w:val="16"/>
            <w:szCs w:val="16"/>
            <w:u w:val="single" w:color="auto"/>
            <w:color w:val="0000FF"/>
          </w:rPr>
          <w:t>2014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+*10(h)7</w:t>
        </w:r>
      </w:hyperlink>
      <w:r>
        <w:rPr>
          <w:rFonts w:ascii="Arial" w:cs="Arial" w:eastAsia="Arial" w:hAnsi="Arial"/>
          <w:sz w:val="16"/>
          <w:szCs w:val="16"/>
          <w:color w:val="0000FF"/>
        </w:rPr>
        <w:tab/>
        <w:t xml:space="preserve">— </w:t>
      </w:r>
      <w:hyperlink r:id="rId101">
        <w:r>
          <w:rPr>
            <w:rFonts w:ascii="Arial" w:cs="Arial" w:eastAsia="Arial" w:hAnsi="Arial"/>
            <w:sz w:val="16"/>
            <w:szCs w:val="16"/>
            <w:u w:val="single" w:color="auto"/>
            <w:color w:val="0000FF"/>
          </w:rPr>
          <w:t>Form of ALLETE Executive Long-Term Incentive Compensation Plan Performance Share Grant Effective 2013 (filed as Exhibit 10(k)14 to the 2012</w:t>
        </w:r>
      </w:hyperlink>
      <w:r>
        <w:rPr>
          <w:rFonts w:ascii="Arial" w:cs="Arial" w:eastAsia="Arial" w:hAnsi="Arial"/>
          <w:sz w:val="16"/>
          <w:szCs w:val="16"/>
          <w:color w:val="0000FF"/>
        </w:rPr>
        <w:t xml:space="preserve"> </w:t>
      </w:r>
      <w:hyperlink r:id="rId101">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+*10(h)8</w:t>
        </w:r>
      </w:hyperlink>
      <w:r>
        <w:rPr>
          <w:rFonts w:ascii="Arial" w:cs="Arial" w:eastAsia="Arial" w:hAnsi="Arial"/>
          <w:sz w:val="16"/>
          <w:szCs w:val="16"/>
          <w:color w:val="0000FF"/>
        </w:rPr>
        <w:tab/>
        <w:t xml:space="preserve">— </w:t>
      </w:r>
      <w:hyperlink r:id="rId103">
        <w:r>
          <w:rPr>
            <w:rFonts w:ascii="Arial" w:cs="Arial" w:eastAsia="Arial" w:hAnsi="Arial"/>
            <w:sz w:val="16"/>
            <w:szCs w:val="16"/>
            <w:u w:val="single" w:color="auto"/>
            <w:color w:val="0000FF"/>
          </w:rPr>
          <w:t>Form of ALLETE Executive Long-Term Incentive Compensation Plan Restricted Stock Unit Grant Effective 2013 (filed as Exhibit 10(k)15 to the</w:t>
        </w:r>
      </w:hyperlink>
      <w:r>
        <w:rPr>
          <w:rFonts w:ascii="Arial" w:cs="Arial" w:eastAsia="Arial" w:hAnsi="Arial"/>
          <w:sz w:val="16"/>
          <w:szCs w:val="16"/>
          <w:color w:val="0000FF"/>
        </w:rPr>
        <w:t xml:space="preserve"> </w:t>
      </w:r>
      <w:hyperlink r:id="rId103">
        <w:r>
          <w:rPr>
            <w:rFonts w:ascii="Arial" w:cs="Arial" w:eastAsia="Arial" w:hAnsi="Arial"/>
            <w:sz w:val="16"/>
            <w:szCs w:val="16"/>
            <w:u w:val="single" w:color="auto"/>
            <w:color w:val="0000FF"/>
          </w:rPr>
          <w:t>2012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+*10(i)1</w:t>
        </w:r>
      </w:hyperlink>
      <w:r>
        <w:rPr>
          <w:rFonts w:ascii="Arial" w:cs="Arial" w:eastAsia="Arial" w:hAnsi="Arial"/>
          <w:sz w:val="16"/>
          <w:szCs w:val="16"/>
          <w:color w:val="0000FF"/>
        </w:rPr>
        <w:tab/>
        <w:t xml:space="preserve">— </w:t>
      </w:r>
      <w:hyperlink r:id="rId104">
        <w:r>
          <w:rPr>
            <w:rFonts w:ascii="Arial" w:cs="Arial" w:eastAsia="Arial" w:hAnsi="Arial"/>
            <w:sz w:val="16"/>
            <w:szCs w:val="16"/>
            <w:u w:val="single" w:color="auto"/>
            <w:color w:val="0000FF"/>
          </w:rPr>
          <w:t>ALLETE Executive Long-Term Incentive Compensation Plan effective January 1, 2016 (filed November 6, 2015, as Exhibit 99 to Form S-8, File</w:t>
        </w:r>
      </w:hyperlink>
      <w:r>
        <w:rPr>
          <w:rFonts w:ascii="Arial" w:cs="Arial" w:eastAsia="Arial" w:hAnsi="Arial"/>
          <w:sz w:val="16"/>
          <w:szCs w:val="16"/>
          <w:color w:val="0000FF"/>
        </w:rPr>
        <w:t xml:space="preserve"> </w:t>
      </w:r>
      <w:hyperlink r:id="rId104">
        <w:r>
          <w:rPr>
            <w:rFonts w:ascii="Arial" w:cs="Arial" w:eastAsia="Arial" w:hAnsi="Arial"/>
            <w:sz w:val="16"/>
            <w:szCs w:val="16"/>
            <w:u w:val="single" w:color="auto"/>
            <w:color w:val="0000FF"/>
          </w:rPr>
          <w:t>No. 333-207846).</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+*10(i)2</w:t>
        </w:r>
      </w:hyperlink>
      <w:r>
        <w:rPr>
          <w:rFonts w:ascii="Arial" w:cs="Arial" w:eastAsia="Arial" w:hAnsi="Arial"/>
          <w:sz w:val="16"/>
          <w:szCs w:val="16"/>
          <w:color w:val="0000FF"/>
        </w:rPr>
        <w:tab/>
        <w:t xml:space="preserve">— </w:t>
      </w:r>
      <w:hyperlink r:id="rId106">
        <w:r>
          <w:rPr>
            <w:rFonts w:ascii="Arial" w:cs="Arial" w:eastAsia="Arial" w:hAnsi="Arial"/>
            <w:sz w:val="16"/>
            <w:szCs w:val="16"/>
            <w:u w:val="single" w:color="auto"/>
            <w:color w:val="0000FF"/>
          </w:rPr>
          <w:t>Form of ALLETE Executive Long-Term Incentive Compensation Plan Restricted Stock Unit Grant Effective 2016 (filed as Exhibit 10(k)3 to the</w:t>
        </w:r>
      </w:hyperlink>
      <w:r>
        <w:rPr>
          <w:rFonts w:ascii="Arial" w:cs="Arial" w:eastAsia="Arial" w:hAnsi="Arial"/>
          <w:sz w:val="16"/>
          <w:szCs w:val="16"/>
          <w:color w:val="0000FF"/>
        </w:rPr>
        <w:t xml:space="preserve"> </w:t>
      </w:r>
      <w:hyperlink r:id="rId106">
        <w:r>
          <w:rPr>
            <w:rFonts w:ascii="Arial" w:cs="Arial" w:eastAsia="Arial" w:hAnsi="Arial"/>
            <w:sz w:val="16"/>
            <w:szCs w:val="16"/>
            <w:u w:val="single" w:color="auto"/>
            <w:color w:val="0000FF"/>
          </w:rPr>
          <w:t>2015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+*10(i)3</w:t>
        </w:r>
      </w:hyperlink>
      <w:r>
        <w:rPr>
          <w:rFonts w:ascii="Arial" w:cs="Arial" w:eastAsia="Arial" w:hAnsi="Arial"/>
          <w:sz w:val="16"/>
          <w:szCs w:val="16"/>
          <w:color w:val="0000FF"/>
        </w:rPr>
        <w:tab/>
        <w:t xml:space="preserve">— </w:t>
      </w:r>
      <w:hyperlink r:id="rId107">
        <w:r>
          <w:rPr>
            <w:rFonts w:ascii="Arial" w:cs="Arial" w:eastAsia="Arial" w:hAnsi="Arial"/>
            <w:sz w:val="16"/>
            <w:szCs w:val="16"/>
            <w:u w:val="single" w:color="auto"/>
            <w:color w:val="0000FF"/>
          </w:rPr>
          <w:t>Form of ALLETE Executive Long-Term Incentive Compensation Plan Performance Share Grant Effective 2016 (filed as Exhibit 10(k)2 to the 2015</w:t>
        </w:r>
      </w:hyperlink>
      <w:r>
        <w:rPr>
          <w:rFonts w:ascii="Arial" w:cs="Arial" w:eastAsia="Arial" w:hAnsi="Arial"/>
          <w:sz w:val="16"/>
          <w:szCs w:val="16"/>
          <w:color w:val="0000FF"/>
        </w:rPr>
        <w:t xml:space="preserve"> </w:t>
      </w:r>
      <w:hyperlink r:id="rId107">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+*10(i)4</w:t>
        </w:r>
      </w:hyperlink>
      <w:r>
        <w:rPr>
          <w:rFonts w:ascii="Arial" w:cs="Arial" w:eastAsia="Arial" w:hAnsi="Arial"/>
          <w:sz w:val="16"/>
          <w:szCs w:val="16"/>
          <w:color w:val="0000FF"/>
        </w:rPr>
        <w:tab/>
        <w:t xml:space="preserve">— </w:t>
      </w:r>
      <w:hyperlink r:id="rId109">
        <w:r>
          <w:rPr>
            <w:rFonts w:ascii="Arial" w:cs="Arial" w:eastAsia="Arial" w:hAnsi="Arial"/>
            <w:sz w:val="16"/>
            <w:szCs w:val="16"/>
            <w:u w:val="single" w:color="auto"/>
            <w:color w:val="0000FF"/>
          </w:rPr>
          <w:t>Form of ALLETE Executive Long-Term Incentive Compensation Plan Cash Award Effective 2017 (filed as Exhibit 10(i)4 to the 2016 Form 10-K,</w:t>
        </w:r>
      </w:hyperlink>
      <w:r>
        <w:rPr>
          <w:rFonts w:ascii="Arial" w:cs="Arial" w:eastAsia="Arial" w:hAnsi="Arial"/>
          <w:sz w:val="16"/>
          <w:szCs w:val="16"/>
          <w:color w:val="0000FF"/>
        </w:rPr>
        <w:t xml:space="preserve"> </w:t>
      </w:r>
      <w:hyperlink r:id="rId109">
        <w:r>
          <w:rPr>
            <w:rFonts w:ascii="Arial" w:cs="Arial" w:eastAsia="Arial" w:hAnsi="Arial"/>
            <w:sz w:val="16"/>
            <w:szCs w:val="16"/>
            <w:u w:val="single" w:color="auto"/>
            <w:color w:val="0000FF"/>
          </w:rPr>
          <w:t>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+*10(i)5</w:t>
        </w:r>
      </w:hyperlink>
      <w:r>
        <w:rPr>
          <w:rFonts w:ascii="Arial" w:cs="Arial" w:eastAsia="Arial" w:hAnsi="Arial"/>
          <w:sz w:val="16"/>
          <w:szCs w:val="16"/>
          <w:color w:val="0000FF"/>
        </w:rPr>
        <w:tab/>
        <w:t xml:space="preserve">— </w:t>
      </w:r>
      <w:hyperlink r:id="rId110">
        <w:r>
          <w:rPr>
            <w:rFonts w:ascii="Arial" w:cs="Arial" w:eastAsia="Arial" w:hAnsi="Arial"/>
            <w:sz w:val="16"/>
            <w:szCs w:val="16"/>
            <w:u w:val="single" w:color="auto"/>
            <w:color w:val="0000FF"/>
          </w:rPr>
          <w:t>Form of ALLETE Executive Long-Term Incentive Compensation Plan Restricted Stock Unit Grant Effective 2017 (filed as Exhibit 10(i)5 to the</w:t>
        </w:r>
      </w:hyperlink>
      <w:r>
        <w:rPr>
          <w:rFonts w:ascii="Arial" w:cs="Arial" w:eastAsia="Arial" w:hAnsi="Arial"/>
          <w:sz w:val="16"/>
          <w:szCs w:val="16"/>
          <w:color w:val="0000FF"/>
        </w:rPr>
        <w:t xml:space="preserve"> </w:t>
      </w:r>
      <w:hyperlink r:id="rId110">
        <w:r>
          <w:rPr>
            <w:rFonts w:ascii="Arial" w:cs="Arial" w:eastAsia="Arial" w:hAnsi="Arial"/>
            <w:sz w:val="16"/>
            <w:szCs w:val="16"/>
            <w:u w:val="single" w:color="auto"/>
            <w:color w:val="0000FF"/>
          </w:rPr>
          <w:t>2016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+*10(i)6</w:t>
        </w:r>
      </w:hyperlink>
      <w:r>
        <w:rPr>
          <w:rFonts w:ascii="Arial" w:cs="Arial" w:eastAsia="Arial" w:hAnsi="Arial"/>
          <w:sz w:val="16"/>
          <w:szCs w:val="16"/>
          <w:color w:val="0000FF"/>
        </w:rPr>
        <w:tab/>
        <w:t xml:space="preserve">— </w:t>
      </w:r>
      <w:hyperlink r:id="rId112">
        <w:r>
          <w:rPr>
            <w:rFonts w:ascii="Arial" w:cs="Arial" w:eastAsia="Arial" w:hAnsi="Arial"/>
            <w:sz w:val="16"/>
            <w:szCs w:val="16"/>
            <w:u w:val="single" w:color="auto"/>
            <w:color w:val="0000FF"/>
          </w:rPr>
          <w:t>Form of ALLETE Executive Long-Term Incentive Compensation Plan Performance Share Grant Effective 2017 (filed as Exhibit 10(i)6 to the 2016</w:t>
        </w:r>
      </w:hyperlink>
      <w:r>
        <w:rPr>
          <w:rFonts w:ascii="Arial" w:cs="Arial" w:eastAsia="Arial" w:hAnsi="Arial"/>
          <w:sz w:val="16"/>
          <w:szCs w:val="16"/>
          <w:color w:val="0000FF"/>
        </w:rPr>
        <w:t xml:space="preserve"> </w:t>
      </w:r>
      <w:hyperlink r:id="rId112">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+*10(i)7</w:t>
        </w:r>
      </w:hyperlink>
      <w:r>
        <w:rPr>
          <w:rFonts w:ascii="Arial" w:cs="Arial" w:eastAsia="Arial" w:hAnsi="Arial"/>
          <w:sz w:val="16"/>
          <w:szCs w:val="16"/>
          <w:color w:val="0000FF"/>
        </w:rPr>
        <w:tab/>
        <w:t xml:space="preserve">— </w:t>
      </w:r>
      <w:hyperlink r:id="rId113">
        <w:r>
          <w:rPr>
            <w:rFonts w:ascii="Arial" w:cs="Arial" w:eastAsia="Arial" w:hAnsi="Arial"/>
            <w:sz w:val="16"/>
            <w:szCs w:val="16"/>
            <w:u w:val="single" w:color="auto"/>
            <w:color w:val="0000FF"/>
          </w:rPr>
          <w:t>Form of ALLETE Executive Long-Term Incentive Compensation Plan Cash Award Effective 2018 (filed as Exhibit 10(b) to the March 31, 2018,</w:t>
        </w:r>
      </w:hyperlink>
      <w:r>
        <w:rPr>
          <w:rFonts w:ascii="Arial" w:cs="Arial" w:eastAsia="Arial" w:hAnsi="Arial"/>
          <w:sz w:val="16"/>
          <w:szCs w:val="16"/>
          <w:color w:val="0000FF"/>
        </w:rPr>
        <w:t xml:space="preserve"> </w:t>
      </w:r>
      <w:hyperlink r:id="rId113">
        <w:r>
          <w:rPr>
            <w:rFonts w:ascii="Arial" w:cs="Arial" w:eastAsia="Arial" w:hAnsi="Arial"/>
            <w:sz w:val="16"/>
            <w:szCs w:val="16"/>
            <w:u w:val="single" w:color="auto"/>
            <w:color w:val="0000FF"/>
          </w:rPr>
          <w:t>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+*10(i)8</w:t>
        </w:r>
      </w:hyperlink>
      <w:r>
        <w:rPr>
          <w:rFonts w:ascii="Arial" w:cs="Arial" w:eastAsia="Arial" w:hAnsi="Arial"/>
          <w:sz w:val="16"/>
          <w:szCs w:val="16"/>
          <w:color w:val="0000FF"/>
        </w:rPr>
        <w:tab/>
        <w:t xml:space="preserve">— </w:t>
      </w:r>
      <w:hyperlink r:id="rId115">
        <w:r>
          <w:rPr>
            <w:rFonts w:ascii="Arial" w:cs="Arial" w:eastAsia="Arial" w:hAnsi="Arial"/>
            <w:sz w:val="16"/>
            <w:szCs w:val="16"/>
            <w:u w:val="single" w:color="auto"/>
            <w:color w:val="0000FF"/>
          </w:rPr>
          <w:t>Form of ALLETE Executive Long-Term Incentive Compensation Plan Restricted Stock Unit Grant Effective 2018 (filed as Exhibit 10(i)7 to the</w:t>
        </w:r>
      </w:hyperlink>
      <w:r>
        <w:rPr>
          <w:rFonts w:ascii="Arial" w:cs="Arial" w:eastAsia="Arial" w:hAnsi="Arial"/>
          <w:sz w:val="16"/>
          <w:szCs w:val="16"/>
          <w:color w:val="0000FF"/>
        </w:rPr>
        <w:t xml:space="preserve"> </w:t>
      </w:r>
      <w:hyperlink r:id="rId115">
        <w:r>
          <w:rPr>
            <w:rFonts w:ascii="Arial" w:cs="Arial" w:eastAsia="Arial" w:hAnsi="Arial"/>
            <w:sz w:val="16"/>
            <w:szCs w:val="16"/>
            <w:u w:val="single" w:color="auto"/>
            <w:color w:val="0000FF"/>
          </w:rPr>
          <w:t>2017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+*10(i)9</w:t>
        </w:r>
      </w:hyperlink>
      <w:r>
        <w:rPr>
          <w:rFonts w:ascii="Arial" w:cs="Arial" w:eastAsia="Arial" w:hAnsi="Arial"/>
          <w:sz w:val="16"/>
          <w:szCs w:val="16"/>
          <w:color w:val="0000FF"/>
        </w:rPr>
        <w:tab/>
        <w:t xml:space="preserve">— </w:t>
      </w:r>
      <w:hyperlink r:id="rId116">
        <w:r>
          <w:rPr>
            <w:rFonts w:ascii="Arial" w:cs="Arial" w:eastAsia="Arial" w:hAnsi="Arial"/>
            <w:sz w:val="16"/>
            <w:szCs w:val="16"/>
            <w:u w:val="single" w:color="auto"/>
            <w:color w:val="0000FF"/>
          </w:rPr>
          <w:t>Form of ALLETE Executive Long-Term Incentive Compensation Plan Performance Share Grant Effective 2018 (filed as Exhibit 10(i)8 to the 2017</w:t>
        </w:r>
      </w:hyperlink>
      <w:r>
        <w:rPr>
          <w:rFonts w:ascii="Arial" w:cs="Arial" w:eastAsia="Arial" w:hAnsi="Arial"/>
          <w:sz w:val="16"/>
          <w:szCs w:val="16"/>
          <w:color w:val="0000FF"/>
        </w:rPr>
        <w:t xml:space="preserve"> </w:t>
      </w:r>
      <w:hyperlink r:id="rId116">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+10(i)10</w:t>
      </w:r>
      <w:r>
        <w:rPr>
          <w:sz w:val="20"/>
          <w:szCs w:val="20"/>
          <w:color w:val="auto"/>
        </w:rPr>
        <w:tab/>
      </w:r>
      <w:r>
        <w:rPr>
          <w:rFonts w:ascii="Arial" w:cs="Arial" w:eastAsia="Arial" w:hAnsi="Arial"/>
          <w:sz w:val="16"/>
          <w:szCs w:val="16"/>
          <w:color w:val="auto"/>
        </w:rPr>
        <w:t>—</w:t>
      </w:r>
      <w:r>
        <w:rPr>
          <w:sz w:val="20"/>
          <w:szCs w:val="20"/>
          <w:color w:val="auto"/>
        </w:rPr>
        <w:tab/>
      </w:r>
      <w:hyperlink w:anchor="page268">
        <w:r>
          <w:rPr>
            <w:rFonts w:ascii="Arial" w:cs="Arial" w:eastAsia="Arial" w:hAnsi="Arial"/>
            <w:sz w:val="15"/>
            <w:szCs w:val="15"/>
            <w:u w:val="single" w:color="auto"/>
            <w:color w:val="0000FF"/>
          </w:rPr>
          <w:t>Form of ALLETE Executive Long-Term Incentive Compensation Plan Restricted Stock Unit Grant Effective 2019.</w:t>
        </w:r>
      </w:hyperlink>
    </w:p>
    <w:p>
      <w:pPr>
        <w:spacing w:after="0" w:line="73"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+10(i)11</w:t>
      </w:r>
      <w:r>
        <w:rPr>
          <w:sz w:val="20"/>
          <w:szCs w:val="20"/>
          <w:color w:val="auto"/>
        </w:rPr>
        <w:tab/>
      </w:r>
      <w:r>
        <w:rPr>
          <w:rFonts w:ascii="Arial" w:cs="Arial" w:eastAsia="Arial" w:hAnsi="Arial"/>
          <w:sz w:val="16"/>
          <w:szCs w:val="16"/>
          <w:color w:val="auto"/>
        </w:rPr>
        <w:t>—</w:t>
      </w:r>
      <w:r>
        <w:rPr>
          <w:sz w:val="20"/>
          <w:szCs w:val="20"/>
          <w:color w:val="auto"/>
        </w:rPr>
        <w:tab/>
      </w:r>
      <w:hyperlink w:anchor="page277">
        <w:r>
          <w:rPr>
            <w:rFonts w:ascii="Arial" w:cs="Arial" w:eastAsia="Arial" w:hAnsi="Arial"/>
            <w:sz w:val="14"/>
            <w:szCs w:val="14"/>
            <w:u w:val="single" w:color="auto"/>
            <w:color w:val="0000FF"/>
          </w:rPr>
          <w:t>Form of ALLETE Executive Long-Term Incentive Compensation Plan Performance Share Grant Effective 2019.</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+*10(j)1</w:t>
        </w:r>
      </w:hyperlink>
      <w:r>
        <w:rPr>
          <w:rFonts w:ascii="Arial" w:cs="Arial" w:eastAsia="Arial" w:hAnsi="Arial"/>
          <w:sz w:val="16"/>
          <w:szCs w:val="16"/>
          <w:color w:val="0000FF"/>
        </w:rPr>
        <w:tab/>
        <w:t xml:space="preserve">— </w:t>
      </w:r>
      <w:hyperlink r:id="rId119">
        <w:r>
          <w:rPr>
            <w:rFonts w:ascii="Arial" w:cs="Arial" w:eastAsia="Arial" w:hAnsi="Arial"/>
            <w:sz w:val="16"/>
            <w:szCs w:val="16"/>
            <w:u w:val="single" w:color="auto"/>
            <w:color w:val="0000FF"/>
          </w:rPr>
          <w:t>Amended and Restated ALLETE Non-Employee Director Stock Plan, effective May 15, 2013 (filed as Exhibit 10(a) to the June 30, 2013, Form 10-</w:t>
        </w:r>
      </w:hyperlink>
      <w:hyperlink r:id="rId119">
        <w:r>
          <w:rPr>
            <w:rFonts w:ascii="Arial" w:cs="Arial" w:eastAsia="Arial" w:hAnsi="Arial"/>
            <w:sz w:val="16"/>
            <w:szCs w:val="16"/>
            <w:u w:val="single" w:color="auto"/>
            <w:color w:val="0000FF"/>
          </w:rPr>
          <w:t>Q,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+*10(k)1</w:t>
        </w:r>
      </w:hyperlink>
      <w:r>
        <w:rPr>
          <w:rFonts w:ascii="Arial" w:cs="Arial" w:eastAsia="Arial" w:hAnsi="Arial"/>
          <w:sz w:val="16"/>
          <w:szCs w:val="16"/>
          <w:color w:val="0000FF"/>
        </w:rPr>
        <w:tab/>
        <w:t xml:space="preserve">— </w:t>
      </w:r>
      <w:hyperlink r:id="rId120">
        <w:r>
          <w:rPr>
            <w:rFonts w:ascii="Arial" w:cs="Arial" w:eastAsia="Arial" w:hAnsi="Arial"/>
            <w:sz w:val="16"/>
            <w:szCs w:val="16"/>
            <w:u w:val="single" w:color="auto"/>
            <w:color w:val="0000FF"/>
          </w:rPr>
          <w:t>ALLETE Non-Employee Director Compensation Summary effective January 1, 2015 (filed as Exhibit 10(l)5 to the 2014 Form 10-K, File No. 1-</w:t>
        </w:r>
      </w:hyperlink>
      <w:hyperlink r:id="rId120">
        <w:r>
          <w:rPr>
            <w:rFonts w:ascii="Arial" w:cs="Arial" w:eastAsia="Arial" w:hAnsi="Arial"/>
            <w:sz w:val="16"/>
            <w:szCs w:val="16"/>
            <w:u w:val="single" w:color="auto"/>
            <w:color w:val="0000FF"/>
          </w:rPr>
          <w:t>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+*10(k)2</w:t>
        </w:r>
      </w:hyperlink>
      <w:r>
        <w:rPr>
          <w:rFonts w:ascii="Arial" w:cs="Arial" w:eastAsia="Arial" w:hAnsi="Arial"/>
          <w:sz w:val="16"/>
          <w:szCs w:val="16"/>
          <w:color w:val="0000FF"/>
        </w:rPr>
        <w:tab/>
        <w:t xml:space="preserve">— </w:t>
      </w:r>
      <w:hyperlink r:id="rId122">
        <w:r>
          <w:rPr>
            <w:rFonts w:ascii="Arial" w:cs="Arial" w:eastAsia="Arial" w:hAnsi="Arial"/>
            <w:sz w:val="16"/>
            <w:szCs w:val="16"/>
            <w:u w:val="single" w:color="auto"/>
            <w:color w:val="0000FF"/>
          </w:rPr>
          <w:t>ALLETE Non-Employee Director Compensation Summary effective January 1, 2017 (filed as Exhibit 10(k)3 to the 2016 Form 10-K, File No. 1-</w:t>
        </w:r>
      </w:hyperlink>
      <w:hyperlink r:id="rId122">
        <w:r>
          <w:rPr>
            <w:rFonts w:ascii="Arial" w:cs="Arial" w:eastAsia="Arial" w:hAnsi="Arial"/>
            <w:sz w:val="16"/>
            <w:szCs w:val="16"/>
            <w:u w:val="single" w:color="auto"/>
            <w:color w:val="0000FF"/>
          </w:rPr>
          <w:t>3548).</w:t>
        </w:r>
      </w:hyperlink>
    </w:p>
    <w:p>
      <w:pPr>
        <w:spacing w:after="0" w:line="10"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+10(k)3</w:t>
      </w:r>
      <w:r>
        <w:rPr>
          <w:sz w:val="20"/>
          <w:szCs w:val="20"/>
          <w:color w:val="auto"/>
        </w:rPr>
        <w:tab/>
      </w:r>
      <w:r>
        <w:rPr>
          <w:rFonts w:ascii="Arial" w:cs="Arial" w:eastAsia="Arial" w:hAnsi="Arial"/>
          <w:sz w:val="16"/>
          <w:szCs w:val="16"/>
          <w:color w:val="auto"/>
        </w:rPr>
        <w:t>—</w:t>
      </w:r>
      <w:r>
        <w:rPr>
          <w:sz w:val="20"/>
          <w:szCs w:val="20"/>
          <w:color w:val="auto"/>
        </w:rPr>
        <w:tab/>
      </w:r>
      <w:hyperlink w:anchor="page286">
        <w:r>
          <w:rPr>
            <w:rFonts w:ascii="Arial" w:cs="Arial" w:eastAsia="Arial" w:hAnsi="Arial"/>
            <w:sz w:val="14"/>
            <w:szCs w:val="14"/>
            <w:u w:val="single" w:color="auto"/>
            <w:color w:val="0000FF"/>
          </w:rPr>
          <w:t>ALLETE Non-Employee Director Compensation Summary effective January 1, 2019.</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+*10(l)1</w:t>
        </w:r>
      </w:hyperlink>
      <w:r>
        <w:rPr>
          <w:rFonts w:ascii="Arial" w:cs="Arial" w:eastAsia="Arial" w:hAnsi="Arial"/>
          <w:sz w:val="16"/>
          <w:szCs w:val="16"/>
          <w:color w:val="0000FF"/>
        </w:rPr>
        <w:tab/>
        <w:t xml:space="preserve">— </w:t>
      </w:r>
      <w:hyperlink r:id="rId124">
        <w:r>
          <w:rPr>
            <w:rFonts w:ascii="Arial" w:cs="Arial" w:eastAsia="Arial" w:hAnsi="Arial"/>
            <w:sz w:val="16"/>
            <w:szCs w:val="16"/>
            <w:u w:val="single" w:color="auto"/>
            <w:color w:val="0000FF"/>
          </w:rPr>
          <w:t>Minnesota Power (now ALLETE) Non-Employee Director Compensation Deferral Plan Amended and Restated, effective January 1, 1990 (filed as</w:t>
        </w:r>
      </w:hyperlink>
      <w:r>
        <w:rPr>
          <w:rFonts w:ascii="Arial" w:cs="Arial" w:eastAsia="Arial" w:hAnsi="Arial"/>
          <w:sz w:val="16"/>
          <w:szCs w:val="16"/>
          <w:color w:val="0000FF"/>
        </w:rPr>
        <w:t xml:space="preserve"> </w:t>
      </w:r>
      <w:hyperlink r:id="rId124">
        <w:r>
          <w:rPr>
            <w:rFonts w:ascii="Arial" w:cs="Arial" w:eastAsia="Arial" w:hAnsi="Arial"/>
            <w:sz w:val="16"/>
            <w:szCs w:val="16"/>
            <w:u w:val="single" w:color="auto"/>
            <w:color w:val="0000FF"/>
          </w:rPr>
          <w:t>Exhibit 10(ac) to the 2002 Form 10-K, File No. 1-3548).</w:t>
        </w:r>
      </w:hyperlink>
    </w:p>
    <w:p>
      <w:pPr>
        <w:sectPr>
          <w:pgSz w:w="11900" w:h="16838" w:orient="portrait"/>
          <w:cols w:equalWidth="0" w:num="1">
            <w:col w:w="11360"/>
          </w:cols>
          <w:pgMar w:left="240" w:top="891" w:right="299" w:bottom="1440" w:gutter="0" w:footer="0" w:header="0"/>
        </w:sectPr>
      </w:pPr>
    </w:p>
    <w:p>
      <w:pPr>
        <w:spacing w:after="0" w:line="222"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7"/>
          <w:szCs w:val="17"/>
          <w:color w:val="auto"/>
        </w:rPr>
        <w:t>ALLETE, Inc. 2018 Form 10-K</w:t>
      </w:r>
    </w:p>
    <w:p>
      <w:pPr>
        <w:spacing w:after="0" w:line="35"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891" w:right="2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gridSpan w:val="7"/>
          </w:tcPr>
          <w:p>
            <w:pPr>
              <w:ind w:left="40"/>
              <w:spacing w:after="0"/>
              <w:rPr>
                <w:rFonts w:ascii="Arial" w:cs="Arial" w:eastAsia="Arial" w:hAnsi="Arial"/>
                <w:sz w:val="16"/>
                <w:szCs w:val="16"/>
                <w:color w:val="0000FF"/>
              </w:rPr>
            </w:pPr>
            <w:hyperlink r:id="rId125">
              <w:r>
                <w:rPr>
                  <w:rFonts w:ascii="Arial" w:cs="Arial" w:eastAsia="Arial" w:hAnsi="Arial"/>
                  <w:sz w:val="16"/>
                  <w:szCs w:val="16"/>
                  <w:color w:val="0000FF"/>
                </w:rPr>
                <w:t>+*10(l)2</w:t>
              </w:r>
            </w:hyperlink>
          </w:p>
        </w:tc>
        <w:tc>
          <w:tcPr>
            <w:tcW w:w="10380" w:type="dxa"/>
            <w:vAlign w:val="bottom"/>
            <w:gridSpan w:val="15"/>
          </w:tcPr>
          <w:p>
            <w:pPr>
              <w:ind w:left="32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25">
              <w:r>
                <w:rPr>
                  <w:rFonts w:ascii="Arial" w:cs="Arial" w:eastAsia="Arial" w:hAnsi="Arial"/>
                  <w:sz w:val="16"/>
                  <w:szCs w:val="16"/>
                  <w:color w:val="0000FF"/>
                  <w:w w:val="94"/>
                </w:rPr>
                <w:t>October 2003 Amendment to the Minnesota Power (now ALLETE) Non-Employee Director Compensation Deferral Plan (filed as Exhibit 10(aa)2 to</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380" w:type="dxa"/>
            <w:vAlign w:val="bottom"/>
            <w:gridSpan w:val="15"/>
          </w:tcPr>
          <w:p>
            <w:pPr>
              <w:ind w:left="640"/>
              <w:spacing w:after="0" w:line="183" w:lineRule="exact"/>
              <w:rPr>
                <w:rFonts w:ascii="Arial" w:cs="Arial" w:eastAsia="Arial" w:hAnsi="Arial"/>
                <w:sz w:val="16"/>
                <w:szCs w:val="16"/>
                <w:color w:val="0000FF"/>
              </w:rPr>
            </w:pPr>
            <w:hyperlink r:id="rId125">
              <w:r>
                <w:rPr>
                  <w:rFonts w:ascii="Arial" w:cs="Arial" w:eastAsia="Arial" w:hAnsi="Arial"/>
                  <w:sz w:val="16"/>
                  <w:szCs w:val="16"/>
                  <w:color w:val="0000FF"/>
                </w:rPr>
                <w:t>the 2003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r:id="rId126">
              <w:r>
                <w:rPr>
                  <w:rFonts w:ascii="Arial" w:cs="Arial" w:eastAsia="Arial" w:hAnsi="Arial"/>
                  <w:sz w:val="16"/>
                  <w:szCs w:val="16"/>
                  <w:color w:val="0000FF"/>
                </w:rPr>
                <w:t>+*10(l)3</w:t>
              </w:r>
            </w:hyperlink>
          </w:p>
        </w:tc>
        <w:tc>
          <w:tcPr>
            <w:tcW w:w="10380" w:type="dxa"/>
            <w:vAlign w:val="bottom"/>
            <w:gridSpan w:val="15"/>
            <w:shd w:val="clear" w:color="auto" w:fill="CCEEFF"/>
          </w:tcPr>
          <w:p>
            <w:pPr>
              <w:ind w:left="32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26">
              <w:r>
                <w:rPr>
                  <w:rFonts w:ascii="Arial" w:cs="Arial" w:eastAsia="Arial" w:hAnsi="Arial"/>
                  <w:sz w:val="16"/>
                  <w:szCs w:val="16"/>
                  <w:color w:val="0000FF"/>
                  <w:w w:val="94"/>
                </w:rPr>
                <w:t>January 2005 Amendment to the ALLETE Non-Employee Director Compensation Deferral Plan (filed as Exhibit 10(c) to the March 31, 2005, Form</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0380" w:type="dxa"/>
            <w:vAlign w:val="bottom"/>
            <w:gridSpan w:val="15"/>
            <w:shd w:val="clear" w:color="auto" w:fill="CCEEFF"/>
          </w:tcPr>
          <w:p>
            <w:pPr>
              <w:ind w:left="640"/>
              <w:spacing w:after="0" w:line="183" w:lineRule="exact"/>
              <w:rPr>
                <w:rFonts w:ascii="Arial" w:cs="Arial" w:eastAsia="Arial" w:hAnsi="Arial"/>
                <w:sz w:val="16"/>
                <w:szCs w:val="16"/>
                <w:color w:val="0000FF"/>
              </w:rPr>
            </w:pPr>
            <w:hyperlink r:id="rId126">
              <w:r>
                <w:rPr>
                  <w:rFonts w:ascii="Arial" w:cs="Arial" w:eastAsia="Arial" w:hAnsi="Arial"/>
                  <w:sz w:val="16"/>
                  <w:szCs w:val="16"/>
                  <w:color w:val="0000FF"/>
                </w:rPr>
                <w:t>10-Q,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1020" w:type="dxa"/>
            <w:vAlign w:val="bottom"/>
            <w:gridSpan w:val="7"/>
          </w:tcPr>
          <w:p>
            <w:pPr>
              <w:ind w:left="40"/>
              <w:spacing w:after="0"/>
              <w:rPr>
                <w:rFonts w:ascii="Arial" w:cs="Arial" w:eastAsia="Arial" w:hAnsi="Arial"/>
                <w:sz w:val="16"/>
                <w:szCs w:val="16"/>
                <w:color w:val="0000FF"/>
              </w:rPr>
            </w:pPr>
            <w:hyperlink r:id="rId127">
              <w:r>
                <w:rPr>
                  <w:rFonts w:ascii="Arial" w:cs="Arial" w:eastAsia="Arial" w:hAnsi="Arial"/>
                  <w:sz w:val="16"/>
                  <w:szCs w:val="16"/>
                  <w:color w:val="0000FF"/>
                </w:rPr>
                <w:t>+*10(l)4</w:t>
              </w:r>
            </w:hyperlink>
          </w:p>
        </w:tc>
        <w:tc>
          <w:tcPr>
            <w:tcW w:w="10380" w:type="dxa"/>
            <w:vAlign w:val="bottom"/>
            <w:gridSpan w:val="15"/>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27">
              <w:r>
                <w:rPr>
                  <w:rFonts w:ascii="Arial" w:cs="Arial" w:eastAsia="Arial" w:hAnsi="Arial"/>
                  <w:sz w:val="16"/>
                  <w:szCs w:val="16"/>
                  <w:color w:val="0000FF"/>
                  <w:w w:val="95"/>
                </w:rPr>
                <w:t>October 2006 Amendment to the ALLETE Non-Employee Director Compensation Deferral Plan (filed as Exhibit 10(d) to the September 30, 2006,</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380" w:type="dxa"/>
            <w:vAlign w:val="bottom"/>
            <w:gridSpan w:val="15"/>
          </w:tcPr>
          <w:p>
            <w:pPr>
              <w:ind w:left="640"/>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Form 10-Q,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r:id="rId128">
              <w:r>
                <w:rPr>
                  <w:rFonts w:ascii="Arial" w:cs="Arial" w:eastAsia="Arial" w:hAnsi="Arial"/>
                  <w:sz w:val="16"/>
                  <w:szCs w:val="16"/>
                  <w:color w:val="0000FF"/>
                </w:rPr>
                <w:t>+*10(l)5</w:t>
              </w:r>
            </w:hyperlink>
          </w:p>
        </w:tc>
        <w:tc>
          <w:tcPr>
            <w:tcW w:w="10380" w:type="dxa"/>
            <w:vAlign w:val="bottom"/>
            <w:gridSpan w:val="15"/>
            <w:shd w:val="clear" w:color="auto" w:fill="CCEEFF"/>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8">
              <w:r>
                <w:rPr>
                  <w:rFonts w:ascii="Arial" w:cs="Arial" w:eastAsia="Arial" w:hAnsi="Arial"/>
                  <w:sz w:val="16"/>
                  <w:szCs w:val="16"/>
                  <w:color w:val="0000FF"/>
                  <w:w w:val="97"/>
                </w:rPr>
                <w:t>July 2012 Amendment to the ALLETE Non-Employee Director Compensation Deferral Plan (filed as Exhibit 10(n)5 to the 2012 Form 10-K, File</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0380" w:type="dxa"/>
            <w:vAlign w:val="bottom"/>
            <w:gridSpan w:val="15"/>
            <w:shd w:val="clear" w:color="auto" w:fill="CCEEFF"/>
          </w:tcPr>
          <w:p>
            <w:pPr>
              <w:ind w:left="640"/>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1020" w:type="dxa"/>
            <w:vAlign w:val="bottom"/>
            <w:gridSpan w:val="7"/>
          </w:tcPr>
          <w:p>
            <w:pPr>
              <w:ind w:left="40"/>
              <w:spacing w:after="0"/>
              <w:rPr>
                <w:rFonts w:ascii="Arial" w:cs="Arial" w:eastAsia="Arial" w:hAnsi="Arial"/>
                <w:sz w:val="16"/>
                <w:szCs w:val="16"/>
                <w:color w:val="0000FF"/>
              </w:rPr>
            </w:pPr>
            <w:hyperlink r:id="rId129">
              <w:r>
                <w:rPr>
                  <w:rFonts w:ascii="Arial" w:cs="Arial" w:eastAsia="Arial" w:hAnsi="Arial"/>
                  <w:sz w:val="16"/>
                  <w:szCs w:val="16"/>
                  <w:color w:val="0000FF"/>
                </w:rPr>
                <w:t>+*10(m)1</w:t>
              </w:r>
            </w:hyperlink>
          </w:p>
        </w:tc>
        <w:tc>
          <w:tcPr>
            <w:tcW w:w="10380" w:type="dxa"/>
            <w:vAlign w:val="bottom"/>
            <w:gridSpan w:val="15"/>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9">
              <w:r>
                <w:rPr>
                  <w:rFonts w:ascii="Arial" w:cs="Arial" w:eastAsia="Arial" w:hAnsi="Arial"/>
                  <w:sz w:val="16"/>
                  <w:szCs w:val="16"/>
                  <w:color w:val="0000FF"/>
                  <w:w w:val="97"/>
                </w:rPr>
                <w:t>ALLETE Non-Employee Director Compensation Deferral Plan II, effective May 1, 2009 (filed as Exhibit 10(a) to the June 30, 2009, Form 10-Q,</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380" w:type="dxa"/>
            <w:vAlign w:val="bottom"/>
            <w:gridSpan w:val="15"/>
          </w:tcPr>
          <w:p>
            <w:pPr>
              <w:ind w:left="640"/>
              <w:spacing w:after="0" w:line="183" w:lineRule="exact"/>
              <w:rPr>
                <w:rFonts w:ascii="Arial" w:cs="Arial" w:eastAsia="Arial" w:hAnsi="Arial"/>
                <w:sz w:val="16"/>
                <w:szCs w:val="16"/>
                <w:color w:val="0000FF"/>
              </w:rPr>
            </w:pPr>
            <w:hyperlink r:id="rId129">
              <w:r>
                <w:rPr>
                  <w:rFonts w:ascii="Arial" w:cs="Arial" w:eastAsia="Arial" w:hAnsi="Arial"/>
                  <w:sz w:val="16"/>
                  <w:szCs w:val="16"/>
                  <w:color w:val="0000FF"/>
                </w:rPr>
                <w:t>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r:id="rId130">
              <w:r>
                <w:rPr>
                  <w:rFonts w:ascii="Arial" w:cs="Arial" w:eastAsia="Arial" w:hAnsi="Arial"/>
                  <w:sz w:val="16"/>
                  <w:szCs w:val="16"/>
                  <w:color w:val="0000FF"/>
                </w:rPr>
                <w:t>+*10(m)2</w:t>
              </w:r>
            </w:hyperlink>
          </w:p>
        </w:tc>
        <w:tc>
          <w:tcPr>
            <w:tcW w:w="10380" w:type="dxa"/>
            <w:vAlign w:val="bottom"/>
            <w:gridSpan w:val="15"/>
            <w:shd w:val="clear" w:color="auto" w:fill="CCEEFF"/>
          </w:tcPr>
          <w:p>
            <w:pPr>
              <w:ind w:left="32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30">
              <w:r>
                <w:rPr>
                  <w:rFonts w:ascii="Arial" w:cs="Arial" w:eastAsia="Arial" w:hAnsi="Arial"/>
                  <w:sz w:val="16"/>
                  <w:szCs w:val="16"/>
                  <w:color w:val="0000FF"/>
                  <w:w w:val="96"/>
                </w:rPr>
                <w:t>ALLETE Non-Employee Director Compensation Deferral Plan II, as amended and restated, effective July 24, 2012 (filed as Exhibit 10(o)2 to the</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0380" w:type="dxa"/>
            <w:vAlign w:val="bottom"/>
            <w:gridSpan w:val="15"/>
            <w:shd w:val="clear" w:color="auto" w:fill="CCEEFF"/>
          </w:tcPr>
          <w:p>
            <w:pPr>
              <w:ind w:left="640"/>
              <w:spacing w:after="0" w:line="183" w:lineRule="exact"/>
              <w:rPr>
                <w:rFonts w:ascii="Arial" w:cs="Arial" w:eastAsia="Arial" w:hAnsi="Arial"/>
                <w:sz w:val="16"/>
                <w:szCs w:val="16"/>
                <w:color w:val="0000FF"/>
              </w:rPr>
            </w:pPr>
            <w:hyperlink r:id="rId130">
              <w:r>
                <w:rPr>
                  <w:rFonts w:ascii="Arial" w:cs="Arial" w:eastAsia="Arial" w:hAnsi="Arial"/>
                  <w:sz w:val="16"/>
                  <w:szCs w:val="16"/>
                  <w:color w:val="0000FF"/>
                </w:rPr>
                <w:t>2012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1020" w:type="dxa"/>
            <w:vAlign w:val="bottom"/>
            <w:gridSpan w:val="7"/>
          </w:tcPr>
          <w:p>
            <w:pPr>
              <w:ind w:left="40"/>
              <w:spacing w:after="0"/>
              <w:rPr>
                <w:rFonts w:ascii="Arial" w:cs="Arial" w:eastAsia="Arial" w:hAnsi="Arial"/>
                <w:sz w:val="16"/>
                <w:szCs w:val="16"/>
                <w:color w:val="0000FF"/>
              </w:rPr>
            </w:pPr>
            <w:hyperlink r:id="rId131">
              <w:r>
                <w:rPr>
                  <w:rFonts w:ascii="Arial" w:cs="Arial" w:eastAsia="Arial" w:hAnsi="Arial"/>
                  <w:sz w:val="16"/>
                  <w:szCs w:val="16"/>
                  <w:color w:val="0000FF"/>
                </w:rPr>
                <w:t>+*10(n)</w:t>
              </w:r>
            </w:hyperlink>
          </w:p>
        </w:tc>
        <w:tc>
          <w:tcPr>
            <w:tcW w:w="10380" w:type="dxa"/>
            <w:vAlign w:val="bottom"/>
            <w:gridSpan w:val="15"/>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31">
              <w:r>
                <w:rPr>
                  <w:rFonts w:ascii="Arial" w:cs="Arial" w:eastAsia="Arial" w:hAnsi="Arial"/>
                  <w:sz w:val="16"/>
                  <w:szCs w:val="16"/>
                  <w:color w:val="0000FF"/>
                  <w:w w:val="93"/>
                </w:rPr>
                <w:t>ALLETE Non-Employee Director Compensation Trust Agreement, as amended and restated, effective December 15, 2012 (filed as Exhibit 10(p)2 to</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380" w:type="dxa"/>
            <w:vAlign w:val="bottom"/>
            <w:gridSpan w:val="15"/>
          </w:tcPr>
          <w:p>
            <w:pPr>
              <w:ind w:left="640"/>
              <w:spacing w:after="0" w:line="183" w:lineRule="exact"/>
              <w:rPr>
                <w:rFonts w:ascii="Arial" w:cs="Arial" w:eastAsia="Arial" w:hAnsi="Arial"/>
                <w:sz w:val="16"/>
                <w:szCs w:val="16"/>
                <w:color w:val="0000FF"/>
              </w:rPr>
            </w:pPr>
            <w:hyperlink r:id="rId131">
              <w:r>
                <w:rPr>
                  <w:rFonts w:ascii="Arial" w:cs="Arial" w:eastAsia="Arial" w:hAnsi="Arial"/>
                  <w:sz w:val="16"/>
                  <w:szCs w:val="16"/>
                  <w:color w:val="0000FF"/>
                </w:rPr>
                <w:t>the 2012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r:id="rId132">
              <w:r>
                <w:rPr>
                  <w:rFonts w:ascii="Arial" w:cs="Arial" w:eastAsia="Arial" w:hAnsi="Arial"/>
                  <w:sz w:val="16"/>
                  <w:szCs w:val="16"/>
                  <w:color w:val="0000FF"/>
                </w:rPr>
                <w:t>+*10(o)1</w:t>
              </w:r>
            </w:hyperlink>
          </w:p>
        </w:tc>
        <w:tc>
          <w:tcPr>
            <w:tcW w:w="10380" w:type="dxa"/>
            <w:vAlign w:val="bottom"/>
            <w:gridSpan w:val="15"/>
            <w:shd w:val="clear" w:color="auto" w:fill="CCEEFF"/>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32">
              <w:r>
                <w:rPr>
                  <w:rFonts w:ascii="Arial" w:cs="Arial" w:eastAsia="Arial" w:hAnsi="Arial"/>
                  <w:sz w:val="16"/>
                  <w:szCs w:val="16"/>
                  <w:color w:val="0000FF"/>
                  <w:w w:val="93"/>
                </w:rPr>
                <w:t>ALLETE and Affiliated Companies Change in Control Severance Plan, as amended and restated, effective January 19, 2011 (filed as Exhibit 10(q) to</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tcBorders>
            <w:shd w:val="clear" w:color="auto" w:fill="CCEEFF"/>
          </w:tcPr>
          <w:p>
            <w:pPr>
              <w:spacing w:after="0"/>
              <w:rPr>
                <w:sz w:val="15"/>
                <w:szCs w:val="15"/>
                <w:color w:val="auto"/>
              </w:rPr>
            </w:pPr>
          </w:p>
        </w:tc>
        <w:tc>
          <w:tcPr>
            <w:tcW w:w="10380" w:type="dxa"/>
            <w:vAlign w:val="bottom"/>
            <w:gridSpan w:val="15"/>
            <w:shd w:val="clear" w:color="auto" w:fill="CCEEFF"/>
          </w:tcPr>
          <w:p>
            <w:pPr>
              <w:ind w:left="640"/>
              <w:spacing w:after="0" w:line="183" w:lineRule="exact"/>
              <w:rPr>
                <w:rFonts w:ascii="Arial" w:cs="Arial" w:eastAsia="Arial" w:hAnsi="Arial"/>
                <w:sz w:val="16"/>
                <w:szCs w:val="16"/>
                <w:color w:val="0000FF"/>
              </w:rPr>
            </w:pPr>
            <w:hyperlink r:id="rId132">
              <w:r>
                <w:rPr>
                  <w:rFonts w:ascii="Arial" w:cs="Arial" w:eastAsia="Arial" w:hAnsi="Arial"/>
                  <w:sz w:val="16"/>
                  <w:szCs w:val="16"/>
                  <w:color w:val="0000FF"/>
                </w:rPr>
                <w:t>the 2010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1020" w:type="dxa"/>
            <w:vAlign w:val="bottom"/>
            <w:gridSpan w:val="7"/>
          </w:tcPr>
          <w:p>
            <w:pPr>
              <w:ind w:left="40"/>
              <w:spacing w:after="0"/>
              <w:rPr>
                <w:rFonts w:ascii="Arial" w:cs="Arial" w:eastAsia="Arial" w:hAnsi="Arial"/>
                <w:sz w:val="16"/>
                <w:szCs w:val="16"/>
                <w:color w:val="0000FF"/>
              </w:rPr>
            </w:pPr>
            <w:hyperlink r:id="rId133">
              <w:r>
                <w:rPr>
                  <w:rFonts w:ascii="Arial" w:cs="Arial" w:eastAsia="Arial" w:hAnsi="Arial"/>
                  <w:sz w:val="16"/>
                  <w:szCs w:val="16"/>
                  <w:color w:val="0000FF"/>
                </w:rPr>
                <w:t>+*10(o)2</w:t>
              </w:r>
            </w:hyperlink>
          </w:p>
        </w:tc>
        <w:tc>
          <w:tcPr>
            <w:tcW w:w="10380" w:type="dxa"/>
            <w:vAlign w:val="bottom"/>
            <w:gridSpan w:val="15"/>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33">
              <w:r>
                <w:rPr>
                  <w:rFonts w:ascii="Arial" w:cs="Arial" w:eastAsia="Arial" w:hAnsi="Arial"/>
                  <w:sz w:val="16"/>
                  <w:szCs w:val="16"/>
                  <w:color w:val="0000FF"/>
                  <w:w w:val="95"/>
                </w:rPr>
                <w:t>ALLETE and Affiliated Companies Change in Control Severance Plan, as amended and restated, effective April 23, 2018 (filed as Exhibit 10(c) to</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380" w:type="dxa"/>
            <w:vAlign w:val="bottom"/>
            <w:gridSpan w:val="15"/>
          </w:tcPr>
          <w:p>
            <w:pPr>
              <w:ind w:left="640"/>
              <w:spacing w:after="0" w:line="183" w:lineRule="exact"/>
              <w:rPr>
                <w:rFonts w:ascii="Arial" w:cs="Arial" w:eastAsia="Arial" w:hAnsi="Arial"/>
                <w:sz w:val="16"/>
                <w:szCs w:val="16"/>
                <w:color w:val="0000FF"/>
              </w:rPr>
            </w:pPr>
            <w:hyperlink r:id="rId133">
              <w:r>
                <w:rPr>
                  <w:rFonts w:ascii="Arial" w:cs="Arial" w:eastAsia="Arial" w:hAnsi="Arial"/>
                  <w:sz w:val="16"/>
                  <w:szCs w:val="16"/>
                  <w:color w:val="0000FF"/>
                </w:rPr>
                <w:t>the March 31, 2018, Form 10-Q,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w:anchor="page287">
              <w:r>
                <w:rPr>
                  <w:rFonts w:ascii="Arial" w:cs="Arial" w:eastAsia="Arial" w:hAnsi="Arial"/>
                  <w:sz w:val="16"/>
                  <w:szCs w:val="16"/>
                  <w:color w:val="0000FF"/>
                </w:rPr>
                <w:t>+10(p)</w:t>
              </w:r>
            </w:hyperlink>
          </w:p>
        </w:tc>
        <w:tc>
          <w:tcPr>
            <w:tcW w:w="10380" w:type="dxa"/>
            <w:vAlign w:val="bottom"/>
            <w:gridSpan w:val="15"/>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87">
              <w:r>
                <w:rPr>
                  <w:rFonts w:ascii="Arial" w:cs="Arial" w:eastAsia="Arial" w:hAnsi="Arial"/>
                  <w:sz w:val="16"/>
                  <w:szCs w:val="16"/>
                  <w:color w:val="0000FF"/>
                </w:rPr>
                <w:t>ALLETE Executive Separation Agreement effective November 29, 2018.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380" w:type="dxa"/>
            <w:vAlign w:val="bottom"/>
            <w:gridSpan w:val="3"/>
          </w:tcPr>
          <w:p>
            <w:pPr>
              <w:ind w:left="40"/>
              <w:spacing w:after="0"/>
              <w:rPr>
                <w:rFonts w:ascii="Arial" w:cs="Arial" w:eastAsia="Arial" w:hAnsi="Arial"/>
                <w:sz w:val="16"/>
                <w:szCs w:val="16"/>
                <w:color w:val="0000FF"/>
              </w:rPr>
            </w:pPr>
            <w:hyperlink w:anchor="page296">
              <w:r>
                <w:rPr>
                  <w:rFonts w:ascii="Arial" w:cs="Arial" w:eastAsia="Arial" w:hAnsi="Arial"/>
                  <w:sz w:val="16"/>
                  <w:szCs w:val="16"/>
                  <w:color w:val="0000FF"/>
                </w:rPr>
                <w:t>21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380" w:type="dxa"/>
            <w:vAlign w:val="bottom"/>
            <w:gridSpan w:val="15"/>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96">
              <w:r>
                <w:rPr>
                  <w:rFonts w:ascii="Arial" w:cs="Arial" w:eastAsia="Arial" w:hAnsi="Arial"/>
                  <w:sz w:val="16"/>
                  <w:szCs w:val="16"/>
                  <w:color w:val="0000FF"/>
                </w:rPr>
                <w:t>Subsidiaries of the Registrant.</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380" w:type="dxa"/>
            <w:vAlign w:val="bottom"/>
            <w:gridSpan w:val="3"/>
            <w:shd w:val="clear" w:color="auto" w:fill="CCEEFF"/>
          </w:tcPr>
          <w:p>
            <w:pPr>
              <w:ind w:left="40"/>
              <w:spacing w:after="0"/>
              <w:rPr>
                <w:rFonts w:ascii="Arial" w:cs="Arial" w:eastAsia="Arial" w:hAnsi="Arial"/>
                <w:sz w:val="16"/>
                <w:szCs w:val="16"/>
                <w:color w:val="0000FF"/>
              </w:rPr>
            </w:pPr>
            <w:hyperlink w:anchor="page298">
              <w:r>
                <w:rPr>
                  <w:rFonts w:ascii="Arial" w:cs="Arial" w:eastAsia="Arial" w:hAnsi="Arial"/>
                  <w:sz w:val="16"/>
                  <w:szCs w:val="16"/>
                  <w:color w:val="0000FF"/>
                </w:rPr>
                <w:t>23</w:t>
              </w:r>
            </w:hyperlink>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380" w:type="dxa"/>
            <w:vAlign w:val="bottom"/>
            <w:tcBorders>
              <w:left w:val="single" w:sz="8" w:color="CCEEFF"/>
            </w:tcBorders>
            <w:shd w:val="clear" w:color="auto" w:fill="CCEEFF"/>
          </w:tcPr>
          <w:p>
            <w:pPr>
              <w:spacing w:after="0"/>
              <w:rPr>
                <w:sz w:val="16"/>
                <w:szCs w:val="16"/>
                <w:color w:val="auto"/>
              </w:rPr>
            </w:pPr>
          </w:p>
        </w:tc>
        <w:tc>
          <w:tcPr>
            <w:tcW w:w="10380" w:type="dxa"/>
            <w:vAlign w:val="bottom"/>
            <w:gridSpan w:val="15"/>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98">
              <w:r>
                <w:rPr>
                  <w:rFonts w:ascii="Arial" w:cs="Arial" w:eastAsia="Arial" w:hAnsi="Arial"/>
                  <w:sz w:val="16"/>
                  <w:szCs w:val="16"/>
                  <w:color w:val="0000FF"/>
                </w:rPr>
                <w:t>Consent of Independent Registered Public Accounting Firm.</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1020" w:type="dxa"/>
            <w:vAlign w:val="bottom"/>
            <w:gridSpan w:val="7"/>
          </w:tcPr>
          <w:p>
            <w:pPr>
              <w:ind w:left="40"/>
              <w:spacing w:after="0"/>
              <w:rPr>
                <w:rFonts w:ascii="Arial" w:cs="Arial" w:eastAsia="Arial" w:hAnsi="Arial"/>
                <w:sz w:val="16"/>
                <w:szCs w:val="16"/>
                <w:color w:val="0000FF"/>
              </w:rPr>
            </w:pPr>
            <w:hyperlink w:anchor="page299">
              <w:r>
                <w:rPr>
                  <w:rFonts w:ascii="Arial" w:cs="Arial" w:eastAsia="Arial" w:hAnsi="Arial"/>
                  <w:sz w:val="16"/>
                  <w:szCs w:val="16"/>
                  <w:color w:val="0000FF"/>
                </w:rPr>
                <w:t>31(a)</w:t>
              </w:r>
            </w:hyperlink>
          </w:p>
        </w:tc>
        <w:tc>
          <w:tcPr>
            <w:tcW w:w="10380" w:type="dxa"/>
            <w:vAlign w:val="bottom"/>
            <w:gridSpan w:val="15"/>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99">
              <w:r>
                <w:rPr>
                  <w:rFonts w:ascii="Arial" w:cs="Arial" w:eastAsia="Arial" w:hAnsi="Arial"/>
                  <w:sz w:val="16"/>
                  <w:szCs w:val="16"/>
                  <w:color w:val="0000FF"/>
                </w:rPr>
                <w:t>Rule 13a-14(a)/15d-14(a) Certification by the Chief Executive Officer Pursuant to Section 302 of the Sarbanes-Oxley Act of 2002.</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1020" w:type="dxa"/>
            <w:vAlign w:val="bottom"/>
            <w:gridSpan w:val="7"/>
            <w:shd w:val="clear" w:color="auto" w:fill="CCEEFF"/>
          </w:tcPr>
          <w:p>
            <w:pPr>
              <w:ind w:left="40"/>
              <w:spacing w:after="0"/>
              <w:rPr>
                <w:rFonts w:ascii="Arial" w:cs="Arial" w:eastAsia="Arial" w:hAnsi="Arial"/>
                <w:sz w:val="16"/>
                <w:szCs w:val="16"/>
                <w:color w:val="0000FF"/>
              </w:rPr>
            </w:pPr>
            <w:hyperlink w:anchor="page300">
              <w:r>
                <w:rPr>
                  <w:rFonts w:ascii="Arial" w:cs="Arial" w:eastAsia="Arial" w:hAnsi="Arial"/>
                  <w:sz w:val="16"/>
                  <w:szCs w:val="16"/>
                  <w:color w:val="0000FF"/>
                </w:rPr>
                <w:t>31(b)</w:t>
              </w:r>
            </w:hyperlink>
          </w:p>
        </w:tc>
        <w:tc>
          <w:tcPr>
            <w:tcW w:w="10380" w:type="dxa"/>
            <w:vAlign w:val="bottom"/>
            <w:gridSpan w:val="15"/>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300">
              <w:r>
                <w:rPr>
                  <w:rFonts w:ascii="Arial" w:cs="Arial" w:eastAsia="Arial" w:hAnsi="Arial"/>
                  <w:sz w:val="16"/>
                  <w:szCs w:val="16"/>
                  <w:color w:val="0000FF"/>
                </w:rPr>
                <w:t>Rule 13a-14(a)/15d-14(a) Certification by the Chief Financial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6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17" w:lineRule="exact"/>
        <w:rPr>
          <w:sz w:val="20"/>
          <w:szCs w:val="20"/>
          <w:color w:val="auto"/>
        </w:rPr>
      </w:pPr>
    </w:p>
    <w:p>
      <w:pPr>
        <w:ind w:left="1660" w:right="40" w:hanging="1625"/>
        <w:spacing w:after="0" w:line="293" w:lineRule="auto"/>
        <w:tabs>
          <w:tab w:leader="none" w:pos="1349" w:val="left"/>
        </w:tabs>
        <w:numPr>
          <w:ilvl w:val="0"/>
          <w:numId w:val="19"/>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w:anchor="page301">
        <w:r>
          <w:rPr>
            <w:rFonts w:ascii="Arial" w:cs="Arial" w:eastAsia="Arial" w:hAnsi="Arial"/>
            <w:sz w:val="16"/>
            <w:szCs w:val="16"/>
            <w:u w:val="single" w:color="auto"/>
            <w:color w:val="0000FF"/>
          </w:rPr>
          <w:t>Section 1350 Certification of Annual Report by the Chief Executive Officer and Chief Financial Officer Pursuant to Section 906 of the Sarbanes-</w:t>
        </w:r>
      </w:hyperlink>
      <w:hyperlink w:anchor="page301">
        <w:r>
          <w:rPr>
            <w:rFonts w:ascii="Arial" w:cs="Arial" w:eastAsia="Arial" w:hAnsi="Arial"/>
            <w:sz w:val="16"/>
            <w:szCs w:val="16"/>
            <w:u w:val="single" w:color="auto"/>
            <w:color w:val="0000FF"/>
          </w:rPr>
          <w:t>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95</w:t>
      </w:r>
      <w:r>
        <w:rPr>
          <w:sz w:val="20"/>
          <w:szCs w:val="20"/>
          <w:color w:val="auto"/>
        </w:rPr>
        <w:tab/>
      </w:r>
      <w:r>
        <w:rPr>
          <w:rFonts w:ascii="Arial" w:cs="Arial" w:eastAsia="Arial" w:hAnsi="Arial"/>
          <w:sz w:val="16"/>
          <w:szCs w:val="16"/>
          <w:color w:val="auto"/>
        </w:rPr>
        <w:t>—</w:t>
      </w:r>
      <w:r>
        <w:rPr>
          <w:sz w:val="20"/>
          <w:szCs w:val="20"/>
          <w:color w:val="auto"/>
        </w:rPr>
        <w:tab/>
      </w:r>
      <w:hyperlink w:anchor="page302">
        <w:r>
          <w:rPr>
            <w:rFonts w:ascii="Arial" w:cs="Arial" w:eastAsia="Arial" w:hAnsi="Arial"/>
            <w:sz w:val="14"/>
            <w:szCs w:val="14"/>
            <w:u w:val="single" w:color="auto"/>
            <w:color w:val="0000FF"/>
          </w:rPr>
          <w:t>Mine Safety.</w:t>
        </w:r>
      </w:hyperlink>
    </w:p>
    <w:p>
      <w:pPr>
        <w:spacing w:after="0" w:line="69" w:lineRule="exact"/>
        <w:rPr>
          <w:rFonts w:ascii="Arial" w:cs="Arial" w:eastAsia="Arial" w:hAnsi="Arial"/>
          <w:sz w:val="16"/>
          <w:szCs w:val="16"/>
          <w:u w:val="single" w:color="auto"/>
          <w:color w:val="0000FF"/>
        </w:rPr>
      </w:pPr>
    </w:p>
    <w:p>
      <w:pPr>
        <w:ind w:left="1660" w:right="40" w:hanging="1625"/>
        <w:spacing w:after="0" w:line="275" w:lineRule="auto"/>
        <w:tabs>
          <w:tab w:leader="none" w:pos="1349" w:val="left"/>
        </w:tabs>
        <w:numPr>
          <w:ilvl w:val="0"/>
          <w:numId w:val="20"/>
        </w:numPr>
        <w:rPr>
          <w:rFonts w:ascii="Arial" w:cs="Arial" w:eastAsia="Arial" w:hAnsi="Arial"/>
          <w:sz w:val="16"/>
          <w:szCs w:val="16"/>
          <w:b w:val="1"/>
          <w:bCs w:val="1"/>
          <w:u w:val="single" w:color="auto"/>
          <w:color w:val="0000FF"/>
        </w:rPr>
      </w:pPr>
      <w:r>
        <w:rPr>
          <w:rFonts w:ascii="Arial" w:cs="Arial" w:eastAsia="Arial" w:hAnsi="Arial"/>
          <w:sz w:val="16"/>
          <w:szCs w:val="16"/>
          <w:color w:val="auto"/>
        </w:rPr>
        <w:t xml:space="preserve">— </w:t>
      </w:r>
      <w:hyperlink w:anchor="page303">
        <w:r>
          <w:rPr>
            <w:rFonts w:ascii="Arial" w:cs="Arial" w:eastAsia="Arial" w:hAnsi="Arial"/>
            <w:sz w:val="16"/>
            <w:szCs w:val="16"/>
            <w:b w:val="1"/>
            <w:bCs w:val="1"/>
            <w:u w:val="single" w:color="auto"/>
            <w:color w:val="0000FF"/>
          </w:rPr>
          <w:t>ALLETE News Release dated February 14, 2019, announcing earnings for the year ended December 31, 2018. (This exhibit has been</w:t>
        </w:r>
      </w:hyperlink>
      <w:r>
        <w:rPr>
          <w:rFonts w:ascii="Arial" w:cs="Arial" w:eastAsia="Arial" w:hAnsi="Arial"/>
          <w:sz w:val="16"/>
          <w:szCs w:val="16"/>
          <w:color w:val="auto"/>
        </w:rPr>
        <w:t xml:space="preserve"> </w:t>
      </w:r>
      <w:hyperlink w:anchor="page303">
        <w:r>
          <w:rPr>
            <w:rFonts w:ascii="Arial" w:cs="Arial" w:eastAsia="Arial" w:hAnsi="Arial"/>
            <w:sz w:val="16"/>
            <w:szCs w:val="16"/>
            <w:b w:val="1"/>
            <w:bCs w:val="1"/>
            <w:u w:val="single" w:color="auto"/>
            <w:color w:val="0000FF"/>
          </w:rPr>
          <w:t>furnished and shall not be deemed “filed” for purposes of Section 18 of the Securities Exchange Act of 1934, nor shall it be deemed</w:t>
        </w:r>
      </w:hyperlink>
      <w:r>
        <w:rPr>
          <w:rFonts w:ascii="Arial" w:cs="Arial" w:eastAsia="Arial" w:hAnsi="Arial"/>
          <w:sz w:val="16"/>
          <w:szCs w:val="16"/>
          <w:b w:val="1"/>
          <w:bCs w:val="1"/>
          <w:u w:val="single" w:color="auto"/>
          <w:color w:val="0000FF"/>
        </w:rPr>
        <w:t xml:space="preserve"> </w:t>
      </w:r>
      <w:hyperlink w:anchor="page303">
        <w:r>
          <w:rPr>
            <w:rFonts w:ascii="Arial" w:cs="Arial" w:eastAsia="Arial" w:hAnsi="Arial"/>
            <w:sz w:val="16"/>
            <w:szCs w:val="16"/>
            <w:b w:val="1"/>
            <w:bCs w:val="1"/>
            <w:u w:val="single" w:color="auto"/>
            <w:color w:val="0000FF"/>
          </w:rPr>
          <w:t>incorporated by reference in any filing under the Securities Act of 1933, except as shall be expressly set forth by specific reference in such</w:t>
        </w:r>
      </w:hyperlink>
      <w:r>
        <w:rPr>
          <w:rFonts w:ascii="Arial" w:cs="Arial" w:eastAsia="Arial" w:hAnsi="Arial"/>
          <w:sz w:val="16"/>
          <w:szCs w:val="16"/>
          <w:b w:val="1"/>
          <w:bCs w:val="1"/>
          <w:u w:val="single" w:color="auto"/>
          <w:color w:val="0000FF"/>
        </w:rPr>
        <w:t xml:space="preserve"> </w:t>
      </w:r>
      <w:hyperlink w:anchor="page303">
        <w:r>
          <w:rPr>
            <w:rFonts w:ascii="Arial" w:cs="Arial" w:eastAsia="Arial" w:hAnsi="Arial"/>
            <w:sz w:val="16"/>
            <w:szCs w:val="16"/>
            <w:b w:val="1"/>
            <w:bCs w:val="1"/>
            <w:u w:val="single" w:color="auto"/>
            <w:color w:val="0000FF"/>
          </w:rPr>
          <w:t>filing.)</w:t>
        </w:r>
      </w:hyperlink>
    </w:p>
    <w:p>
      <w:pPr>
        <w:spacing w:after="0" w:line="8"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Instance</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Schema</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Calculation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Definition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Label</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Presentation</w:t>
            </w:r>
          </w:p>
        </w:tc>
      </w:tr>
    </w:tbl>
    <w:p>
      <w:pPr>
        <w:spacing w:after="0" w:line="262"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8"/>
          <w:szCs w:val="18"/>
          <w:color w:val="auto"/>
        </w:rPr>
        <w:t>ALLETE, Inc. 2018 Form 10-K</w:t>
      </w:r>
    </w:p>
    <w:p>
      <w:pPr>
        <w:spacing w:after="0" w:line="23"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89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ALLETE or its subsidiaries are obligors under various long-term debt instruments including, but not limited to, the following:</w:t>
      </w:r>
    </w:p>
    <w:p>
      <w:pPr>
        <w:spacing w:after="0" w:line="225"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$38,995,000 original principal amount, of City of Cohasset, Minnesota, Variable Rate Demand Revenue Refunding Bonds (ALLETE, formerly Minnesota Power &amp; Light Company, Project) Series 1997A ($13,500,000 remaining principal balance);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$27,800,000 of Collier County Industrial Development Authority, Industrial Development Variable Rate Demand Refunding Revenue Bonds Series 2006;</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$6,370,000 of City of Superior, Wisconsin, Collateralized Utility Revenue Refunding Bonds Series 2007A;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$6,130,000 of City of Superior, Wisconsin, Collateralized Utility Revenue Bonds Series 2007B.</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Item 601(b)(4)(iii) of Regulation S-K, these and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29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7" w:lineRule="exact"/>
        <w:rPr>
          <w:sz w:val="20"/>
          <w:szCs w:val="20"/>
          <w:color w:val="auto"/>
        </w:rPr>
      </w:pPr>
    </w:p>
    <w:p>
      <w:pPr>
        <w:ind w:left="620" w:hanging="585"/>
        <w:spacing w:after="0"/>
        <w:tabs>
          <w:tab w:leader="none" w:pos="6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0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and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48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Title</w:t>
            </w:r>
          </w:p>
        </w:tc>
        <w:tc>
          <w:tcPr>
            <w:tcW w:w="22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3"/>
              </w:rPr>
              <w:t>Chairman, Chief Executive Officer and Director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14, 2019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3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6"/>
              </w:rPr>
              <w:t>Alan R. Hodnik</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2"/>
              </w:rPr>
              <w:t>Senior Vice President and Chief Financial Officer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14, 2019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50"/>
              <w:spacing w:after="0"/>
              <w:rPr>
                <w:sz w:val="20"/>
                <w:szCs w:val="20"/>
                <w:color w:val="auto"/>
              </w:rPr>
            </w:pPr>
            <w:r>
              <w:rPr>
                <w:rFonts w:ascii="Arial" w:cs="Arial" w:eastAsia="Arial" w:hAnsi="Arial"/>
                <w:sz w:val="18"/>
                <w:szCs w:val="18"/>
                <w:color w:val="auto"/>
                <w:w w:val="94"/>
              </w:rPr>
              <w:t>(Principal Financial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3"/>
              </w:rPr>
              <w:t>Vice President, Controller and Chief Accounting Officer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14, 2019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60" w:type="dxa"/>
            <w:vAlign w:val="bottom"/>
          </w:tcPr>
          <w:p>
            <w:pPr>
              <w:spacing w:after="0"/>
              <w:rPr>
                <w:sz w:val="24"/>
                <w:szCs w:val="24"/>
                <w:color w:val="auto"/>
              </w:rPr>
            </w:pPr>
          </w:p>
        </w:tc>
        <w:tc>
          <w:tcPr>
            <w:tcW w:w="5480" w:type="dxa"/>
            <w:vAlign w:val="bottom"/>
          </w:tcPr>
          <w:p>
            <w:pPr>
              <w:jc w:val="center"/>
              <w:ind w:right="1290"/>
              <w:spacing w:after="0"/>
              <w:rPr>
                <w:sz w:val="20"/>
                <w:szCs w:val="20"/>
                <w:color w:val="auto"/>
              </w:rPr>
            </w:pPr>
            <w:r>
              <w:rPr>
                <w:rFonts w:ascii="Arial" w:cs="Arial" w:eastAsia="Arial" w:hAnsi="Arial"/>
                <w:sz w:val="18"/>
                <w:szCs w:val="18"/>
                <w:color w:val="auto"/>
                <w:w w:val="95"/>
              </w:rPr>
              <w:t>ALLETE, Inc. 2018 Form 10-K</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5480" w:type="dxa"/>
            <w:vAlign w:val="bottom"/>
          </w:tcPr>
          <w:p>
            <w:pPr>
              <w:jc w:val="right"/>
              <w:ind w:right="3250"/>
              <w:spacing w:after="0"/>
              <w:rPr>
                <w:sz w:val="20"/>
                <w:szCs w:val="20"/>
                <w:color w:val="auto"/>
              </w:rPr>
            </w:pPr>
            <w:r>
              <w:rPr>
                <w:rFonts w:ascii="Arial" w:cs="Arial" w:eastAsia="Arial" w:hAnsi="Arial"/>
                <w:sz w:val="18"/>
                <w:szCs w:val="18"/>
                <w:color w:val="auto"/>
              </w:rPr>
              <w:t>67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64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Sidney W. Emery,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Sidney W. Emery,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/s/ James S. Haines,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James S. Haines,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James J. Hoolihan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Heidi E. Jimmerson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Susan K. Nestegard</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Susan K. Nestegard</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Douglas C. Neve</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Bethany M. Owen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7"/>
              </w:rPr>
              <w:t>/s/ Robert P. Powers</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7"/>
              </w:rPr>
              <w:t>Robert P. Powers</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14, 2019</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Leonard C. Rodman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660" w:type="dxa"/>
            <w:vAlign w:val="bottom"/>
          </w:tcPr>
          <w:p>
            <w:pPr>
              <w:spacing w:after="0"/>
              <w:rPr>
                <w:sz w:val="24"/>
                <w:szCs w:val="24"/>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95"/>
              </w:rPr>
              <w:t>ALLETE, Inc. 2018 Form 10-K</w:t>
            </w:r>
          </w:p>
        </w:tc>
        <w:tc>
          <w:tcPr>
            <w:tcW w:w="312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89"/>
              </w:rPr>
              <w:t>68</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702" w:right="239" w:bottom="1440" w:gutter="0" w:footer="0" w:header="0"/>
        </w:sectPr>
      </w:pPr>
    </w:p>
    <w:bookmarkStart w:id="69" w:name="page70"/>
    <w:bookmarkEnd w:id="6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ALLETE, Inc. and its subsidiaries (the “Company”) as of December 31, 2018 and 2017, and the related consolidated statements of income, comprehensive income, equity and cash flows for each of the three years in the period ended December 31, 2018, including the related notes and schedule of valuation and qualifying accounts and reserves for each of the three years in the period ended December 31, 2018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702" w:right="25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 (Continued)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70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$1.7 and $2.1)</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144.4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34.1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334.3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3,904.4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3,822.4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161.1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223.3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103.3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$5,165.0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$5,080.0</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$149.8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$136.3</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17.9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128.5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405.1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1,428.5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1,439.2</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223.6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512.1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532.0</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177.3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262.6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267.1</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3,009.2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3,011.8</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11)</w:t>
            </w: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w w:val="97"/>
              </w:rPr>
              <w:t>Common Stock Without Par Value, 80.0 Shares Authorized, 51.5 and 51.1 Shares Issued and Outstanding</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1,428.5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754.6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689.4</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2,155.8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2,068.2</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$5,165.0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$5,080.0</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0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Contracts with Customers – 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$1,059.5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$1,063.8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$1,000.7</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Contracts with Customers – Non-utility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415.5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331.9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Other – Non-utility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1,498.6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1,419.3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1,339.7</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407.5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396.9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Transmission Services – 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69.9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71.2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65.2</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 Non-utility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218.0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340.5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344.1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340.9</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205.6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57.9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56.9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1,297.4</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1,193.4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201.2</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225.9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(67.9)</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(67.8)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17.5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22.5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(42.6)</w:t>
            </w:r>
          </w:p>
        </w:tc>
        <w:tc>
          <w:tcPr>
            <w:tcW w:w="1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(39.0)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158.6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186.9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680" w:type="dxa"/>
            <w:vAlign w:val="bottom"/>
          </w:tcPr>
          <w:p>
            <w:pPr>
              <w:jc w:val="right"/>
              <w:ind w:right="310"/>
              <w:spacing w:after="0"/>
              <w:rPr>
                <w:sz w:val="20"/>
                <w:szCs w:val="20"/>
                <w:color w:val="auto"/>
              </w:rPr>
            </w:pPr>
            <w:r>
              <w:rPr>
                <w:rFonts w:ascii="Arial" w:cs="Arial" w:eastAsia="Arial" w:hAnsi="Arial"/>
                <w:sz w:val="18"/>
                <w:szCs w:val="18"/>
                <w:color w:val="auto"/>
              </w:rPr>
              <w:t>(15.5)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14.7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174.1</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172.2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$174.1</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$172.2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51.3</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50.8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51.5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51.0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$3.38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$3.38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0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Comprehensive Income</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$174.1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$172.2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Expense (Benefit) of $–, $0.7 and $(0.2)</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Expense (Benefit) of $0.3, $2.2 and $(2.4)</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4.7</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175.0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177.8</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152.1</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$175.0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$177.8</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$151.6</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0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$174.1</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$172.2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$155.8</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Income from Equity Investments – Net of Dividends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(0.7)</w:t>
            </w: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 Adjustment Clause Charge</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Loss (Gain) on Sales of Investments and Property, Plant and Equipment</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0.4</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200.1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171.9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Amortization of PSAs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(23.6)</w:t>
            </w: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Intangible Assets and Other Assets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Deferred Income Tax Expense (Benefit)</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(15.8)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14.4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and ESOP Compensation Expense</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6.8</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8.6</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Provision for Interim Rate Refund</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16.3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32.3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Provision for Tax Reform Refund</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7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55.5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Prepayments and Other</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13.6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(7.5)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Plans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(15.0)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(31.7)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Operating Activities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433.1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402.9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10.2</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(13.3)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(8.6)</w:t>
            </w: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of Subsidiaries – Net of Cash and Restricted Cash Acquired</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Equity Investments</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(39.2)</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(7.8)</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(312.4)</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(208.5)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5.7</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for Investing Activities</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(349.0)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(229.0)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20.3</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86.0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75.6</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131.5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Long-Term Debt</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(189.6)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 Payments</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(115.0)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(108.7)</w:t>
            </w:r>
          </w:p>
        </w:tc>
        <w:tc>
          <w:tcPr>
            <w:tcW w:w="106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7"/>
        </w:trPr>
        <w:tc>
          <w:tcPr>
            <w:tcW w:w="6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7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for Financing Activities</w:t>
            </w:r>
          </w:p>
        </w:tc>
        <w:tc>
          <w:tcPr>
            <w:tcW w:w="21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(115.2)</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(102.1)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w:t>
            </w:r>
          </w:p>
        </w:tc>
      </w:tr>
      <w:tr>
        <w:trPr>
          <w:trHeight w:val="27"/>
        </w:trPr>
        <w:tc>
          <w:tcPr>
            <w:tcW w:w="6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Cash Equivalents and Restricted Cash</w:t>
            </w:r>
          </w:p>
        </w:tc>
        <w:tc>
          <w:tcPr>
            <w:tcW w:w="2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110.1</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38.3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
        </w:trPr>
        <w:tc>
          <w:tcPr>
            <w:tcW w:w="6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$79.0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67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02" w:right="239" w:bottom="531"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Accumulated</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jc w:val="center"/>
              <w:ind w:right="51"/>
              <w:spacing w:after="0"/>
              <w:rPr>
                <w:sz w:val="20"/>
                <w:szCs w:val="20"/>
                <w:color w:val="auto"/>
              </w:rPr>
            </w:pPr>
            <w:r>
              <w:rPr>
                <w:rFonts w:ascii="Arial" w:cs="Arial" w:eastAsia="Arial" w:hAnsi="Arial"/>
                <w:sz w:val="16"/>
                <w:szCs w:val="16"/>
                <w:b w:val="1"/>
                <w:bCs w:val="1"/>
                <w:color w:val="auto"/>
                <w:w w:val="98"/>
              </w:rPr>
              <w:t>Other</w:t>
            </w:r>
          </w:p>
        </w:tc>
        <w:tc>
          <w:tcPr>
            <w:tcW w:w="9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Non-Controlling</w:t>
            </w:r>
          </w:p>
        </w:tc>
      </w:tr>
      <w:tr>
        <w:trPr>
          <w:trHeight w:val="203"/>
        </w:trPr>
        <w:tc>
          <w:tcPr>
            <w:tcW w:w="5620" w:type="dxa"/>
            <w:vAlign w:val="bottom"/>
          </w:tcPr>
          <w:p>
            <w:pPr>
              <w:spacing w:after="0"/>
              <w:rPr>
                <w:sz w:val="17"/>
                <w:szCs w:val="17"/>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jc w:val="right"/>
              <w:ind w:right="191"/>
              <w:spacing w:after="0"/>
              <w:rPr>
                <w:sz w:val="20"/>
                <w:szCs w:val="20"/>
                <w:color w:val="auto"/>
              </w:rPr>
            </w:pPr>
            <w:r>
              <w:rPr>
                <w:rFonts w:ascii="Arial" w:cs="Arial" w:eastAsia="Arial" w:hAnsi="Arial"/>
                <w:sz w:val="16"/>
                <w:szCs w:val="16"/>
                <w:b w:val="1"/>
                <w:bCs w:val="1"/>
                <w:color w:val="auto"/>
              </w:rPr>
              <w:t>Retained</w:t>
            </w:r>
          </w:p>
        </w:tc>
        <w:tc>
          <w:tcPr>
            <w:tcW w:w="148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Comprehensive</w:t>
            </w:r>
          </w:p>
        </w:tc>
        <w:tc>
          <w:tcPr>
            <w:tcW w:w="940" w:type="dxa"/>
            <w:vAlign w:val="bottom"/>
          </w:tcPr>
          <w:p>
            <w:pPr>
              <w:jc w:val="right"/>
              <w:ind w:right="91"/>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Interest in</w:t>
            </w:r>
          </w:p>
        </w:tc>
      </w:tr>
      <w:tr>
        <w:trPr>
          <w:trHeight w:val="210"/>
        </w:trPr>
        <w:tc>
          <w:tcPr>
            <w:tcW w:w="562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1100" w:type="dxa"/>
            <w:vAlign w:val="bottom"/>
          </w:tcPr>
          <w:p>
            <w:pPr>
              <w:jc w:val="right"/>
              <w:ind w:right="171"/>
              <w:spacing w:after="0"/>
              <w:rPr>
                <w:sz w:val="20"/>
                <w:szCs w:val="20"/>
                <w:color w:val="auto"/>
              </w:rPr>
            </w:pPr>
            <w:r>
              <w:rPr>
                <w:rFonts w:ascii="Arial" w:cs="Arial" w:eastAsia="Arial" w:hAnsi="Arial"/>
                <w:sz w:val="16"/>
                <w:szCs w:val="16"/>
                <w:b w:val="1"/>
                <w:bCs w:val="1"/>
                <w:color w:val="auto"/>
              </w:rPr>
              <w:t>Earnings</w:t>
            </w:r>
          </w:p>
        </w:tc>
        <w:tc>
          <w:tcPr>
            <w:tcW w:w="1480" w:type="dxa"/>
            <w:vAlign w:val="bottom"/>
          </w:tcPr>
          <w:p>
            <w:pPr>
              <w:jc w:val="center"/>
              <w:ind w:right="51"/>
              <w:spacing w:after="0"/>
              <w:rPr>
                <w:sz w:val="20"/>
                <w:szCs w:val="20"/>
                <w:color w:val="auto"/>
              </w:rPr>
            </w:pPr>
            <w:r>
              <w:rPr>
                <w:rFonts w:ascii="Arial" w:cs="Arial" w:eastAsia="Arial" w:hAnsi="Arial"/>
                <w:sz w:val="16"/>
                <w:szCs w:val="16"/>
                <w:b w:val="1"/>
                <w:bCs w:val="1"/>
                <w:color w:val="auto"/>
                <w:w w:val="80"/>
              </w:rPr>
              <w:t>Loss</w:t>
            </w:r>
          </w:p>
        </w:tc>
        <w:tc>
          <w:tcPr>
            <w:tcW w:w="940" w:type="dxa"/>
            <w:vAlign w:val="bottom"/>
          </w:tcPr>
          <w:p>
            <w:pPr>
              <w:jc w:val="right"/>
              <w:ind w:right="231"/>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Subsidiaries</w:t>
            </w:r>
          </w:p>
        </w:tc>
      </w:tr>
      <w:tr>
        <w:trPr>
          <w:trHeight w:val="33"/>
        </w:trPr>
        <w:tc>
          <w:tcPr>
            <w:tcW w:w="5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$1,822.4</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$573.3</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$1,271.4</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155.3</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Securities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1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Retired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040" w:type="dxa"/>
            <w:vAlign w:val="bottom"/>
          </w:tcPr>
          <w:p>
            <w:pPr>
              <w:jc w:val="right"/>
              <w:spacing w:after="0"/>
              <w:rPr>
                <w:sz w:val="20"/>
                <w:szCs w:val="20"/>
                <w:color w:val="auto"/>
              </w:rPr>
            </w:pPr>
            <w:r>
              <w:rPr>
                <w:rFonts w:ascii="Arial" w:cs="Arial" w:eastAsia="Arial" w:hAnsi="Arial"/>
                <w:sz w:val="18"/>
                <w:szCs w:val="18"/>
                <w:color w:val="auto"/>
              </w:rPr>
              <w:t>(102.7)</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(102.7)</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1,893.0</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625.9</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1,295.3</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172.2</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172.2</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Gain on Securities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0.9</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177.8</w:t>
            </w: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(108.7)</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2,068.2</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689.4</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1,401.4</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2,068.7</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695.5</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1,401.4</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174.1</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Comprehensive Income – Net of Income Taxes</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Debt Securities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w:t>
            </w:r>
          </w:p>
        </w:tc>
        <w:tc>
          <w:tcPr>
            <w:tcW w:w="1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$2,155.8</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$754.6</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$1,428.5</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impacts associated with the adoption of accounting standards concerning Financial Instruments, Revenue from Contracts with Customers and the Reclassification of Certain Tax Effects from Accumulated Other Comprehensive Income. (See Note 1. Operations and Significant Accounting Policies.)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0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the Company entered into a stock purchase agreement providing for the sale of U.S. Water Services to a subsidiary of Kurita Water Industries Ltd. for a cash purchase price of $270 million, subject to adjustment at closing, such as for changes in working capital. The transaction is expected to close by the end of the first quarter of 2019 upon receipt of regulatory approval. The Company expects to recognize a gain on the sale of U.S. Water Services estimated at approximately $10 million after-tax.</w:t>
      </w:r>
    </w:p>
    <w:p>
      <w:pPr>
        <w:spacing w:after="0" w:line="183"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w:t>
      </w:r>
      <w:r>
        <w:rPr>
          <w:rFonts w:ascii="MS PGothic" w:cs="MS PGothic" w:eastAsia="MS PGothic" w:hAnsi="MS PGothic"/>
          <w:sz w:val="16"/>
          <w:szCs w:val="16"/>
          <w:color w:val="auto"/>
        </w:rPr>
        <w:t>‑</w:t>
      </w:r>
      <w:r>
        <w:rPr>
          <w:rFonts w:ascii="Arial" w:cs="Arial" w:eastAsia="Arial" w:hAnsi="Arial"/>
          <w:sz w:val="16"/>
          <w:szCs w:val="16"/>
          <w:color w:val="auto"/>
        </w:rPr>
        <w:t>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four states, approximately 545 MW of nameplate capacity wind energy generation that is contracted under PSAs of various durations. ALLETE Clean Energy also engages in the development of wind energy facilities to operate under long-term PSAs or for sale to others upon completion.</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investment in Nobles 2, ALLETE Properties, other business development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BNI Energy mines and sells lignite coal to two North Dakota mine-mouth generating units, one of which is Square Butte. In 2018, Square Butte supplied 50 percent (227.5 MW) of its output to Minnesota Power under long-term contracts. (See Note 11. Commitments, Guarantees and Contingencies.)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 (See Note 8. Investments.)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0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cash amounts included in Prepayments and Other on the Consolidated Balance Sheet include collateral deposits required under an ALLETE Clean Energy loan agreement and U.S. Water Services’ standby letters of credit. The restricted cash amounts included in Other Non-Current Assets represent collateral deposits required under an ALLETE Clean Energy loan agreement and PSAs, and deposits from a SWL&amp;P customer in aid of future capital expenditures. The following table provides a reconciliation of cash, cash equivalents and restricted cash reported within the Consolidated Balance Sheet that aggregate to the amount presented in the Consolidated Statement of Cash Flows. During the first quarter of 2018, the Company updated the presentation of its Consolidated Statement of Cash Flows to include restricted cash with cash and cash equivalents when reconciling the beginning-of-period and end-of-period total amounts shown on the Consolidated Statement of Cash Flows. (See </w:t>
      </w:r>
      <w:r>
        <w:rPr>
          <w:rFonts w:ascii="Arial" w:cs="Arial" w:eastAsia="Arial" w:hAnsi="Arial"/>
          <w:sz w:val="16"/>
          <w:szCs w:val="16"/>
          <w:i w:val="1"/>
          <w:iCs w:val="1"/>
          <w:color w:val="auto"/>
        </w:rPr>
        <w:t>Recently Adopted Pronouncements - Statement of Cash Flows: Restricted Cash</w:t>
      </w:r>
      <w:r>
        <w:rPr>
          <w:rFonts w:ascii="Arial" w:cs="Arial" w:eastAsia="Arial" w:hAnsi="Arial"/>
          <w:sz w:val="16"/>
          <w:szCs w:val="16"/>
          <w:color w:val="auto"/>
        </w:rPr>
        <w:t>.)</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12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23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$69.1</w:t>
            </w:r>
          </w:p>
        </w:tc>
        <w:tc>
          <w:tcPr>
            <w:tcW w:w="10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$98.9</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Restricted Cash included in Prepayments and Other</w:t>
            </w: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1"/>
                <w:szCs w:val="21"/>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color w:val="auto"/>
              </w:rPr>
              <w:t>2.6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Non-Current Assets</w:t>
            </w:r>
          </w:p>
        </w:tc>
        <w:tc>
          <w:tcPr>
            <w:tcW w:w="21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8.6</w:t>
            </w:r>
          </w:p>
        </w:tc>
        <w:tc>
          <w:tcPr>
            <w:tcW w:w="10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8.6</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Cash Equivalents and Restricted Cash on the Consolidated</w:t>
            </w:r>
          </w:p>
        </w:tc>
        <w:tc>
          <w:tcPr>
            <w:tcW w:w="2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5680" w:type="dxa"/>
            <w:vAlign w:val="bottom"/>
          </w:tcPr>
          <w:p>
            <w:pPr>
              <w:ind w:left="40"/>
              <w:spacing w:after="0"/>
              <w:rPr>
                <w:sz w:val="20"/>
                <w:szCs w:val="20"/>
                <w:color w:val="auto"/>
              </w:rPr>
            </w:pPr>
            <w:r>
              <w:rPr>
                <w:rFonts w:ascii="Arial" w:cs="Arial" w:eastAsia="Arial" w:hAnsi="Arial"/>
                <w:sz w:val="18"/>
                <w:szCs w:val="18"/>
                <w:color w:val="auto"/>
              </w:rPr>
              <w:t>Statement of Cash Flows</w:t>
            </w: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$79.0</w:t>
            </w:r>
          </w:p>
        </w:tc>
        <w:tc>
          <w:tcPr>
            <w:tcW w:w="106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color w:val="auto"/>
                <w:w w:val="94"/>
              </w:rPr>
              <w:t>$110.1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Consolidated Statement of Cash Flows</w:t>
            </w: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6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Remeasurement of Deferred Income Taxes Resulting from the TCJA</w:t>
            </w:r>
          </w:p>
        </w:tc>
        <w:tc>
          <w:tcPr>
            <w:tcW w:w="2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Regulatory Assets</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Decrease in Investment in ATC</w:t>
            </w:r>
          </w:p>
        </w:tc>
        <w:tc>
          <w:tcPr>
            <w:tcW w:w="2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$(27.9)</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Deferred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$(353.6)</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Increase in Regulatory Liabilities</w:t>
            </w:r>
          </w:p>
        </w:tc>
        <w:tc>
          <w:tcPr>
            <w:tcW w:w="2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80"/>
              <w:spacing w:after="0"/>
              <w:rPr>
                <w:sz w:val="20"/>
                <w:szCs w:val="20"/>
                <w:color w:val="auto"/>
              </w:rPr>
            </w:pPr>
            <w:r>
              <w:rPr>
                <w:rFonts w:ascii="Arial" w:cs="Arial" w:eastAsia="Arial" w:hAnsi="Arial"/>
                <w:sz w:val="18"/>
                <w:szCs w:val="18"/>
                <w:color w:val="auto"/>
                <w:w w:val="97"/>
              </w:rPr>
              <w:t>Increase (Decrease) in Accounts Payable for Capital Additions to Property, Plant and Equipment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$(22.0)</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Capitalized Asset Retirement Costs</w:t>
            </w:r>
          </w:p>
        </w:tc>
        <w:tc>
          <w:tcPr>
            <w:tcW w:w="2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Camp Ripley Solar Financing</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Pension Plans</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ALLETE Common Stock Received for Land Inventory</w:t>
            </w:r>
          </w:p>
        </w:tc>
        <w:tc>
          <w:tcPr>
            <w:tcW w:w="2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5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Finance Receivable for Land Inventory</w:t>
            </w:r>
          </w:p>
        </w:tc>
        <w:tc>
          <w:tcPr>
            <w:tcW w:w="2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56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jc w:val="both"/>
        <w:ind w:left="340" w:hanging="332"/>
        <w:spacing w:after="0" w:line="252"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On February 28, 2018, Montana-Dakota Utilities exercised its option to purchase the Thunder Spirit II wind energy facility upon completion, resulting in a $46.3 million reclassification from Property, Plant and Equipment – Net to Inventories – Net for project costs incurred in the prior year. On the Consolidated Statement of Cash Flows, the sale of the wind energy facility in the fourth quarter of 2018 resulted in Operating Activities – Inventories increasing by $46.3 million in 2018 due to the project costs incurred in the prior year.</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our evaluation of the receivable portfolio under current conditions, overall portfolio quality, review of specific situations and such other factors that, in our judgment, deserve recognition in estimating losses.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0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Billed</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$121.7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6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2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1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4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$144.4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r>
      <w:tr>
        <w:trPr>
          <w:trHeight w:val="20"/>
        </w:trPr>
        <w:tc>
          <w:tcPr>
            <w:tcW w:w="614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We are subject to concentration of credit risk primarily as a result of accounts receivable. Minnesota Power sells electricity to</w:t>
      </w:r>
      <w:r>
        <w:rPr>
          <w:rFonts w:ascii="Arial" w:cs="Arial" w:eastAsia="Arial" w:hAnsi="Arial"/>
          <w:sz w:val="18"/>
          <w:szCs w:val="18"/>
          <w:b w:val="1"/>
          <w:bCs w:val="1"/>
          <w:color w:val="auto"/>
        </w:rPr>
        <w:t xml:space="preserve"> </w:t>
      </w:r>
      <w:r>
        <w:rPr>
          <w:rFonts w:ascii="Arial" w:cs="Arial" w:eastAsia="Arial" w:hAnsi="Arial"/>
          <w:sz w:val="18"/>
          <w:szCs w:val="18"/>
          <w:color w:val="auto"/>
        </w:rPr>
        <w:t>eight Large Power Customers. Receivables from these customers totaled $11.7 million as of December 31, 2018 ($13.8 million as of December 31, 2017).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One of these customers accounted for 10 percent of consolidated operating revenue in 2018 (10 percent in 2017 and 8 percent in 2016).</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Available-for-sale debt and equity securities are recorded at fair value. Unrealized gains and losses on available-for-sale debt</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included in accumulated other comprehensive income (loss), net of tax. Unrealized gains and losses on available-for-sale equity securities are recognized in earnings. We use the specific identification method as the basis for determining the cost of securities sold. (See Note 8. Investments.)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U.S. Water Services and ALLETE Clean Energy segments,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35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5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500" w:type="dxa"/>
            <w:vAlign w:val="bottom"/>
          </w:tcPr>
          <w:p>
            <w:pPr>
              <w:jc w:val="right"/>
              <w:ind w:right="530"/>
              <w:spacing w:after="0"/>
              <w:rPr>
                <w:sz w:val="20"/>
                <w:szCs w:val="20"/>
                <w:color w:val="auto"/>
              </w:rPr>
            </w:pPr>
            <w:r>
              <w:rPr>
                <w:rFonts w:ascii="Arial" w:cs="Arial" w:eastAsia="Arial" w:hAnsi="Arial"/>
                <w:sz w:val="18"/>
                <w:szCs w:val="18"/>
                <w:color w:val="auto"/>
              </w:rPr>
              <w:t>44.2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500" w:type="dxa"/>
            <w:vAlign w:val="bottom"/>
          </w:tcPr>
          <w:p>
            <w:pPr>
              <w:jc w:val="right"/>
              <w:ind w:right="530"/>
              <w:spacing w:after="0"/>
              <w:rPr>
                <w:sz w:val="20"/>
                <w:szCs w:val="20"/>
                <w:color w:val="auto"/>
              </w:rPr>
            </w:pPr>
            <w:r>
              <w:rPr>
                <w:rFonts w:ascii="Arial" w:cs="Arial" w:eastAsia="Arial" w:hAnsi="Arial"/>
                <w:sz w:val="18"/>
                <w:szCs w:val="18"/>
                <w:color w:val="auto"/>
              </w:rPr>
              <w:t>6.1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500" w:type="dxa"/>
            <w:vAlign w:val="bottom"/>
          </w:tcPr>
          <w:p>
            <w:pPr>
              <w:jc w:val="right"/>
              <w:ind w:right="470"/>
              <w:spacing w:after="0"/>
              <w:rPr>
                <w:sz w:val="20"/>
                <w:szCs w:val="20"/>
                <w:color w:val="auto"/>
              </w:rPr>
            </w:pPr>
            <w:r>
              <w:rPr>
                <w:rFonts w:ascii="Arial" w:cs="Arial" w:eastAsia="Arial" w:hAnsi="Arial"/>
                <w:sz w:val="18"/>
                <w:szCs w:val="18"/>
                <w:color w:val="auto"/>
              </w:rPr>
              <w:t>(0.8)</w:t>
            </w: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5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$86.7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00"/>
        </w:trPr>
        <w:tc>
          <w:tcPr>
            <w:tcW w:w="20" w:type="dxa"/>
            <w:vAlign w:val="bottom"/>
          </w:tcPr>
          <w:p>
            <w:pPr>
              <w:spacing w:after="0"/>
              <w:rPr>
                <w:sz w:val="17"/>
                <w:szCs w:val="17"/>
                <w:color w:val="auto"/>
              </w:rPr>
            </w:pPr>
          </w:p>
        </w:tc>
        <w:tc>
          <w:tcPr>
            <w:tcW w:w="68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0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recorded at original cost and are reported on the Consolidated Balance Sheet net of</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depreciation. Expenditures for additions, significant replacements, improvements and major plant overhauls are capitalized; maintenance and repair costs are expensed as incurred. Gains or losses on property, plant and equipment in our U.S. Water Services segment and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operate on natural gas. Minnesota Power’s 2015 IRP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including the economic idling of Taconite Harbor Units 1 and 2 in 2016, and the ceasing of coal-fired operations at Taconite Harbor in 2020. (See Note 4. Regulatory Matters.) The MPUC order for the 2015 IRP also directed Minnesota Power to retire Boswell Units 1 and 2 no later than 2022. Minnesota Power retired Boswell Units 1 and 2 in the fourth quarter of 2018. As part of the 2016 general retail rate case, the MPUC allowed recovery of the remaining book value of Boswell Units 1 and 2 through 2022. We do not expect to record any impairment charge as a result of the retirement of Taconite Harbor Unit 3, the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2017, and 2016, our qualitative assessments indicated that the cash flows were adequate to recover the carrying value of ALLETE Properties real estate assets. As a result, no impairment was recorded in 2018, 2017, or 2016.</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Derivatives. </w:t>
      </w:r>
      <w:r>
        <w:rPr>
          <w:rFonts w:ascii="Arial" w:cs="Arial" w:eastAsia="Arial" w:hAnsi="Arial"/>
          <w:sz w:val="17"/>
          <w:szCs w:val="17"/>
          <w:color w:val="auto"/>
        </w:rPr>
        <w:t>ALLETE is exposed to certain risks relating to its business operations that can be managed through the use of derivative instruments. ALLETE</w:t>
      </w:r>
      <w:r>
        <w:rPr>
          <w:rFonts w:ascii="Arial" w:cs="Arial" w:eastAsia="Arial" w:hAnsi="Arial"/>
          <w:sz w:val="17"/>
          <w:szCs w:val="17"/>
          <w:b w:val="1"/>
          <w:bCs w:val="1"/>
          <w:color w:val="auto"/>
        </w:rPr>
        <w:t xml:space="preserve"> </w:t>
      </w:r>
      <w:r>
        <w:rPr>
          <w:rFonts w:ascii="Arial" w:cs="Arial" w:eastAsia="Arial" w:hAnsi="Arial"/>
          <w:sz w:val="17"/>
          <w:szCs w:val="17"/>
          <w:color w:val="auto"/>
        </w:rPr>
        <w:t>may enter into derivative instruments to manage those risks including interest rate risk related to certain variable-rate borrowings.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16. Employee Stock and Incentive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0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2016 annual impairment analysis, the Company recognized a non-cash impairment charge of $3.3 million for ALLETE Clean Energy’s goodwill primarily related to the acquisition of Storm Lake II in 2014. The charge, which is presented within Operating Expenses – Other in the Consolidated Statement of Income, eliminated all recognized goodwill for the ALLETE Clean Energy reporting unit.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our annual goodwill impairment testing in 2018, the U.S. Water Services reporting unit had positive equity and the Company elected to bypass the qualitative assessment of goodwill for impairment, proceeding directly to the two-step impairment test. In performing Step 1 of the impairment test, we compared the fair value of the reporting unit to its carrying value including goodwill. If the carrying value including goodwill were to exceed the fair value of a reporting unit, Step 2 of the impairment test would be performed. Step 2 of the impairment test requires the carrying value of goodwill to be reduced to its fair value, if lower, as of the test date.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U.S. Water Services</w:t>
      </w:r>
      <w:r>
        <w:rPr>
          <w:rFonts w:ascii="Arial" w:cs="Arial" w:eastAsia="Arial" w:hAnsi="Arial"/>
          <w:sz w:val="17"/>
          <w:szCs w:val="17"/>
          <w:color w:val="auto"/>
        </w:rPr>
        <w:t xml:space="preserve">. 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2018 indicated that the estimated fair value of U.S. Water Services exceeded its carrying value, and therefore no impairment existed (none in 2017 or in 2016). The fair value of the reporting unit was determined using a discounted cash flow model, using significant assumptions which included a discount rate of 12.0 percent, cash flow forecasts through 2023, annual revenue growth rates ranging from 6.0 percent to 10.0 percent, and a terminal growth rate of 3.5 percent. Forecasted annual revenue growth assumes an increase in market share and growth in the industry. (See </w:t>
      </w:r>
      <w:r>
        <w:rPr>
          <w:rFonts w:ascii="Arial" w:cs="Arial" w:eastAsia="Arial" w:hAnsi="Arial"/>
          <w:sz w:val="17"/>
          <w:szCs w:val="17"/>
          <w:i w:val="1"/>
          <w:iCs w:val="1"/>
          <w:color w:val="auto"/>
        </w:rPr>
        <w:t>Subsequent Events</w:t>
      </w:r>
      <w:r>
        <w:rPr>
          <w:rFonts w:ascii="Arial" w:cs="Arial" w:eastAsia="Arial" w:hAnsi="Arial"/>
          <w:sz w:val="17"/>
          <w:szCs w:val="17"/>
          <w:color w:val="auto"/>
        </w:rPr>
        <w:t>.)</w:t>
      </w:r>
    </w:p>
    <w:p>
      <w:pPr>
        <w:spacing w:after="0" w:line="17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include customer relationships, patents, non-compete agreements, land easements, trademarks and trade names.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with definite lives consist of customer relationships, which are amortized using an attrition model, and patents, non-compete agreements, land easements and certain trade names, which are amortized on a straight-line basis with estimated remaining useful lives ranging from approximately 4 years to approximately 19 years. We review definite-lived intangible assets for impairment whenever events or circumstances indicate that the carrying amount of an asset may not be recoverable.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consist of trademarks and certain trade names, which are tested for impairment annually in the fourth quarter and whenever an event occurs or circumstances change that would indicate that the carrying amount may be impaired. Impairment is calculated as the excess of the asset’s carrying amount over its fair value. Fair value is generally determined using a discounted cash flow analysis. Our annual impairment test in 2018 indicated that the estimated fair value of trademarks and trade names exceeded the asset carrying values. As a result, no impairment existed in 2018 (none in 2017 or in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5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7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4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$30.7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6"/>
                <w:szCs w:val="16"/>
                <w:i w:val="1"/>
                <w:iCs w:val="1"/>
                <w:color w:val="auto"/>
              </w:rPr>
              <w:t>(b)</w:t>
            </w:r>
          </w:p>
        </w:tc>
        <w:tc>
          <w:tcPr>
            <w:tcW w:w="450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57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62.2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5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45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$103.3</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Finance Receivable reflects the remaining balance due from the ALLETE Properties sale of its Ormond Crossings project and Lake Swamp wetland mitigation bank.</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0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Interim Rate Refund</w:t>
            </w:r>
          </w:p>
        </w:tc>
        <w:tc>
          <w:tcPr>
            <w:tcW w:w="23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$40.0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PSAs</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12.6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8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(a)</w:t>
            </w:r>
          </w:p>
        </w:tc>
        <w:tc>
          <w:tcPr>
            <w:tcW w:w="23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Provision for Tax Reform Refund</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10.7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(b)</w:t>
            </w:r>
          </w:p>
        </w:tc>
        <w:tc>
          <w:tcPr>
            <w:tcW w:w="23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2320" w:type="dxa"/>
            <w:vAlign w:val="bottom"/>
          </w:tcPr>
          <w:p>
            <w:pPr>
              <w:jc w:val="right"/>
              <w:ind w:right="510"/>
              <w:spacing w:after="0"/>
              <w:rPr>
                <w:sz w:val="20"/>
                <w:szCs w:val="20"/>
                <w:color w:val="auto"/>
              </w:rPr>
            </w:pPr>
            <w:r>
              <w:rPr>
                <w:rFonts w:ascii="Arial" w:cs="Arial" w:eastAsia="Arial" w:hAnsi="Arial"/>
                <w:sz w:val="18"/>
                <w:szCs w:val="18"/>
                <w:color w:val="auto"/>
              </w:rPr>
              <w:t>53.8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3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$128.5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0"/>
        </w:trPr>
        <w:tc>
          <w:tcPr>
            <w:tcW w:w="80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include deposits received as a result of entering into contracts with our customers prior to completing our performance obligations.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9. Fair Value.)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$138.6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PSAs</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76.9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47.1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$262.6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0"/>
        </w:trPr>
        <w:tc>
          <w:tcPr>
            <w:tcW w:w="59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9. Fair Value.)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11. Commitments, Guarantees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estimated market prices for PSAs that were assumed during the acquisition of various wind energy facilities.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0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16 non-affiliated municipal customers in Minnesota under long-term wholesale electric contracts. All wholesale electric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termination clause requiring a three-year notice to terminate. These contracts have termination dates ranging from 2019 through at least 2032, with a majority of contracts effective through at least 2024. Performance obligations with these customers are satisfied at the time energy is delivered to an agreed upon municipal substation or meter.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includes sales recognized from contracts with customers in the taconite mining, iron concentrate, paper, pulp and secondary wood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and other industries. Industrial sales accounted for approximately 50 percent of total regulated utility kWh sales for the year ended December 31, 2018. Within industrial revenue, Minnesota Power has eight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2022 through 2028.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$75 million in 2019, $55 million per annum in 2020 through 2022, $25 million in 2023, and $75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 xml:space="preserve">Other Power Suppliers </w:t>
      </w:r>
      <w:r>
        <w:rPr>
          <w:rFonts w:ascii="Arial" w:cs="Arial" w:eastAsia="Arial" w:hAnsi="Arial"/>
          <w:sz w:val="17"/>
          <w:szCs w:val="17"/>
          <w:color w:val="auto"/>
        </w:rPr>
        <w:t>includes the sale of energy under long-term PSAs with two customers as well as MISO market and liquidation sales. Expiration dates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PSAs range from 2020 through 2028. Performance obligations with these customers are satisfied at the time energy is delivered to an agreed upon delivery point defined in the contract (generally the MISO pricing node). Based on current contracts with two customers, we expect to recognize minimum revenue for fixed contract components of approximately $10 million in 2019. Other power supplier contracts that extend beyond 2020 contain variable pricing components that prevent us from estimating future minimum revenue, and therefore are not included.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0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Alternative Programs </w:t>
      </w:r>
      <w:r>
        <w:rPr>
          <w:rFonts w:ascii="Arial" w:cs="Arial" w:eastAsia="Arial" w:hAnsi="Arial"/>
          <w:sz w:val="18"/>
          <w:szCs w:val="18"/>
          <w:color w:val="auto"/>
        </w:rPr>
        <w:t>includes revenue that is driven by factors outside of our regulated entities’ control or as a result of the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such as CIP financial incentives. This revenue is 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Long-term PSA </w:t>
      </w:r>
      <w:r>
        <w:rPr>
          <w:rFonts w:ascii="Arial" w:cs="Arial" w:eastAsia="Arial" w:hAnsi="Arial"/>
          <w:sz w:val="16"/>
          <w:szCs w:val="16"/>
          <w:color w:val="auto"/>
        </w:rPr>
        <w:t>revenue includes all sales recognized under long-term contracts for production, curtailment, capacity and associated renewable energy credits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ALLETE Clean Energy wind energy facilities. Expiration dates of these PSAs range from 2019 through 2032.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 of Wind Energy Facility </w:t>
      </w:r>
      <w:r>
        <w:rPr>
          <w:rFonts w:ascii="Arial" w:cs="Arial" w:eastAsia="Arial" w:hAnsi="Arial"/>
          <w:sz w:val="18"/>
          <w:szCs w:val="18"/>
          <w:color w:val="auto"/>
        </w:rPr>
        <w:t>includes revenue recognized for the design, development, construction, and sale of a wind energy facility to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Point-in-time </w:t>
      </w:r>
      <w:r>
        <w:rPr>
          <w:rFonts w:ascii="Arial" w:cs="Arial" w:eastAsia="Arial" w:hAnsi="Arial"/>
          <w:sz w:val="17"/>
          <w:szCs w:val="17"/>
          <w:color w:val="auto"/>
        </w:rPr>
        <w:t>revenue is recognized for purchases by customers for chemicals, consumable equipment (e.g., filters, pumps and valves) or related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repair services as the customer’s usage and needs change over time. These goods and services are purchased on an as-needed basis by customers and therefore revenue can be variable. Products are shipped to customers in accordance with the terms of each purchase order, and performance obligations are satisfied at the time of shipment of goods or when services are rendered to the customer.</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Contract </w:t>
      </w:r>
      <w:r>
        <w:rPr>
          <w:rFonts w:ascii="Arial" w:cs="Arial" w:eastAsia="Arial" w:hAnsi="Arial"/>
          <w:sz w:val="16"/>
          <w:szCs w:val="16"/>
          <w:color w:val="auto"/>
        </w:rPr>
        <w:t>includes monthly revenue from contracts with customers to provide chemicals, consumable equipment and services to meet customer needs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contract period. As agreed with the customer, a fixed amount is invoiced based on the goods and services to be provided under the contract. The duration of these contracts generally range in length from three months to five years and automatically renew. A 30-day notice is required to terminate such contracts without penalty. Performance obligations are satisfied during the period as goods and service are delivered in accordance with the terms of the contract.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Project </w:t>
      </w:r>
      <w:r>
        <w:rPr>
          <w:rFonts w:ascii="Arial" w:cs="Arial" w:eastAsia="Arial" w:hAnsi="Arial"/>
          <w:sz w:val="18"/>
          <w:szCs w:val="18"/>
          <w:color w:val="auto"/>
        </w:rPr>
        <w:t>includes the sale of equipment and other components assembled to create a water treatment system for a customer. These projects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contracts at an agreed upon price to meet a customer's specifications and typically take less than one year to complete. In general, progress payments are received throughout the project period and are recorded as contract liabilities until performance obligations are satisfied at the time the equipment and other components are delivered to the customer’s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0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24" w:lineRule="exact"/>
        <w:rPr>
          <w:sz w:val="20"/>
          <w:szCs w:val="20"/>
          <w:color w:val="auto"/>
        </w:rPr>
      </w:pPr>
    </w:p>
    <w:p>
      <w:pPr>
        <w:jc w:val="both"/>
        <w:ind w:right="20"/>
        <w:spacing w:after="0" w:line="232" w:lineRule="exact"/>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unrelated to coal, the sale of real estate from ALLETE Properties, and non</w:t>
      </w:r>
      <w:r>
        <w:rPr>
          <w:rFonts w:ascii="MS PGothic" w:cs="MS PGothic" w:eastAsia="MS PGothic" w:hAnsi="MS PGothic"/>
          <w:sz w:val="17"/>
          <w:szCs w:val="17"/>
          <w:color w:val="auto"/>
        </w:rPr>
        <w:t>‑</w:t>
      </w:r>
      <w:r>
        <w:rPr>
          <w:rFonts w:ascii="Arial" w:cs="Arial" w:eastAsia="Arial" w:hAnsi="Arial"/>
          <w:sz w:val="17"/>
          <w:szCs w:val="17"/>
          <w:color w:val="auto"/>
        </w:rPr>
        <w:t>rate base steam generation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 17. Business Segments for additional detail of disaggregated revenue by nature of revenue stream.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taconite-producing Large Power Customers, payment terms generally require payment to be made within 15 to 30 days from the end of the period that the service has been rendered or goods provided.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customer receives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December 31, 2018, we have $30.7 million of assets recognized for costs incurred to obtain contracts with our customers ($31.6 million as of December 31, 2017).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$2.6 million and $2.7 million of non-cash amortization for the year ended December 31, 2018 and 2017,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 – Other</w:t>
            </w:r>
          </w:p>
        </w:tc>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16"/>
                <w:szCs w:val="16"/>
                <w:i w:val="1"/>
                <w:iCs w:val="1"/>
                <w:color w:val="auto"/>
              </w:rPr>
              <w:t>(a)</w:t>
            </w:r>
          </w:p>
        </w:tc>
        <w:tc>
          <w:tcPr>
            <w:tcW w:w="2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i w:val="1"/>
                <w:iCs w:val="1"/>
                <w:color w:val="auto"/>
              </w:rPr>
              <w:t>(b)</w:t>
            </w:r>
          </w:p>
        </w:tc>
        <w:tc>
          <w:tcPr>
            <w:tcW w:w="2880" w:type="dxa"/>
            <w:vAlign w:val="bottom"/>
          </w:tcPr>
          <w:p>
            <w:pPr>
              <w:jc w:val="right"/>
              <w:ind w:right="450"/>
              <w:spacing w:after="0"/>
              <w:rPr>
                <w:sz w:val="20"/>
                <w:szCs w:val="20"/>
                <w:color w:val="auto"/>
              </w:rPr>
            </w:pPr>
            <w:r>
              <w:rPr>
                <w:rFonts w:ascii="Arial" w:cs="Arial" w:eastAsia="Arial" w:hAnsi="Arial"/>
                <w:sz w:val="18"/>
                <w:szCs w:val="18"/>
                <w:color w:val="auto"/>
              </w:rPr>
              <w:t>$(2.0)</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(13.6)</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 – Other</w:t>
            </w:r>
          </w:p>
        </w:tc>
        <w:tc>
          <w:tcPr>
            <w:tcW w:w="2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r>
      <w:tr>
        <w:trPr>
          <w:trHeight w:val="173"/>
        </w:trPr>
        <w:tc>
          <w:tcPr>
            <w:tcW w:w="20" w:type="dxa"/>
            <w:vAlign w:val="bottom"/>
          </w:tcPr>
          <w:p>
            <w:pPr>
              <w:spacing w:after="0"/>
              <w:rPr>
                <w:sz w:val="15"/>
                <w:szCs w:val="15"/>
                <w:color w:val="auto"/>
              </w:rPr>
            </w:pPr>
          </w:p>
        </w:tc>
        <w:tc>
          <w:tcPr>
            <w:tcW w:w="578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(a)  See Goodwill and Intangible Assets.</w:t>
            </w:r>
          </w:p>
        </w:tc>
        <w:tc>
          <w:tcPr>
            <w:tcW w:w="28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6"/>
        </w:trPr>
        <w:tc>
          <w:tcPr>
            <w:tcW w:w="5800" w:type="dxa"/>
            <w:vAlign w:val="bottom"/>
            <w:gridSpan w:val="2"/>
          </w:tcPr>
          <w:p>
            <w:pPr>
              <w:spacing w:after="0"/>
              <w:rPr>
                <w:sz w:val="20"/>
                <w:szCs w:val="20"/>
                <w:color w:val="auto"/>
              </w:rPr>
            </w:pPr>
            <w:r>
              <w:rPr>
                <w:rFonts w:ascii="Arial" w:cs="Arial" w:eastAsia="Arial" w:hAnsi="Arial"/>
                <w:sz w:val="16"/>
                <w:szCs w:val="16"/>
                <w:i w:val="1"/>
                <w:iCs w:val="1"/>
                <w:color w:val="auto"/>
              </w:rPr>
              <w:t>(b)  See Note 9. Fair Value.</w:t>
            </w: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9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GAAP for uncertainty in income taxes, we are required to recognize in our financial statements the largest tax benefit of a tax position that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to be sustained on audit, based solely on the technical merits of the position as of the reporting date. The term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means more than 50 percent likely. (See Note 13. Income Tax Expense.)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0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Tax Cuts and Jobs Act of 2017</w:t>
      </w:r>
      <w:r>
        <w:rPr>
          <w:rFonts w:ascii="Arial" w:cs="Arial" w:eastAsia="Arial" w:hAnsi="Arial"/>
          <w:sz w:val="18"/>
          <w:szCs w:val="18"/>
          <w:color w:val="auto"/>
        </w:rPr>
        <w:t>. On December 22, 2017, the TCJA was enacted. Under ASC 740, the tax effects of changes in tax laws must be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in which the law is enacted. On December 22, 2017, the SEC staff issued guidance in Staff Accounting Bulletin 118 (SAB 118) which provided for up to a one-year period in which to complete the required analysis and accounting for the TCJA. The one-year period is now complete and the final impact was immaterial.</w:t>
      </w:r>
    </w:p>
    <w:p>
      <w:pPr>
        <w:spacing w:after="0" w:line="1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Purchase Accounting. </w:t>
      </w:r>
      <w:r>
        <w:rPr>
          <w:rFonts w:ascii="Arial" w:cs="Arial" w:eastAsia="Arial" w:hAnsi="Arial"/>
          <w:sz w:val="16"/>
          <w:szCs w:val="16"/>
          <w:color w:val="auto"/>
        </w:rPr>
        <w:t>In accordance with authoritative accounting guidance, the purchase price of an acquired business is generally allocated to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and liabilities assumed at their estimated fair values on the date of acquisition. Any unallocated purchase price amount is recognized as goodwill on the Consolidated Balance Sheet if it exceeds the estimated fair value and as a bargain purchase gain on the Consolidated Income Statement if it is below the estimated fair value. Determining the fair value of assets acquired and liabilities assumed requires management’s judgment, and the utilization of independent valuation experts as well as the use of significant estimates and assumptions with respect to the timing and amounts of future cash inflows and outflows, discount rates, market prices and asset lives, among other items. The judgments made in the determination of the estimated fair value assigned to the assets acquired and liabilities assumed, as well as the estimated useful life of each asset and the duration of each liability, can materially impact the financial statements in periods after acquisition, such as through depreciation and amortization expense. (See Note 6.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Reclassification of Certain Tax Effects from Accumulated Other Comprehensive Income. </w:t>
      </w:r>
      <w:r>
        <w:rPr>
          <w:rFonts w:ascii="Arial" w:cs="Arial" w:eastAsia="Arial" w:hAnsi="Arial"/>
          <w:sz w:val="17"/>
          <w:szCs w:val="17"/>
          <w:color w:val="auto"/>
        </w:rPr>
        <w:t>In February 2018, the FASB issued an update allowing for a one-time reclassification from accumulated other comprehensive income to retained earnings for stranded tax effects resulting from the enactment of the TCJA. With the enactment of the new federal tax rates in 2017, entities were required to adjust deferred income tax assets and liabilities to reflect the lower federal rate. The effect of this reduction impacted income from continuing operations in the period of enactment, even in instances where the related income tax effects of items were originally recognized in other comprehensive income. As such, companies were left with stranded tax effects in accumulated other comprehensive income that did not reflect the appropriate tax rate. This guidance is effective in the first quarter of 2019 with early adoption permitted. The Company elected to early adopt this guidance in the first quarter of 2018, which resulted in a reduction of $5.7 million to Accumulated Other Comprehensive Loss and a corresponding increase to Retained Earnings for the reclassification of the stranded income tax effects.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Improving the Presentation of Net Periodic Pension Cost and Net Periodic Postretirement Benefit Cost. </w:t>
      </w:r>
      <w:r>
        <w:rPr>
          <w:rFonts w:ascii="Arial" w:cs="Arial" w:eastAsia="Arial" w:hAnsi="Arial"/>
          <w:sz w:val="17"/>
          <w:szCs w:val="17"/>
          <w:color w:val="auto"/>
        </w:rPr>
        <w:t>In March 2017, the FASB issued an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update to improve the presentation of net periodic pension and postretirement benefit costs. Under the guidance, an entity is required to present the service cost component of the net periodic benefit cost in the same income statement line as other employee compensation costs arising from services rendered during the period. The guidance also allows only the service cost component of the periodic cost to be eligible for capitalization on a prospective basis. The other components of net periodic expense must be presented separately from the line item that includes the service cost and must be excluded from the operating income subtotal. The Company adopted the guidance in the first quarter of 2018 and retrospectively adjusted the presentation of the service cost component and the other components of net periodic costs in the Consolidated Statement of Income. The retrospective adjustments for the years ended December 31, 2017, and 2016, were as follows: Operating and Maintenance increased $4.2 million and $6.8 million, respectively, and Cost of Sales – Non-utility decreased $0.3 million in each year, resulting in an increase of $3.9 million and $6.5 million, respectively, to Other Income (Expense) – Other. There was no impact to net income as a result of adoption.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In 2016, the FASB issued an accounting standard update which requires entities to measure equity investments at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any changes in fair value in net income unless the investments qualify for the practicability exception. The practicability exception will be available for equity investments that do not have readily determinable fair values. The update was adopted by the Company in the first quarter of 2018 which resulted in a cumulative-effect transition adjustment reducing Retained Earnings by $0.1 million, including the tax effect, for the previously unrealized loss on available-for-sale equity securities in Accumulated Other Comprehensive Loss as of December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0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In 2016, the FASB issued an accounting standard update which addresses the following eight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cash flow issues: debt prepayment or debt extinguishment costs; settlement of zero</w:t>
      </w:r>
      <w:r>
        <w:rPr>
          <w:rFonts w:ascii="MS PGothic" w:cs="MS PGothic" w:eastAsia="MS PGothic" w:hAnsi="MS PGothic"/>
          <w:sz w:val="18"/>
          <w:szCs w:val="18"/>
          <w:color w:val="auto"/>
        </w:rPr>
        <w:t>‑</w:t>
      </w:r>
      <w:r>
        <w:rPr>
          <w:rFonts w:ascii="Arial" w:cs="Arial" w:eastAsia="Arial" w:hAnsi="Arial"/>
          <w:sz w:val="18"/>
          <w:szCs w:val="18"/>
          <w:color w:val="auto"/>
        </w:rPr>
        <w:t>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amendments of this update were adopted by the Company in the first quarter of 2018. The adoption of this standard update resulted in an increase to Cash from Operating Activities of $2.9 million and a decrease to Cash for Financing Activities of a corresponding amount for the year ending December 31, 2016, due to the reclassification of debt extinguishment costs incurred by ALLETE Clean Energy in 2016.</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In 2016, the FASB issued an accounting standard update related to the presentation of restricted cash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standard update was adopted by the Company in the first quarter of 2018 and was applied retrospectively to the periods presented in the Consolidated Statement of Cash Flows, which resulted in a net decrease for Cash for Financing Activities of $0.4 million and $0.7 million for the years ended December 31, 2017 and 2016, respectively, and a decrease in Cash for Investing Activities of $4.1 million for the year ended December 31, 2016. A reconciliation of Cash and Cash Equivalents presented on the Consolidated Balance Sheet to Cash, Cash Equivalents and Restricted Cash presented on the Consolidated Statement of Cash Flows can be found above under </w:t>
      </w:r>
      <w:r>
        <w:rPr>
          <w:rFonts w:ascii="Arial" w:cs="Arial" w:eastAsia="Arial" w:hAnsi="Arial"/>
          <w:sz w:val="18"/>
          <w:szCs w:val="18"/>
          <w:i w:val="1"/>
          <w:iCs w:val="1"/>
          <w:color w:val="auto"/>
        </w:rPr>
        <w:t>Cash, Cash Equivalents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Restricted Cash</w:t>
      </w:r>
      <w:r>
        <w:rPr>
          <w:rFonts w:ascii="Arial" w:cs="Arial" w:eastAsia="Arial" w:hAnsi="Arial"/>
          <w:sz w:val="18"/>
          <w:szCs w:val="18"/>
          <w:color w:val="auto"/>
        </w:rPr>
        <w:t>.</w:t>
      </w:r>
    </w:p>
    <w:p>
      <w:pPr>
        <w:spacing w:after="0" w:line="19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2014, the FASB issued amended revenue recognition guidance that clarifies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by providing a single comprehensive model to determine the measurement of revenue and timing of recognition. The guidance requires an entity to recognize revenue in a manner that depicts the transfer of goods or services to customers in an amount that reflects the consideration to which an entity expects to be entitled to in exchange for those goods or services. The guidance requires expanded disclosures relating to the nature, amount, timing, and uncertainty of revenue and cash flows arising from contracts with customers. Additionally, qualitative and quantitative disclosures regarding customer contracts, significant judgments and changes in those judgments, and the assets recognized from the costs to obtain or fulfill a contract are required. The Company adopted this accounting guidance in the first quarter of 2018 and elected to apply the modified retrospective method of adoption to all contracts as of the date of initial application. The financial impact to the consolidated financial statements as a result of adoption of the new standard is immaterial. Based on the nature of the contracts with our customers and our related performance obligations which transfer control, a $0.5 million after-tax cumulative</w:t>
      </w:r>
      <w:r>
        <w:rPr>
          <w:rFonts w:ascii="MS PGothic" w:cs="MS PGothic" w:eastAsia="MS PGothic" w:hAnsi="MS PGothic"/>
          <w:sz w:val="17"/>
          <w:szCs w:val="17"/>
          <w:color w:val="auto"/>
        </w:rPr>
        <w:t>‑</w:t>
      </w:r>
      <w:r>
        <w:rPr>
          <w:rFonts w:ascii="Arial" w:cs="Arial" w:eastAsia="Arial" w:hAnsi="Arial"/>
          <w:sz w:val="17"/>
          <w:szCs w:val="17"/>
          <w:color w:val="auto"/>
        </w:rPr>
        <w:t xml:space="preserve">effect transition adjustment was made to increase the opening balance of Retained Earnings. We have included additional disclosures in the notes to the consolidated financial statements including additional information on the Company’s revenue streams and related performance obligations required to be satisfied in order to recognize revenue. (See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practical expedients were used by the Company as part of the adoption of the new revenue recognition guidance:</w:t>
      </w:r>
    </w:p>
    <w:p>
      <w:pPr>
        <w:spacing w:after="0" w:line="23" w:lineRule="exact"/>
        <w:rPr>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We have a right to consideration from our customers in an amount that corresponds directly with the value to such customer for performance completed to date; therefore, we may recognize revenue in the amount to which we have a right to invoice.</w:t>
      </w: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as at contract inception we expect that the period between when we transfer a promised good or service to a customer and when the customer pays for that good or service will be one year or less.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applicable, we adopted this guidance using the portfolio approach in which contracts that have similar characteristics were reviewed as a portfolio. The effects on the financial statements of applying this guidance to the portfolio would not differ materially from applying the guidance to each individual contract.</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 the incremental costs of obtaining a contract as an expense when incurred if the amortization period of the asset that would otherwise have been recognized is one year or less.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0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Simplifying the Test for Goodwill Impairmen</w:t>
      </w:r>
      <w:r>
        <w:rPr>
          <w:rFonts w:ascii="Arial" w:cs="Arial" w:eastAsia="Arial" w:hAnsi="Arial"/>
          <w:sz w:val="18"/>
          <w:szCs w:val="18"/>
          <w:color w:val="auto"/>
        </w:rPr>
        <w:t>t. 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revises the existing guidance for leases. Under the revised guidance, lessees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new guidance. As of December 31, 2018, the Company has reviewed all of its leases, completing our evaluation of the impact of this guidance. At adoption, we expect to recognize right-of-use assets and lease liabilities of approximately $36 million, which represents the discounted future minimum operating lease payments. The Company will adopt and implement the new guidance utilizing the additional optional transition method and package of practical expedients in the period of adoption without retrospective adjustment. Management continues to finalize additional qualitative and quantitative disclosures to meet the requirements of the new standard following adoption. The revised guidance is effective for the Company beginning in the first quarter of 2019.</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Reclassification of Prior Income Statement. </w:t>
      </w:r>
      <w:r>
        <w:rPr>
          <w:rFonts w:ascii="Arial" w:cs="Arial" w:eastAsia="Arial" w:hAnsi="Arial"/>
          <w:sz w:val="17"/>
          <w:szCs w:val="17"/>
          <w:color w:val="auto"/>
        </w:rPr>
        <w:t>Beginning with the first quarter of 2018, the Company enhanced its presentation of Operating Revenue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Statement of Income by presenting the caption Operating Revenue separately as Contracts with Customers – Utility, Contracts with Customers – Non-utility, and Other – Non-utility. In conformity with the current presentation, we now present $1,063.8 million and $1,000.7 million of Operating Revenue as Contracts with Customers – Utility for the years ended December 31, 2017, and 2016, respectively, as it is generated from our regulated utility operations. Non-utility revenue of $331.9 million and $316.7 million as well as $23.6 million and $22.3 million for the years ended December 31, 2017, and 2016 respectively, is now presented as Contracts with Customers – Non-utility and Other – Non-utility, respectively.</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color w:val="auto"/>
        </w:rPr>
        <w:t>In 2018, we recognized a $4.4 million reduction in revenue for MISO rates that were billed in 2017 and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credited to customers in 2019. We have evaluated the effect of this out-of-period adjustment on the years ended December 31, 2018, and 2017, and concluded that this adjustment is not material to any of the periods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0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$4,490.6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$4,523.7</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251.1</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Pr>
          <w:p>
            <w:pPr>
              <w:jc w:val="right"/>
              <w:ind w:right="370"/>
              <w:spacing w:after="0"/>
              <w:rPr>
                <w:sz w:val="20"/>
                <w:szCs w:val="20"/>
                <w:color w:val="auto"/>
              </w:rPr>
            </w:pPr>
            <w:r>
              <w:rPr>
                <w:rFonts w:ascii="Arial" w:cs="Arial" w:eastAsia="Arial" w:hAnsi="Arial"/>
                <w:sz w:val="18"/>
                <w:szCs w:val="18"/>
                <w:color w:val="auto"/>
              </w:rPr>
              <w:t>(1,549.6)</w:t>
            </w:r>
          </w:p>
        </w:tc>
        <w:tc>
          <w:tcPr>
            <w:tcW w:w="1180" w:type="dxa"/>
            <w:vAlign w:val="bottom"/>
          </w:tcPr>
          <w:p>
            <w:pPr>
              <w:jc w:val="right"/>
              <w:spacing w:after="0"/>
              <w:rPr>
                <w:sz w:val="20"/>
                <w:szCs w:val="20"/>
                <w:color w:val="auto"/>
              </w:rPr>
            </w:pPr>
            <w:r>
              <w:rPr>
                <w:rFonts w:ascii="Arial" w:cs="Arial" w:eastAsia="Arial" w:hAnsi="Arial"/>
                <w:sz w:val="18"/>
                <w:szCs w:val="18"/>
                <w:color w:val="auto"/>
              </w:rPr>
              <w:t>(1,520.5)</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 – Net</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3,192.1</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3,124.8</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ALLETE Clean Energy</w:t>
            </w:r>
          </w:p>
        </w:tc>
        <w:tc>
          <w:tcPr>
            <w:tcW w:w="29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488.4</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164.5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144.9</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(73.0)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ALLETE Clean Energy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579.9</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566.6</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Water Services</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30.1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U.S. Water Services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16.1</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9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Property, Plant and Equipment in Service</w:t>
            </w:r>
          </w:p>
        </w:tc>
        <w:tc>
          <w:tcPr>
            <w:tcW w:w="2920" w:type="dxa"/>
            <w:vAlign w:val="bottom"/>
          </w:tcPr>
          <w:p>
            <w:pPr>
              <w:jc w:val="right"/>
              <w:ind w:right="430"/>
              <w:spacing w:after="0"/>
              <w:rPr>
                <w:sz w:val="20"/>
                <w:szCs w:val="20"/>
                <w:color w:val="auto"/>
              </w:rPr>
            </w:pPr>
            <w:r>
              <w:rPr>
                <w:rFonts w:ascii="Arial" w:cs="Arial" w:eastAsia="Arial" w:hAnsi="Arial"/>
                <w:sz w:val="18"/>
                <w:szCs w:val="18"/>
                <w:color w:val="auto"/>
              </w:rPr>
              <w:t>214.3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204.7</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6.6</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920" w:type="dxa"/>
            <w:vAlign w:val="bottom"/>
          </w:tcPr>
          <w:p>
            <w:pPr>
              <w:jc w:val="right"/>
              <w:ind w:right="370"/>
              <w:spacing w:after="0"/>
              <w:rPr>
                <w:sz w:val="20"/>
                <w:szCs w:val="20"/>
                <w:color w:val="auto"/>
              </w:rPr>
            </w:pPr>
            <w:r>
              <w:rPr>
                <w:rFonts w:ascii="Arial" w:cs="Arial" w:eastAsia="Arial" w:hAnsi="Arial"/>
                <w:sz w:val="18"/>
                <w:szCs w:val="18"/>
                <w:color w:val="auto"/>
              </w:rPr>
              <w:t>(104.6)</w:t>
            </w:r>
          </w:p>
        </w:tc>
        <w:tc>
          <w:tcPr>
            <w:tcW w:w="118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7"/>
        </w:trPr>
        <w:tc>
          <w:tcPr>
            <w:tcW w:w="2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and Other – Net</w:t>
            </w:r>
          </w:p>
        </w:tc>
        <w:tc>
          <w:tcPr>
            <w:tcW w:w="2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116.3</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37"/>
        </w:trPr>
        <w:tc>
          <w:tcPr>
            <w:tcW w:w="20" w:type="dxa"/>
            <w:vAlign w:val="bottom"/>
          </w:tcPr>
          <w:p>
            <w:pPr>
              <w:spacing w:after="0"/>
              <w:rPr>
                <w:sz w:val="20"/>
                <w:szCs w:val="20"/>
                <w:color w:val="auto"/>
              </w:rPr>
            </w:pPr>
          </w:p>
        </w:tc>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Property, Plant and Equipment – Net</w:t>
            </w:r>
          </w:p>
        </w:tc>
        <w:tc>
          <w:tcPr>
            <w:tcW w:w="2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$3,904.4</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$3,822.4</w:t>
            </w:r>
          </w:p>
        </w:tc>
      </w:tr>
      <w:tr>
        <w:trPr>
          <w:trHeight w:val="27"/>
        </w:trPr>
        <w:tc>
          <w:tcPr>
            <w:tcW w:w="732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Primarily includes BNI Energy and a small amount of non-rate base generation.</w:t>
            </w:r>
          </w:p>
        </w:tc>
        <w:tc>
          <w:tcPr>
            <w:tcW w:w="29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 (Years)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2480" w:type="dxa"/>
            <w:vAlign w:val="bottom"/>
            <w:tcBorders>
              <w:top w:val="single" w:sz="8" w:color="auto"/>
              <w:bottom w:val="single" w:sz="8" w:color="CCEEFF"/>
            </w:tcBorders>
            <w:shd w:val="clear" w:color="auto" w:fill="CCEEFF"/>
          </w:tcPr>
          <w:p>
            <w:pPr>
              <w:spacing w:after="0"/>
              <w:rPr>
                <w:sz w:val="22"/>
                <w:szCs w:val="22"/>
                <w:color w:val="auto"/>
              </w:rPr>
            </w:pPr>
          </w:p>
        </w:tc>
        <w:tc>
          <w:tcPr>
            <w:tcW w:w="3980" w:type="dxa"/>
            <w:vAlign w:val="bottom"/>
            <w:tcBorders>
              <w:top w:val="single" w:sz="8" w:color="auto"/>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ALLETE Clean Energy</w:t>
            </w:r>
          </w:p>
        </w:tc>
        <w:tc>
          <w:tcPr>
            <w:tcW w:w="300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5 to 35</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Generation</w:t>
            </w:r>
          </w:p>
        </w:tc>
        <w:tc>
          <w:tcPr>
            <w:tcW w:w="2480" w:type="dxa"/>
            <w:vAlign w:val="bottom"/>
          </w:tcPr>
          <w:p>
            <w:pPr>
              <w:ind w:left="380"/>
              <w:spacing w:after="0"/>
              <w:rPr>
                <w:sz w:val="20"/>
                <w:szCs w:val="20"/>
                <w:color w:val="auto"/>
              </w:rPr>
            </w:pPr>
            <w:r>
              <w:rPr>
                <w:rFonts w:ascii="Arial" w:cs="Arial" w:eastAsia="Arial" w:hAnsi="Arial"/>
                <w:sz w:val="18"/>
                <w:szCs w:val="18"/>
                <w:color w:val="auto"/>
              </w:rPr>
              <w:t>5 to 50</w:t>
            </w:r>
          </w:p>
        </w:tc>
        <w:tc>
          <w:tcPr>
            <w:tcW w:w="3980" w:type="dxa"/>
            <w:vAlign w:val="bottom"/>
          </w:tcPr>
          <w:p>
            <w:pPr>
              <w:ind w:left="154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ind w:left="740"/>
              <w:spacing w:after="0"/>
              <w:rPr>
                <w:sz w:val="20"/>
                <w:szCs w:val="20"/>
                <w:color w:val="auto"/>
              </w:rPr>
            </w:pPr>
            <w:r>
              <w:rPr>
                <w:rFonts w:ascii="Arial" w:cs="Arial" w:eastAsia="Arial" w:hAnsi="Arial"/>
                <w:sz w:val="18"/>
                <w:szCs w:val="18"/>
                <w:color w:val="auto"/>
              </w:rPr>
              <w:t>5 to 39</w:t>
            </w:r>
          </w:p>
        </w:tc>
      </w:tr>
      <w:tr>
        <w:trPr>
          <w:trHeight w:val="27"/>
        </w:trPr>
        <w:tc>
          <w:tcPr>
            <w:tcW w:w="1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52 to 71</w:t>
            </w:r>
          </w:p>
        </w:tc>
        <w:tc>
          <w:tcPr>
            <w:tcW w:w="398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 to 50</w:t>
            </w: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480" w:type="dxa"/>
            <w:vAlign w:val="bottom"/>
          </w:tcPr>
          <w:p>
            <w:pPr>
              <w:ind w:left="380"/>
              <w:spacing w:after="0"/>
              <w:rPr>
                <w:sz w:val="20"/>
                <w:szCs w:val="20"/>
                <w:color w:val="auto"/>
              </w:rPr>
            </w:pPr>
            <w:r>
              <w:rPr>
                <w:rFonts w:ascii="Arial" w:cs="Arial" w:eastAsia="Arial" w:hAnsi="Arial"/>
                <w:sz w:val="18"/>
                <w:szCs w:val="18"/>
                <w:color w:val="auto"/>
              </w:rPr>
              <w:t>19 to 68</w:t>
            </w:r>
          </w:p>
        </w:tc>
        <w:tc>
          <w:tcPr>
            <w:tcW w:w="39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19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0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2016</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2017</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2018</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0"/>
        </w:trPr>
        <w:tc>
          <w:tcPr>
            <w:tcW w:w="674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ASSETS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Boswell Unit 4. </w:t>
      </w:r>
      <w:r>
        <w:rPr>
          <w:rFonts w:ascii="Arial" w:cs="Arial" w:eastAsia="Arial" w:hAnsi="Arial"/>
          <w:sz w:val="17"/>
          <w:szCs w:val="17"/>
          <w:color w:val="auto"/>
        </w:rPr>
        <w:t>Minnesota Power owns 80 percent of the 585 MW Boswell Unit 4. While Minnesota Power operates the plant, certain decisions about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CapX2020. </w:t>
      </w:r>
      <w:r>
        <w:rPr>
          <w:rFonts w:ascii="Arial" w:cs="Arial" w:eastAsia="Arial" w:hAnsi="Arial"/>
          <w:sz w:val="17"/>
          <w:szCs w:val="17"/>
          <w:color w:val="auto"/>
        </w:rPr>
        <w:t>Minnesota Power was a participant in the CapX2020 initiative which represented an effort to ensure electric transmission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reliability in Minnesota and the surrounding region for the future. CapX2020, which consisted of electric cooperatives and municipal and investor-owned utilities, including Minnesota’s largest transmission owners, assessed the transmission system and projected growth in customer demand for electricity through 2020. Minnesota Power participated in certain CapX2020 projects which were completed and placed in service by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Power’s investments in jointly-owned facilities and projects and the related ownership percentages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Construction Work in</w:t>
            </w:r>
          </w:p>
        </w:tc>
        <w:tc>
          <w:tcPr>
            <w:tcW w:w="1400" w:type="dxa"/>
            <w:vAlign w:val="bottom"/>
          </w:tcPr>
          <w:p>
            <w:pPr>
              <w:spacing w:after="0"/>
              <w:rPr>
                <w:sz w:val="18"/>
                <w:szCs w:val="18"/>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304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Plant in Service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30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$650.1</w:t>
            </w:r>
          </w:p>
        </w:tc>
        <w:tc>
          <w:tcPr>
            <w:tcW w:w="1540" w:type="dxa"/>
            <w:vAlign w:val="bottom"/>
          </w:tcPr>
          <w:p>
            <w:pPr>
              <w:jc w:val="right"/>
              <w:spacing w:after="0"/>
              <w:rPr>
                <w:sz w:val="20"/>
                <w:szCs w:val="20"/>
                <w:color w:val="auto"/>
              </w:rPr>
            </w:pPr>
            <w:r>
              <w:rPr>
                <w:rFonts w:ascii="Arial" w:cs="Arial" w:eastAsia="Arial" w:hAnsi="Arial"/>
                <w:sz w:val="18"/>
                <w:szCs w:val="18"/>
                <w:color w:val="auto"/>
              </w:rPr>
              <w:t>$229.9</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CapX2020</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3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$751.1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30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$668.2</w:t>
            </w:r>
          </w:p>
        </w:tc>
        <w:tc>
          <w:tcPr>
            <w:tcW w:w="1540" w:type="dxa"/>
            <w:vAlign w:val="bottom"/>
          </w:tcPr>
          <w:p>
            <w:pPr>
              <w:jc w:val="right"/>
              <w:spacing w:after="0"/>
              <w:rPr>
                <w:sz w:val="20"/>
                <w:szCs w:val="20"/>
                <w:color w:val="auto"/>
              </w:rPr>
            </w:pPr>
            <w:r>
              <w:rPr>
                <w:rFonts w:ascii="Arial" w:cs="Arial" w:eastAsia="Arial" w:hAnsi="Arial"/>
                <w:sz w:val="18"/>
                <w:szCs w:val="18"/>
                <w:color w:val="auto"/>
              </w:rPr>
              <w:t>$222.8</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CapX2020</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3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$769.2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w:t>
            </w: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REGULATORY MATTERS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Electric Rates. </w:t>
      </w:r>
      <w:r>
        <w:rPr>
          <w:rFonts w:ascii="Arial" w:cs="Arial" w:eastAsia="Arial" w:hAnsi="Arial"/>
          <w:sz w:val="16"/>
          <w:szCs w:val="16"/>
          <w:color w:val="auto"/>
        </w:rPr>
        <w:t>Entities within our Regulated Operations segment file for periodic rate revisions with the MPUC, PSCW or FERC. As authorized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MPUC, Minnesota Power also recognizes revenue under cost recovery riders for transmission, renewable and environmental investments and expenditures. (See </w:t>
      </w:r>
      <w:r>
        <w:rPr>
          <w:rFonts w:ascii="Arial" w:cs="Arial" w:eastAsia="Arial" w:hAnsi="Arial"/>
          <w:sz w:val="16"/>
          <w:szCs w:val="16"/>
          <w:i w:val="1"/>
          <w:iCs w:val="1"/>
          <w:color w:val="auto"/>
        </w:rPr>
        <w:t>Transmission Cost Recovery Rider, Renewable Cost Recovery Rider</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xml:space="preserve">.) Revenue from cost recovery riders was $103.8 million in 2018 ($96.9 million in 2017; $97.1 million in 2016). With the implementation of final rates in Minnesota Power’s general rate case, certain revenue previously recognized under cost recovery riders was incorporated into base rates. (See </w:t>
      </w:r>
      <w:r>
        <w:rPr>
          <w:rFonts w:ascii="Arial" w:cs="Arial" w:eastAsia="Arial" w:hAnsi="Arial"/>
          <w:sz w:val="16"/>
          <w:szCs w:val="16"/>
          <w:i w:val="1"/>
          <w:iCs w:val="1"/>
          <w:color w:val="auto"/>
        </w:rPr>
        <w:t>2016 Minnesota General Rate Case.</w:t>
      </w:r>
      <w:r>
        <w:rPr>
          <w:rFonts w:ascii="Arial" w:cs="Arial" w:eastAsia="Arial" w:hAnsi="Arial"/>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0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which sought an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9 percent for retail customers. The rate filing sought a return on equity of 10.25 percent and a 53.81 percent equity ratio. The MPUC issued an order dated March 12, 2018, in Minnesota Power’s general rate case approving a return on 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Minnesota Power has recorded a reserve for an interim rate refund, net of discounts provided to EITE customers, of $40.0 million as of December 31, 2018 ($23.7 million as of December 31, 2017) which is expected to be refunded in 2019. The MPUC also disallowed Minnesota Power’s regulatory asset for deferred fuel adjustment clause costs due to the anticipated adoption of a forward-looking fuel adjustment clause methodology resulting in a $19.5 million pre-tax charge to Fuel, Purchased Power and Gas – Utility in 2017. As part of its decision in Minnesota Power’s 2016 general rate case, the MPUC also extended the depreciable lives of Boswell Unit 3, Unit 4 and common facilities to 2050 primarily to mitigate rate increases for our customers, and shortened the depreciable lives of Boswell Unit 1 and Unit 2 to 2022, resulting in a net decrease to depreciation expense of approximately $25 million in the fourth quarter of 2017.</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2018, Minnesota Power filed a petition with the MPUC requesting reconsideration of certain decisions in the MPUC’s order dated March 12, 2018. In an order dated May 29, 2018, the MPUC denied Minnesota Power’s petition for reconsideration and accepted a Minnesota Department of Commerce request for reconsideration reducing the depreciable lives of Boswell Unit 3, Unit 4 and common facilities to 2035 while utilizing the benefits of the lower federal income tax rate enacted as part of the TCJA to mitigate the impact on customer rates.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Energy-Intensive Trade-Exposed Customer Rates. </w:t>
      </w:r>
      <w:r>
        <w:rPr>
          <w:rFonts w:ascii="Arial" w:cs="Arial" w:eastAsia="Arial" w:hAnsi="Arial"/>
          <w:sz w:val="16"/>
          <w:szCs w:val="16"/>
          <w:color w:val="auto"/>
        </w:rPr>
        <w:t>An EITE customer ratemaking law was enacted in 2015 establishing a Minnesota energy policy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rates for certain industries such as mining and forest products. The MPUC approved a reduction in rates for EITE customers in a December 2016 order and subsequently approved cost recovery in an April 2017 order. Minnesota Power expects the discount to EITE customers to be approximately $16 million annually based on EITE customer current operating levels. While interim rates were in effect for Minnesota Power’s 2016 general rate case, discounts provided to EITE customers offset interim rate refund reserves for non-EITE customers. Minnesota Power provided $16.7 million of discounts to EITE customers during the year ended December 31, 2018 ($8.6 million and none for the years ended December 31, 2017, and 2016,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contracts with SWL&amp;P and another municipal customer are effective through at least February 28, 2022, and through June 30, 2019, respectively. Under the agreement with SWL&amp;P, no termination notice has been given. The other municipal customer provided termination notice for its contract in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varying dates ranging from 2024 through 2029. No termination notices may be given prior to three years before maturity. These contracts include fixed capacity charges through 2018; beginning in 2019, the capacity charge will be determined using a cost-based formula methodology with limits on the annual change from the previous year’s capacity charge.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for certain transmission investments and expenditures. In a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order, the MPUC approved Minnesota Power’s updated customer billing rates which allows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a subsidiary of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bill factor filings.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0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Renewable Cost Recovery Rider. </w:t>
      </w:r>
      <w:r>
        <w:rPr>
          <w:rFonts w:ascii="Arial" w:cs="Arial" w:eastAsia="Arial" w:hAnsi="Arial"/>
          <w:sz w:val="16"/>
          <w:szCs w:val="16"/>
          <w:color w:val="auto"/>
        </w:rPr>
        <w:t>Minnesota Power has an approved cost recovery rider for certain renewable investments and expenditures. The cost recovery</w:t>
      </w:r>
      <w:r>
        <w:rPr>
          <w:rFonts w:ascii="Arial" w:cs="Arial" w:eastAsia="Arial" w:hAnsi="Arial"/>
          <w:sz w:val="16"/>
          <w:szCs w:val="16"/>
          <w:i w:val="1"/>
          <w:iCs w:val="1"/>
          <w:color w:val="auto"/>
        </w:rPr>
        <w:t xml:space="preserve"> </w:t>
      </w:r>
      <w:r>
        <w:rPr>
          <w:rFonts w:ascii="Arial" w:cs="Arial" w:eastAsia="Arial" w:hAnsi="Arial"/>
          <w:sz w:val="16"/>
          <w:szCs w:val="16"/>
          <w:color w:val="auto"/>
        </w:rPr>
        <w:t>rider allows Minnesota Power to charge retail customers on a current basis for the costs of certain renewable investments plus a return on the capital invested. Updated customer billing rates for the renewable cost recovery rider were approved by the MPUC in an order dated November 19,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$15.0 million in 2016. The North Dakota investment tax credits previously recognized as income tax credits in Corporate and Other were reversed in 2016 resulting in an $8.8 million charge to net income in 2016. In December 2016, Minnesota Power submitted a request for reconsideration with the MPUC.</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December 2017 order, the MPUC modified its November 2016 order to allow Minnesota Power to account for North Dakota investment tax credits based on the long-standing regulatory precedents of stand-alone allocation methodology of accounting for income taxes. As a result of the favorable regulatory outcome, Minnesota Power recorded a reduction in its regulatory liability and an increase in Operating Revenue of $14.0 million in 2017. The North Dakota investment tax credits previously recorded were reestablished as income tax credits in Corporate and Other, resulting in a $7.9 million increase to net income in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Corporate and Other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an order dated November 19, 2018.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Fuel Adjustment Clause Reform</w:t>
      </w:r>
      <w:r>
        <w:rPr>
          <w:rFonts w:ascii="Arial" w:cs="Arial" w:eastAsia="Arial" w:hAnsi="Arial"/>
          <w:sz w:val="17"/>
          <w:szCs w:val="17"/>
          <w:color w:val="auto"/>
        </w:rPr>
        <w:t>. In a December 2017 order, the MPUC adopted a program to implement certain procedural reforms to the Minnesota utilities’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 fuel adjustment clause (FAC) for fuel and purchased power. The order will change the method of accounting for all Minnesota electric utilities to a monthly budgeted, forwarded-looking FAC with an annual prudence review and true-up to actual allowed costs. The MPUC is seeking input from Minnesota electric utilities and other stakeholders on the implementation and transition accounting needed to adopt the change. At a hearing on January 18, 2018, the MPUC disallowed recovery of Minnesota Power’s regulatory asset for deferred fuel adjustment clause costs due to the anticipated adoption of the forward-looking fuel adjustment clause methodology resulting in a $19.5 million pre-tax charge to Fuel, Purchased Power and Gas – Utility in 2017. In an order dated December 12, 2018, the MPUC deferred the implementation date to January 1, 2020.</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Tax Cuts and Jobs Act of 2017</w:t>
      </w:r>
      <w:r>
        <w:rPr>
          <w:rFonts w:ascii="Arial" w:cs="Arial" w:eastAsia="Arial" w:hAnsi="Arial"/>
          <w:sz w:val="18"/>
          <w:szCs w:val="18"/>
          <w:color w:val="auto"/>
        </w:rPr>
        <w:t>. In December 2017, the MPUC opened a docket to review the effects of the TCJA on electric and natural gas rates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including the legislation’s impact on tax rates and utilities’ deferred income tax assets and liabilities. On March 2, 2018, Minnesota Power submitted an initial filing to the MPUC regarding the impacts of the TCJA on Minnesota Power. As part of Minnesota Power’s rate case, in an order dated May 29, 2018, the MPUC directed Minnesota Power to utilize the benefits of the lower federal income tax rate enacted as part of the TCJA to offset an increase in depreciation expense, effective January 1, 2018, resulting from the reduction in the depreciable lives of Boswell Unit 3, Unit 4 and common facilities to 2035 that would have otherwise resulted in an increase in customer rates. The impact of the TCJA on Minnesota Power’s deferred income tax assets and liabilities was not addressed in the rate case order.</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 order dated December 5, 2018, the MPUC determined the regulatory treatment for the impact of the TCJA on Minnesota Power’s deferred income tax assets and liabilities. The MPUC authorized Minnesota Power to amortize the income tax benefits from the remeasurement of deferred income tax assets and liabilities resulting from the TCJA primarily over the life of the related property, plant and equipment with the remainder amortized over a 10-year period. The MPUC directed Minnesota Power to return these excess deferred income tax benefits as a monthly bill credit beginning with the implementation of final rates on December 1, 2018. Additionally, Minnesota Power customers will receive a one-time bill credit in 2019 for the benefit of the excess deferred income taxes from January 1, 2018, through November 30,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0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January 10, 2018, the PSCW opened a docket to review the effects of the TCJA and directed Wisconsin utilities to defer its impacts until further direction was provided by the PSCW. In an order dated May 24, 2018, the PSCW directed SWL&amp;P to refund the benefits of the lower federal income tax rates enacted as part of the TCJA on customer bills beginning in July 2018. In an order dated December 20, 2018, the PSCW directed SWL&amp;P to return the excess deferred income tax benefits for 2018 in 2019 and 2020, and include the return of excess deferred income tax benefits going forward in final rates effective January 1, 2019, with a true-up in its next rate case. (See </w:t>
      </w:r>
      <w:r>
        <w:rPr>
          <w:rFonts w:ascii="Arial" w:cs="Arial" w:eastAsia="Arial" w:hAnsi="Arial"/>
          <w:sz w:val="16"/>
          <w:szCs w:val="16"/>
          <w:i w:val="1"/>
          <w:iCs w:val="1"/>
          <w:color w:val="auto"/>
        </w:rPr>
        <w:t>2018 Wisconsin General Rate Case.</w:t>
      </w:r>
      <w:r>
        <w:rPr>
          <w:rFonts w:ascii="Arial" w:cs="Arial" w:eastAsia="Arial" w:hAnsi="Arial"/>
          <w:sz w:val="16"/>
          <w:szCs w:val="16"/>
          <w:color w:val="auto"/>
        </w:rPr>
        <w:t>) These excess deferred income tax benefits for SWL&amp;P will be returned primarily over the life of the related property, plant and equipment with the remainder amortized over a 4-year period.</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2016 Wisconsin General Rate Case. </w:t>
      </w:r>
      <w:r>
        <w:rPr>
          <w:rFonts w:ascii="Arial" w:cs="Arial" w:eastAsia="Arial" w:hAnsi="Arial"/>
          <w:sz w:val="18"/>
          <w:szCs w:val="18"/>
          <w:color w:val="auto"/>
        </w:rPr>
        <w:t>SWL&amp;P’s retail rates in 2018 were based on a 2017 PSCW retail rate order effective August 2017 that allowed for a 10.5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55 percent equity ratio. SWL&amp;P’s retail rates prior to August 2017, were based on a 2012 PSCW retail rate order that provided for a 10.9 percent return on equity.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On May 25, 2018, SWL&amp;P filed a rate increase request with the PSCW requesting an average increase of 2.7 percent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customers (2.0 percent increase in electric rates; 2.3 percent increase in natural gas rates; and 8.3 percent increase in water rates). The filing sought an overall return on equity of 10.5 percent and a 55.41 percent equity ratio. In an order dated December 20, 2018, the PSCW approved a rate increase for SWL&amp;P including a return on equity of 10.4 percent and a 55.0 percent equity ratio. Final rates went into effect January 1, 2019, which is expected to result in additional revenue of approximately $1.3 million on an annualized basis.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2015, Minnesota Power filed its 2015 IRP with the MPUC which included an analysis of a variety of existing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energy resource alternatives and a projection of customer cost impact by class. The 2015 IRP also contained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including the economic idling of Taconite Harbor Units 1 and 2 which occurred in 2016, the ceasing of coal-fired operations at Taconite Harbor in 2020, and the addition of between 200 MW and 300 MW of natural gas-fired generation. In a 2016 order, the MPUC approved Minnesota Power’s 2015 IRP with modifications. The order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w:t>
      </w:r>
    </w:p>
    <w:p>
      <w:pPr>
        <w:spacing w:after="0" w:line="17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July 2017, Minnesota Power submitted a resource package to the MPUC requesting approval of PPAs for the output of a 250 MW wind energy facility and a 10 MW solar energy facility as well as approval of a 250 MW natural gas capacity dedication agreement. These agreements were subject to MPUC approval of the construction of NTEC, a 525 MW to 550 MW combined-cycle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including a securitization plan. The MPUC also approved Minnesota Power’s request to extend the next IRP filing deadline until October 1, 2020. On January 8, 2019, an application for a certificate of public convenience and necessity for NTEC was submitted to the PSCW. A decision on the application is expected in 2020.</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2018, Minnesota Power filed a separate petition for approval of the PPA for the output of the 10 MW solar energy facility to be located in central Minnesota, which was approved by the MPUC in an order dated October 2, 2018. On August 22, 2018, Minnesota Power filed a separate petition for approval of an amended PPA for the output of the 250 MW wind energy facility to be located in southwestern Minnesota which was approved in an order dated January 23, 2019. (See Note 5. Equity Investments.)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is constructing the GNTL, an approximately 220-mile 500-kV transmission line between Manitoba</w:t>
      </w:r>
      <w:r>
        <w:rPr>
          <w:rFonts w:ascii="Arial" w:cs="Arial" w:eastAsia="Arial" w:hAnsi="Arial"/>
          <w:sz w:val="17"/>
          <w:szCs w:val="17"/>
          <w:b w:val="1"/>
          <w:bCs w:val="1"/>
          <w:color w:val="auto"/>
        </w:rPr>
        <w:t xml:space="preserve"> </w:t>
      </w:r>
      <w:r>
        <w:rPr>
          <w:rFonts w:ascii="Arial" w:cs="Arial" w:eastAsia="Arial" w:hAnsi="Arial"/>
          <w:sz w:val="17"/>
          <w:szCs w:val="17"/>
          <w:color w:val="auto"/>
        </w:rPr>
        <w:t>and Minnesota’s Iron Range that was proposed by Minnesota Power and Manitoba Hydro. In a 2016 order, the MPUC approved the route permit for the GNTL, and in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$380.8 million have been incurred through December 31, 2018, of which $203.7 million has been recovered from a subsidiary of Manitoba Hydro.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0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Northern Transmission Line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(See Note 11. Commitments, Guarantees and Contingencies.)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Minnesota Power also has FERC approval to recover on construction work in progress related to the GNTL from Minnesota Power’s wholesale customers.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Minnesota requires electric utilities to spend a minimum of 1.5 percent of gross operating revenues,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received from exempt customers, from service provided in the state on energy CIPs each year. In November 2017, the Minnesota Department of Commerce approved Minnesota Power’s modified CIP triennial filing for 2017 through 2019, which outlined Minnesota Power’s CIP spending and energy-saving goals for those years. Minnesota Power’s CIP investment goal was $10.3 million for 2018 ($10.3 million for 2017; $7.3 million for 2016), with actual spending of $9.0 million in 2018 ($8.1 million in 2017; $7.4 million in 2016). The investment goal for 2019 is $10.5 million.</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 2018, Minnesota Power submitted its 2017 CIP consolidated filing, which detailed Minnesota Power’s CIP program results and requested a CIP financial incentive of $3.0 million based on MPUC procedures. In an order dated September 4, 2018, the MPUC approved Minnesota Power’s CIP consolidated filing, including the requested CIP financial incentive which was recorded as revenue and as a regulatory asset in 2018. The approved financial incentive will be recovered in customer billing rates in 2018 and 2019. In 2017 and 2016, the CIP financial incentives recognize were $5.5 million and $7.5 million, respectively. CIP financial incentives are recognized in the period in which the MPUC approves the filing.</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MISO Return on Equity Complaint. </w:t>
      </w:r>
      <w:r>
        <w:rPr>
          <w:rFonts w:ascii="Arial" w:cs="Arial" w:eastAsia="Arial" w:hAnsi="Arial"/>
          <w:sz w:val="18"/>
          <w:szCs w:val="18"/>
          <w:color w:val="auto"/>
        </w:rPr>
        <w:t>MISO transmission owners, including ALLETE and ATC, have an authorized return on equity of 10.32 percent, or</w:t>
      </w:r>
      <w:r>
        <w:rPr>
          <w:rFonts w:ascii="Arial" w:cs="Arial" w:eastAsia="Arial" w:hAnsi="Arial"/>
          <w:sz w:val="18"/>
          <w:szCs w:val="18"/>
          <w:b w:val="1"/>
          <w:bCs w:val="1"/>
          <w:color w:val="auto"/>
        </w:rPr>
        <w:t xml:space="preserve"> </w:t>
      </w:r>
      <w:r>
        <w:rPr>
          <w:rFonts w:ascii="Arial" w:cs="Arial" w:eastAsia="Arial" w:hAnsi="Arial"/>
          <w:sz w:val="18"/>
          <w:szCs w:val="18"/>
          <w:color w:val="auto"/>
        </w:rPr>
        <w:t>10.82 percent including an incentive adder for participation in a regional transmission organization.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 which is not expected to have a material impact on our Consolidated Financial Statements.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Minnesota law requires at least 1.5 percent of total retail electric sales, excluding sales to certain customers, to be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solar energy supply consists of Camp Ripley, a 10 MW solar energy facility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In an order dated October 2, 2018, the MPUC approved a PPA for the output of the 10 MW Blanchard solar energy facility to be located in central Minnesota. Minnesota Power expects that Camp Ripley, the community solar garden arrays, the PPA for the output of the 10 MW Blanchard solar energy facility, and an increase in solar rebates will allow Minnesota Power to meet both parts of the solar mandate.</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accounting guidance for the effect of certain types of regulation.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02"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$218.5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$220.3</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105.5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(d)</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32.6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Boswell 1 &amp; 2 </w:t>
            </w:r>
            <w:r>
              <w:rPr>
                <w:rFonts w:ascii="Arial" w:cs="Arial" w:eastAsia="Arial" w:hAnsi="Arial"/>
                <w:sz w:val="16"/>
                <w:szCs w:val="16"/>
                <w:i w:val="1"/>
                <w:iCs w:val="1"/>
                <w:color w:val="auto"/>
              </w:rPr>
              <w:t>(l)</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(e)</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8.0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Conservation Improvement Program </w:t>
            </w:r>
            <w:r>
              <w:rPr>
                <w:rFonts w:ascii="Arial" w:cs="Arial" w:eastAsia="Arial" w:hAnsi="Arial"/>
                <w:sz w:val="16"/>
                <w:szCs w:val="16"/>
                <w:i w:val="1"/>
                <w:iCs w:val="1"/>
                <w:color w:val="auto"/>
              </w:rPr>
              <w:t>(f)</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Assets</w:t>
            </w:r>
          </w:p>
        </w:tc>
        <w:tc>
          <w:tcPr>
            <w:tcW w:w="3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$389.5</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$384.7</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(i)</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$40.0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(j)</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Transmission Formula Rates</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Liabilities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396.4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(h)</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64.4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(i)</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25.1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(k)</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(g)</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6.9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 Formula Rates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512.1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3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$567.2</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15.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 and flow through current income taxes.</w:t>
      </w: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conservation improvement program regulatory asset represents CIP expenditures, any financial incentive earned for cost-effective program achievements and a carrying charge deferred for future cost recovery over the next year following MPUC approval.</w:t>
      </w:r>
    </w:p>
    <w:p>
      <w:pPr>
        <w:jc w:val="both"/>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liabilities are cash collections from our customers in excess of revenue recognized, primarily due to capital expenditures related to Bison, investment in CapX2020 projects, the Boswell Unit 4 environmental upgrade and the GNTL. The cost recovery rider regulatory liabilities as of December 31, 2018, will be returned within the next two years.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jc w:val="both"/>
        <w:ind w:left="340" w:hanging="332"/>
        <w:spacing w:after="0" w:line="189" w:lineRule="exact"/>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is expected to be refunded to Minnesota Power’s regulated retail customers in 2019 and includes $23.8 million of discounts provided to EITE customers as of December 31, 2018, that will be offset against interim rate refunds ($8.6 million as of December 31, 2017). (See 2016 Minnesota General Rate Case and Energy-Intensive Trade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Exposed Customer Rates.)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is expected to be refunded to Minnesota Power customers in the first quarter of 2019 and SWL&amp;P customers in 2019 and 2020. (See Tax Cuts and Jobs Act of 2017.)</w:t>
      </w:r>
    </w:p>
    <w:p>
      <w:pPr>
        <w:ind w:left="34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regulated retail customers through future renewable cost recovery rider filings as the tax credits are utilized.</w:t>
      </w:r>
    </w:p>
    <w:p>
      <w:pPr>
        <w:jc w:val="both"/>
        <w:ind w:left="340" w:hanging="332"/>
        <w:spacing w:after="0" w:line="252"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 December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sectPr>
          <w:pgSz w:w="11900" w:h="16838" w:orient="portrait"/>
          <w:cols w:equalWidth="0" w:num="1">
            <w:col w:w="11420"/>
          </w:cols>
          <w:pgMar w:left="240" w:top="702"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02"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5. EQUITY INVESTMENTS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 in ATC. </w:t>
      </w:r>
      <w:r>
        <w:rPr>
          <w:rFonts w:ascii="Arial" w:cs="Arial" w:eastAsia="Arial" w:hAnsi="Arial"/>
          <w:sz w:val="17"/>
          <w:szCs w:val="17"/>
          <w:color w:val="auto"/>
        </w:rPr>
        <w:t>Our wholly-owned subsidiary, ALLETE Transmission Holdings, owns approximately 8 percent of ATC, a Wisconsin-based utility that</w:t>
      </w:r>
      <w:r>
        <w:rPr>
          <w:rFonts w:ascii="Arial" w:cs="Arial" w:eastAsia="Arial" w:hAnsi="Arial"/>
          <w:sz w:val="17"/>
          <w:szCs w:val="17"/>
          <w:b w:val="1"/>
          <w:bCs w:val="1"/>
          <w:color w:val="auto"/>
        </w:rPr>
        <w:t xml:space="preserve"> </w:t>
      </w:r>
      <w:r>
        <w:rPr>
          <w:rFonts w:ascii="Arial" w:cs="Arial" w:eastAsia="Arial" w:hAnsi="Arial"/>
          <w:sz w:val="17"/>
          <w:szCs w:val="17"/>
          <w:color w:val="auto"/>
        </w:rPr>
        <w:t>owns and maintains electric transmission assets in portions of Wisconsin, Michigan, Minnesota and Illinois. We account for our investment in ATC under the equity method of accounting. As of December 31, 2018, our equity investment in ATC was $128.1 million ($118.7 million as of December 31, 2017). On January 31, 2019, we invested an additional $0.4 million in ATC. In total, we expect to invest approximately $8.5 million in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ALLETE’s Investment in ATC</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Beginning Balance</w:t>
            </w:r>
          </w:p>
        </w:tc>
        <w:tc>
          <w:tcPr>
            <w:tcW w:w="1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$118.7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156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1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156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(15.2)</w:t>
            </w: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Remeasurement of Deferred Income Taxes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156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0.9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Ending Balance</w:t>
            </w:r>
          </w:p>
        </w:tc>
        <w:tc>
          <w:tcPr>
            <w:tcW w:w="15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00"/>
        </w:trPr>
        <w:tc>
          <w:tcPr>
            <w:tcW w:w="20" w:type="dxa"/>
            <w:vAlign w:val="bottom"/>
          </w:tcPr>
          <w:p>
            <w:pPr>
              <w:spacing w:after="0"/>
              <w:rPr>
                <w:sz w:val="17"/>
                <w:szCs w:val="17"/>
                <w:color w:val="auto"/>
              </w:rPr>
            </w:pPr>
          </w:p>
        </w:tc>
        <w:tc>
          <w:tcPr>
            <w:tcW w:w="73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Impact of the remeasurement of deferred income tax assets and liabilities resulting from the TCJA.</w:t>
            </w:r>
          </w:p>
        </w:tc>
        <w:tc>
          <w:tcPr>
            <w:tcW w:w="15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442"/>
        </w:trPr>
        <w:tc>
          <w:tcPr>
            <w:tcW w:w="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ATC Summarized Financial Data</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156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$87.2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56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4,928.8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4,598.9</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$5,016.0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$4,686.6</w:t>
            </w:r>
          </w:p>
        </w:tc>
      </w:tr>
      <w:tr>
        <w:trPr>
          <w:trHeight w:val="237"/>
        </w:trPr>
        <w:tc>
          <w:tcPr>
            <w:tcW w:w="20" w:type="dxa"/>
            <w:vAlign w:val="bottom"/>
          </w:tcPr>
          <w:p>
            <w:pPr>
              <w:spacing w:after="0"/>
              <w:rPr>
                <w:sz w:val="20"/>
                <w:szCs w:val="20"/>
                <w:color w:val="auto"/>
              </w:rPr>
            </w:pPr>
          </w:p>
        </w:tc>
        <w:tc>
          <w:tcPr>
            <w:tcW w:w="7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Current Liabilities</w:t>
            </w:r>
          </w:p>
        </w:tc>
        <w:tc>
          <w:tcPr>
            <w:tcW w:w="1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$640.0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$767.2</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2,014.0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1,790.6</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56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295.3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240.3</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1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2,066.7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1,888.5</w:t>
            </w:r>
          </w:p>
        </w:tc>
      </w:tr>
      <w:tr>
        <w:trPr>
          <w:trHeight w:val="237"/>
        </w:trPr>
        <w:tc>
          <w:tcPr>
            <w:tcW w:w="20" w:type="dxa"/>
            <w:vAlign w:val="bottom"/>
          </w:tcPr>
          <w:p>
            <w:pPr>
              <w:spacing w:after="0"/>
              <w:rPr>
                <w:sz w:val="20"/>
                <w:szCs w:val="20"/>
                <w:color w:val="auto"/>
              </w:rPr>
            </w:pPr>
          </w:p>
        </w:tc>
        <w:tc>
          <w:tcPr>
            <w:tcW w:w="7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w:t>
            </w:r>
          </w:p>
        </w:tc>
        <w:tc>
          <w:tcPr>
            <w:tcW w:w="1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$5,016.0</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$4,686.6</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$690.5</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$721.6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w:t>
            </w:r>
          </w:p>
        </w:tc>
      </w:tr>
      <w:tr>
        <w:trPr>
          <w:trHeight w:val="243"/>
        </w:trPr>
        <w:tc>
          <w:tcPr>
            <w:tcW w:w="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358.7</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344.9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322.5</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108.3</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104.1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37"/>
        </w:trPr>
        <w:tc>
          <w:tcPr>
            <w:tcW w:w="20" w:type="dxa"/>
            <w:vAlign w:val="bottom"/>
          </w:tcPr>
          <w:p>
            <w:pPr>
              <w:spacing w:after="0"/>
              <w:rPr>
                <w:sz w:val="20"/>
                <w:szCs w:val="20"/>
                <w:color w:val="auto"/>
              </w:rPr>
            </w:pPr>
          </w:p>
        </w:tc>
        <w:tc>
          <w:tcPr>
            <w:tcW w:w="7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$223.5</w:t>
            </w: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$272.6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ALLETE’s Equity in Net Income</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ATC’s authorized return on equity is 10.32 percent, or 10.82 percent including an incentive adder for participation in a regional transmission organization.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0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5. EQUITY INVESTMENTS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On December 27, 2018, our wholly-owned subsidiary, ALLETE South Wind, entered into a partnership agreement with Tenaska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 49 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with an ALLETE expected equity investment of approximately $60 million to $70 million. We account for our investment in Nobles 2 under the equity method of accounting. As of December 31, 2018, our equity investment in Nobles 2 was $33.0 million.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years ended December 31, 2018, 2017 and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Tonka Water. </w:t>
      </w:r>
      <w:r>
        <w:rPr>
          <w:rFonts w:ascii="Arial" w:cs="Arial" w:eastAsia="Arial" w:hAnsi="Arial"/>
          <w:sz w:val="18"/>
          <w:szCs w:val="18"/>
          <w:color w:val="auto"/>
        </w:rPr>
        <w:t>In September 2017, U.S. Water Services acquired 100 percent of Tonka Water. Total consideration for the transaction was $19.2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working capital adjustment. Consideration of $19.0 million was paid in cash on the acquisition date and a working capital adjustment of $0.2 million was paid in the fourth quarter of 2017. Tonka Water is a supplier of municipal and industrial water treatment systems that expanded U.S. Water Services’ geographic and customer markets.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2018, is reflected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03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6"/>
                <w:szCs w:val="16"/>
                <w:i w:val="1"/>
                <w:iCs w:val="1"/>
                <w:color w:val="auto"/>
              </w:rPr>
              <w:t>(a)</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44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40" w:type="dxa"/>
            <w:vAlign w:val="bottom"/>
            <w:tcBorders>
              <w:top w:val="single" w:sz="8" w:color="auto"/>
            </w:tcBorders>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69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69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0"/>
        </w:trPr>
        <w:tc>
          <w:tcPr>
            <w:tcW w:w="692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7. Goodwill and Intangible Assets.)</w:t>
      </w:r>
    </w:p>
    <w:p>
      <w:pPr>
        <w:spacing w:after="0" w:line="22" w:lineRule="exact"/>
        <w:rPr>
          <w:rFonts w:ascii="Arial" w:cs="Arial" w:eastAsia="Arial" w:hAnsi="Arial"/>
          <w:sz w:val="16"/>
          <w:szCs w:val="16"/>
          <w:i w:val="1"/>
          <w:iCs w:val="1"/>
          <w:color w:val="auto"/>
        </w:rPr>
      </w:pPr>
    </w:p>
    <w:p>
      <w:pPr>
        <w:ind w:left="340" w:hanging="332"/>
        <w:spacing w:after="0" w:line="270"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Recognized goodwill is attributable to the assembled workforce and anticipated synergies. For tax purposes, the purchase price allocation resulted in $4.1 million of deductible goodwill.</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immaterial, expensed as incurred during 2017 and recorded in Operating and Maintenance on the Consolidated Statement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Acquisition of Non-Controlling Interest. </w:t>
      </w:r>
      <w:r>
        <w:rPr>
          <w:rFonts w:ascii="Arial" w:cs="Arial" w:eastAsia="Arial" w:hAnsi="Arial"/>
          <w:sz w:val="16"/>
          <w:szCs w:val="16"/>
          <w:color w:val="auto"/>
        </w:rPr>
        <w:t>In 2016, ALLETE Clean Energy acquired the non-controlling interest in the limited liability company that owns its</w:t>
      </w:r>
      <w:r>
        <w:rPr>
          <w:rFonts w:ascii="Arial" w:cs="Arial" w:eastAsia="Arial" w:hAnsi="Arial"/>
          <w:sz w:val="16"/>
          <w:szCs w:val="16"/>
          <w:i w:val="1"/>
          <w:iCs w:val="1"/>
          <w:color w:val="auto"/>
        </w:rPr>
        <w:t xml:space="preserve"> </w:t>
      </w:r>
      <w:r>
        <w:rPr>
          <w:rFonts w:ascii="Arial" w:cs="Arial" w:eastAsia="Arial" w:hAnsi="Arial"/>
          <w:sz w:val="16"/>
          <w:szCs w:val="16"/>
          <w:color w:val="auto"/>
        </w:rPr>
        <w:t>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0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In 2016, U.S. Water Services acquired 100 percent of Water &amp; Energy Systems Technology of Nevada, Inc. (WEST). Total consideration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was $6.7 million. Consideration of $5.9 million was paid in cash on the acquisition date, working capital adjustments of $0.2 million were paid in 2017 and a $0.6 million payment was made in April 2018. WEST is an integrated water management company and was acquired to expand U.S. Water Services’ regional footprint in the Southwestern United States.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2017, is shown in the following table.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124460</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7.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to goodwill by reportable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5300" w:type="dxa"/>
            <w:vAlign w:val="bottom"/>
          </w:tcPr>
          <w:p>
            <w:pPr>
              <w:jc w:val="right"/>
              <w:ind w:right="10"/>
              <w:spacing w:after="0"/>
              <w:rPr>
                <w:sz w:val="20"/>
                <w:szCs w:val="20"/>
                <w:color w:val="auto"/>
              </w:rPr>
            </w:pPr>
            <w:r>
              <w:rPr>
                <w:rFonts w:ascii="Arial" w:cs="Arial" w:eastAsia="Arial" w:hAnsi="Arial"/>
                <w:sz w:val="18"/>
                <w:szCs w:val="18"/>
                <w:b w:val="1"/>
                <w:bCs w:val="1"/>
                <w:color w:val="auto"/>
              </w:rPr>
              <w:t>U.S. Water Services</w:t>
            </w:r>
          </w:p>
        </w:tc>
      </w:tr>
      <w:tr>
        <w:trPr>
          <w:trHeight w:val="27"/>
        </w:trPr>
        <w:tc>
          <w:tcPr>
            <w:tcW w:w="61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3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6"/>
                <w:szCs w:val="16"/>
                <w:i w:val="1"/>
                <w:iCs w:val="1"/>
                <w:color w:val="auto"/>
              </w:rPr>
              <w:t>(a)</w:t>
            </w:r>
          </w:p>
        </w:tc>
        <w:tc>
          <w:tcPr>
            <w:tcW w:w="530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6"/>
                <w:szCs w:val="16"/>
                <w:i w:val="1"/>
                <w:iCs w:val="1"/>
                <w:color w:val="auto"/>
              </w:rPr>
              <w:t>(b)</w:t>
            </w:r>
          </w:p>
        </w:tc>
        <w:tc>
          <w:tcPr>
            <w:tcW w:w="5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5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148.3</w:t>
            </w:r>
          </w:p>
        </w:tc>
      </w:tr>
      <w:tr>
        <w:trPr>
          <w:trHeight w:val="27"/>
        </w:trPr>
        <w:tc>
          <w:tcPr>
            <w:tcW w:w="61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6"/>
                <w:szCs w:val="16"/>
                <w:i w:val="1"/>
                <w:iCs w:val="1"/>
                <w:color w:val="auto"/>
              </w:rPr>
              <w:t>(b)</w:t>
            </w:r>
          </w:p>
        </w:tc>
        <w:tc>
          <w:tcPr>
            <w:tcW w:w="5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5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See Note 6. Acquisitions.</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Finalization of purchase price accounting for U.S. Water Services’ acquisition of WEST was completed in 2017 and acquisition of Tonka Water was completed in 2018 resulting in adjustments in those periods to the goodwill recorded at the time of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0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7. GOODWILL AND INTANGIBLE ASSETS (Continued)</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260" w:type="dxa"/>
            <w:vAlign w:val="bottom"/>
            <w:gridSpan w:val="3"/>
          </w:tcPr>
          <w:p>
            <w:pPr>
              <w:spacing w:after="0"/>
              <w:rPr>
                <w:sz w:val="20"/>
                <w:szCs w:val="20"/>
                <w:color w:val="auto"/>
              </w:rPr>
            </w:pPr>
            <w:r>
              <w:rPr>
                <w:rFonts w:ascii="Arial" w:cs="Arial" w:eastAsia="Arial" w:hAnsi="Arial"/>
                <w:sz w:val="18"/>
                <w:szCs w:val="18"/>
                <w:color w:val="auto"/>
                <w:w w:val="97"/>
              </w:rPr>
              <w:t>The following table summarizes changes to intangible assets, net, for the year ended December 31, 2018:</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522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2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Additions</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$54.7</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6.3</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5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61.0</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16.6</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$77.6</w:t>
            </w:r>
          </w:p>
        </w:tc>
        <w:tc>
          <w:tcPr>
            <w:tcW w:w="15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$(5.6)</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land easements and trade names with finite lives.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19 years, and developed technology and other have remaining useful lives ranging from approximately 4 years to approximately 10 years (weighted average of approximately 6 years). The weighted average remaining useful life of all definite-lived intangible assets as of December 31, 2018, is approximately 17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year ended December 31, 2018, was $5.6 million ($5.5 million in 2017; $5.2 million in 2016). Accumulated amortization was $20.4 million and $14.8 million as of December 31, 2018, and December 31, 2017, respectively. Estimated amortization expense for definite-lived intangible assets is $5.3 million in 2019, $4.9 million in 2020, $4.9 million in 2021, $4.6 million in 2022, $4.3 million in 2023 and $34.2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December 31, 2018,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5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20.2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5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9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$49.1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594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ind w:left="340" w:hanging="332"/>
        <w:spacing w:after="0" w:line="296" w:lineRule="auto"/>
        <w:tabs>
          <w:tab w:leader="none" w:pos="34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2018, the aggregate amount of available-for-sale corporate and governmental debt securities maturing in one year or less was $2.0 million, in one year to less than three years was $2.9 million, in three years to less than five years was $2.6 million, and in five or more years was $0.5 million.</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We account for our available-for-sale securities portfolio in accordance with the guidance for certain investments in debt and</w:t>
      </w:r>
      <w:r>
        <w:rPr>
          <w:rFonts w:ascii="Arial" w:cs="Arial" w:eastAsia="Arial" w:hAnsi="Arial"/>
          <w:sz w:val="17"/>
          <w:szCs w:val="17"/>
          <w:b w:val="1"/>
          <w:bCs w:val="1"/>
          <w:color w:val="auto"/>
        </w:rPr>
        <w:t xml:space="preserve"> </w:t>
      </w:r>
      <w:r>
        <w:rPr>
          <w:rFonts w:ascii="Arial" w:cs="Arial" w:eastAsia="Arial" w:hAnsi="Arial"/>
          <w:sz w:val="17"/>
          <w:szCs w:val="17"/>
          <w:color w:val="auto"/>
        </w:rPr>
        <w:t>equity securities. Our available-for-sale securities portfolio consisted primarily of securities held in other postretirement plans to fund employee benefits. Gross realized and unrealized gains and losses on our available-for-sale securities were immaterial in 2018, 2017 and 2016.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02"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9.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the U.S. Water Services contingent consideration liability.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2018, and December 31, 2017.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Fair Value as of December 31, 2018</w:t>
            </w:r>
          </w:p>
        </w:tc>
        <w:tc>
          <w:tcPr>
            <w:tcW w:w="820" w:type="dxa"/>
            <w:vAlign w:val="bottom"/>
          </w:tcPr>
          <w:p>
            <w:pPr>
              <w:spacing w:after="0"/>
              <w:rPr>
                <w:sz w:val="20"/>
                <w:szCs w:val="20"/>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2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1"/>
        </w:trPr>
        <w:tc>
          <w:tcPr>
            <w:tcW w:w="6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(b)</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(c)</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5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$(11.8)</w:t>
            </w: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$(3.8)</w:t>
            </w:r>
          </w:p>
        </w:tc>
        <w:tc>
          <w:tcPr>
            <w:tcW w:w="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0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9. FAIR VALUE (Continued)</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6180" w:type="dxa"/>
            <w:vAlign w:val="bottom"/>
          </w:tcPr>
          <w:p>
            <w:pPr>
              <w:spacing w:after="0"/>
              <w:rPr>
                <w:sz w:val="24"/>
                <w:szCs w:val="24"/>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2017</w:t>
            </w:r>
          </w:p>
        </w:tc>
        <w:tc>
          <w:tcPr>
            <w:tcW w:w="80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13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$5.4</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$14.0</w:t>
            </w: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$(9.3)</w:t>
            </w: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provides a reconciliation of the beginning and ending balances of the U.S. Water Services Contingent Consideration measured at fair value using Level 3 measurements as of December 31, 2018, and December 31, 2017. The acquisition contingent consideration was recorded at the acquisition date at its estimated fair value. The acquisition date fair value was measured based on the consideration expected to be transferred, discounted to present value. The discount rate was determined at the time of measurement in accordance with generally accepted valuation methods. The fair value of the acquisition contingent consideration is remeasured to arrive at estimated fair value each reporting period with the change in fair value recognized as income or expense in the Consolidated Statement of Income. Changes to the fair value of the acquisition contingent consideration can result from changes in discount rates, timing of milestones that trigger payments, and the timing and amount of earnings estimates. Using different valuation assumptions, including earnings projections or discount rates, may result in different fair value measurements and expense (or income) in future periods. Management analyzes the fair value of the contingent liability on a quarterly basis and makes adjustments as appropriate. The acquisition contingent consideration was measured at $3.8 million as of December 31, 2018.</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46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668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6"/>
                <w:szCs w:val="16"/>
                <w:i w:val="1"/>
                <w:iCs w:val="1"/>
                <w:color w:val="auto"/>
              </w:rPr>
              <w:t>(b)</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Changes in Cash Flow Projections</w:t>
            </w:r>
          </w:p>
        </w:tc>
        <w:tc>
          <w:tcPr>
            <w:tcW w:w="46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4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Accretion </w:t>
            </w:r>
            <w:r>
              <w:rPr>
                <w:rFonts w:ascii="Arial" w:cs="Arial" w:eastAsia="Arial" w:hAnsi="Arial"/>
                <w:sz w:val="16"/>
                <w:szCs w:val="16"/>
                <w:i w:val="1"/>
                <w:iCs w:val="1"/>
                <w:color w:val="auto"/>
              </w:rPr>
              <w:t>(a)</w:t>
            </w:r>
          </w:p>
        </w:tc>
        <w:tc>
          <w:tcPr>
            <w:tcW w:w="468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668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Cash Flow Projections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2018</w:t>
            </w:r>
          </w:p>
        </w:tc>
        <w:tc>
          <w:tcPr>
            <w:tcW w:w="4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Interest Expense on the Consolidated Statement of Income.</w:t>
      </w:r>
    </w:p>
    <w:p>
      <w:pPr>
        <w:spacing w:after="0" w:line="19"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Payments reflect the impact of a modification to the shareholder agreement in the first quarter of 2017 which provided participants a one-time election to sell shares at a determined price. Participants representing approximately half of the outstanding contingent consideration shares made the election, and were paid in 2017.</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2018 and 2017, there were no transfers in or out of Levels 1, 2 or 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0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8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3280" w:type="dxa"/>
            <w:vAlign w:val="bottom"/>
          </w:tcPr>
          <w:p>
            <w:pPr>
              <w:jc w:val="center"/>
              <w:ind w:left="850"/>
              <w:spacing w:after="0"/>
              <w:rPr>
                <w:sz w:val="20"/>
                <w:szCs w:val="20"/>
                <w:color w:val="auto"/>
              </w:rPr>
            </w:pPr>
            <w:r>
              <w:rPr>
                <w:rFonts w:ascii="Arial" w:cs="Arial" w:eastAsia="Arial" w:hAnsi="Arial"/>
                <w:sz w:val="18"/>
                <w:szCs w:val="18"/>
                <w:color w:val="auto"/>
                <w:w w:val="88"/>
              </w:rPr>
              <w:t>$1,495.2</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88"/>
              </w:rPr>
              <w:t>$1,534.6</w:t>
            </w: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328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$1,513.3</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$1,627.6</w:t>
            </w:r>
          </w:p>
        </w:tc>
      </w:tr>
      <w:tr>
        <w:trPr>
          <w:trHeight w:val="20"/>
        </w:trPr>
        <w:tc>
          <w:tcPr>
            <w:tcW w:w="63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The aggregate carrying amount of our equity investments was $161.1 million as of December 31, 2018 ($118.7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Company assesses our equity investments in ATC and Nobles 2 for impairment whenever events or changes in circumstances indicate that the carrying amount of our investments may not be recoverable. For the years ended December 31, 2018 and 2017, there were no indicators of impairment. (See Note 5. Equity Investments.)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the impairment of goodwill annually in the fourth quarter and whenever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indicate that the carrying amount may be impaired. The Company’s goodwill is a result of the U.S. Water Services acquisition in 2015 as well as U.S. Water Services’ subsequent acquisitions. (See Note 6. Acquisitions.) The aggregate carrying amount of goodwill was $148.5 million as of December 31, 2018, and $148.3 million as of December 31, 2017.</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Impairment testing for goodwill is done at the reporting unit level. An impairment loss is recognized when the carrying amount of the reporting unit’s net assets exceeds the estimated fair value of the reporting unit. The inputs used in the fair value analysis fall within Level 3 of the fair value hierarchy due to the use of significant unobservable inputs to determine fair value. The test for impairment requires us to make several estimates about fair value, most of which are based on projected future cash flows. The Company calculates the excess of the reporting unit's fair value over its carrying amount, including goodwill, utilizing a discounted cash flow analysis. Our annual impairment test for U.S. Water Services indicated that the estimated fair value of U.S. Water Services exceeded its carrying value, and no impairment existed for the year ended December 31, 2018 (none in 2017 and none in 2016). As part of the 2016 annual impairment analysis, the Company recognized a non-cash impairment charge of $3.3 million for ALLETE Clean Energy’s goodwill primarily related to the acquisition of Storm Lake II in 2014. The charge, which is presented within Operating Expenses – Other in the Consolidated Statement of Income, eliminated all goodwill for the ALLETE Clean Energy reporting unit. (See Note 1. Operations and Significant Accounting Policies.)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Company assesses indefinite-lived intangible assets for impairment annually in the fourth quarter. The Company also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in 2015 as well as U.S. Water Services’ subsequent acquisitions. The aggregate carrying amount of intangible assets was $74.8 million as of December 31, 2018 ($77.6 million as of December 31, 2017). When events or changes in circumstances indicate that the carrying amount of an intangible asset may not be recoverable, the Company calculates the excess of an intangible asset's carrying amount over its undiscounted future cash flows. If the carrying amount is not recoverable, an impairment loss is recorded based on the amount by which the carrying amount exceeds the fair value. The inputs used in the fair value analysis fall within Level 3 of the fair value hierarchy due to the use of significant unobservable inputs to determine fair value. As of December 31, 2018, there have been no events or changes in circumstance which would indicate impairment of our intangible assets.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The Company assesses the impairment of property, plant, and equipment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property, plant, and equipment assets may not be recoverable. The impairment of ALLETE Clean Energy’s goodwill in 2016, primarily due to lower estimated energy prices in periods not under PSAs, caused management to review ALLETE Clean Energy’s WTGs for impairment. Based on the results of the undiscounted cash flow analysis, the undiscounted future cash flows were adequate to recover the carrying value of the WTGs. (See Note 1. Operations and Significant Accounting Policies.) For the years ended December 31, 2018, and 2017, there was no impairment of property, plant, and equipment.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0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long-standing ratemaking practices approved by applicable state and federal regulatory commissions allow for the recovery of the remaining book value of retired plant assets. In a 2016 order, the MPUC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 As part of the 2016 general retail rate case, the MPUC allowed recovery of the remaining book value of Boswell Units 1 and 2 through 2022. We do not expect to record any impairment charge as a result of the retirement of Taconite Harbor Unit 3,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 (See Note 4. Regulatory Matters.)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2018, total short-term debt outstanding was $57.5 million ($64.1 million as of December 31, 2017), consisted of long-term debt due within one year and included $0.4 million of unamortized debt issuance costs.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consolidated bank lines of credit aggregating $407.0 million ($407.0 million as of December 31, 2017), most of which expire in January 2024. We had $18.4 million outstanding in standby letters of credit and no outstanding draws under our lines of credit as of December 31, 2018 ($11.9 million in standby letters of credit and no outstanding draws as of December 31, 2017).</w:t>
      </w:r>
    </w:p>
    <w:p>
      <w:pPr>
        <w:spacing w:after="0" w:line="18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January 10, 2019, ALLETE entered into an amended and restated $400 million credit agreement (Credit Agreement). The Credit Agreement amended and restated ALLETE’s $400 million credit facility, which was scheduled to expire in October 2020. The Credit Agreement is unsecured, has a variable interest rate and will expire in January 2024. At ALLETE’s request and subject to certain conditions, the Credit Agreement may be increased by up to$150 million and ALLETE may make two requests to extend the maturity date, each for a one</w:t>
      </w:r>
      <w:r>
        <w:rPr>
          <w:rFonts w:ascii="MS PGothic" w:cs="MS PGothic" w:eastAsia="MS PGothic" w:hAnsi="MS PGothic"/>
          <w:sz w:val="17"/>
          <w:szCs w:val="17"/>
          <w:color w:val="auto"/>
        </w:rPr>
        <w:t>‑</w:t>
      </w:r>
      <w:r>
        <w:rPr>
          <w:rFonts w:ascii="Arial" w:cs="Arial" w:eastAsia="Arial" w:hAnsi="Arial"/>
          <w:sz w:val="17"/>
          <w:szCs w:val="17"/>
          <w:color w:val="auto"/>
        </w:rPr>
        <w:t>year extension. Advances may be used by ALLETE for general corporate purposes, to provide liquidity in support of ALLETE's commercial paper program and to issue up to $60 million in letters of credit.</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2018, total long-term debt outstanding was $1,428.5 million ($1,439.2 million as of December 31, 2017)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$8.8 million of unamortized debt issuance costs. The aggregate amount of long-term debt maturing in 2019 is $57.9 million; $113.7 million in 2020; $98.5 million in 2021; $89.3 million in 2022; $88.5 million in 2023; and $1,047.3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17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Arial" w:cs="Arial" w:eastAsia="Arial" w:hAnsi="Arial"/>
          <w:sz w:val="18"/>
          <w:szCs w:val="18"/>
          <w:color w:val="auto"/>
        </w:rPr>
        <w:t>year term, or to purchase the solar array for approximately $4 million. Minnesota Power anticipates exercising the purchase option when the term expires.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2018, ALLETE issued and sold $60.0 million of its First Mortgage Bonds (the Bonds) that bear interest at 4.07 percent. The Bonds will mature in April 2048 and pay interest semi-annually in April and October of each year, commencing on October 16, 2018. ALLETE has the option to prepay all or a portion of the Bonds at its discretion, subject to a make-whole provision. The Bonds are subject to additional terms and conditions which are customary for these types of transactions. ALLETE intends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0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October 3, 2018, and October 17, 2018, ALLETE repaid $20.0 million and $10.0 million, respectively, under an unsecured term loan due in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2"/>
              </w:rPr>
              <w:t>Millions</w:t>
            </w:r>
          </w:p>
        </w:tc>
        <w:tc>
          <w:tcPr>
            <w:tcW w:w="7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2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7520" w:type="dxa"/>
            <w:vAlign w:val="bottom"/>
          </w:tcPr>
          <w:p>
            <w:pPr>
              <w:spacing w:after="0"/>
              <w:rPr>
                <w:sz w:val="20"/>
                <w:szCs w:val="20"/>
                <w:color w:val="auto"/>
              </w:rPr>
            </w:pPr>
            <w:r>
              <w:rPr>
                <w:rFonts w:ascii="Arial" w:cs="Arial" w:eastAsia="Arial" w:hAnsi="Arial"/>
                <w:sz w:val="18"/>
                <w:szCs w:val="18"/>
                <w:color w:val="auto"/>
              </w:rPr>
              <w:t>Series Due 2018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2019</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$42.0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7520" w:type="dxa"/>
            <w:vAlign w:val="bottom"/>
          </w:tcPr>
          <w:p>
            <w:pPr>
              <w:spacing w:after="0"/>
              <w:rPr>
                <w:sz w:val="20"/>
                <w:szCs w:val="20"/>
                <w:color w:val="auto"/>
              </w:rPr>
            </w:pPr>
            <w:r>
              <w:rPr>
                <w:rFonts w:ascii="Arial" w:cs="Arial" w:eastAsia="Arial" w:hAnsi="Arial"/>
                <w:sz w:val="18"/>
                <w:szCs w:val="18"/>
                <w:color w:val="auto"/>
              </w:rPr>
              <w:t>Series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7520" w:type="dxa"/>
            <w:vAlign w:val="bottom"/>
          </w:tcPr>
          <w:p>
            <w:pPr>
              <w:spacing w:after="0"/>
              <w:rPr>
                <w:sz w:val="20"/>
                <w:szCs w:val="20"/>
                <w:color w:val="auto"/>
              </w:rPr>
            </w:pPr>
            <w:r>
              <w:rPr>
                <w:rFonts w:ascii="Arial" w:cs="Arial" w:eastAsia="Arial" w:hAnsi="Arial"/>
                <w:sz w:val="18"/>
                <w:szCs w:val="18"/>
                <w:color w:val="auto"/>
              </w:rPr>
              <w:t>Series Due 2021</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2021</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7520" w:type="dxa"/>
            <w:vAlign w:val="bottom"/>
          </w:tcPr>
          <w:p>
            <w:pPr>
              <w:spacing w:after="0"/>
              <w:rPr>
                <w:sz w:val="20"/>
                <w:szCs w:val="20"/>
                <w:color w:val="auto"/>
              </w:rPr>
            </w:pPr>
            <w:r>
              <w:rPr>
                <w:rFonts w:ascii="Arial" w:cs="Arial" w:eastAsia="Arial" w:hAnsi="Arial"/>
                <w:sz w:val="18"/>
                <w:szCs w:val="18"/>
                <w:color w:val="auto"/>
              </w:rPr>
              <w:t>Series Due 2022</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2023</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7520" w:type="dxa"/>
            <w:vAlign w:val="bottom"/>
          </w:tcPr>
          <w:p>
            <w:pPr>
              <w:spacing w:after="0"/>
              <w:rPr>
                <w:sz w:val="20"/>
                <w:szCs w:val="20"/>
                <w:color w:val="auto"/>
              </w:rPr>
            </w:pPr>
            <w:r>
              <w:rPr>
                <w:rFonts w:ascii="Arial" w:cs="Arial" w:eastAsia="Arial" w:hAnsi="Arial"/>
                <w:sz w:val="18"/>
                <w:szCs w:val="18"/>
                <w:color w:val="auto"/>
              </w:rPr>
              <w:t>Series Due 2024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7520" w:type="dxa"/>
            <w:vAlign w:val="bottom"/>
          </w:tcPr>
          <w:p>
            <w:pPr>
              <w:spacing w:after="0"/>
              <w:rPr>
                <w:sz w:val="20"/>
                <w:szCs w:val="20"/>
                <w:color w:val="auto"/>
              </w:rPr>
            </w:pPr>
            <w:r>
              <w:rPr>
                <w:rFonts w:ascii="Arial" w:cs="Arial" w:eastAsia="Arial" w:hAnsi="Arial"/>
                <w:sz w:val="18"/>
                <w:szCs w:val="18"/>
                <w:color w:val="auto"/>
              </w:rPr>
              <w:t>Series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2026</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5.99%</w:t>
            </w:r>
          </w:p>
        </w:tc>
        <w:tc>
          <w:tcPr>
            <w:tcW w:w="7520" w:type="dxa"/>
            <w:vAlign w:val="bottom"/>
          </w:tcPr>
          <w:p>
            <w:pPr>
              <w:spacing w:after="0"/>
              <w:rPr>
                <w:sz w:val="20"/>
                <w:szCs w:val="20"/>
                <w:color w:val="auto"/>
              </w:rPr>
            </w:pPr>
            <w:r>
              <w:rPr>
                <w:rFonts w:ascii="Arial" w:cs="Arial" w:eastAsia="Arial" w:hAnsi="Arial"/>
                <w:sz w:val="18"/>
                <w:szCs w:val="18"/>
                <w:color w:val="auto"/>
              </w:rPr>
              <w:t>Series Due 2027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7520" w:type="dxa"/>
            <w:vAlign w:val="bottom"/>
          </w:tcPr>
          <w:p>
            <w:pPr>
              <w:spacing w:after="0"/>
              <w:rPr>
                <w:sz w:val="20"/>
                <w:szCs w:val="20"/>
                <w:color w:val="auto"/>
              </w:rPr>
            </w:pPr>
            <w:r>
              <w:rPr>
                <w:rFonts w:ascii="Arial" w:cs="Arial" w:eastAsia="Arial" w:hAnsi="Arial"/>
                <w:sz w:val="18"/>
                <w:szCs w:val="18"/>
                <w:color w:val="auto"/>
              </w:rPr>
              <w:t>Series Due 2029</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2030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5.69%</w:t>
            </w:r>
          </w:p>
        </w:tc>
        <w:tc>
          <w:tcPr>
            <w:tcW w:w="7520" w:type="dxa"/>
            <w:vAlign w:val="bottom"/>
          </w:tcPr>
          <w:p>
            <w:pPr>
              <w:spacing w:after="0"/>
              <w:rPr>
                <w:sz w:val="20"/>
                <w:szCs w:val="20"/>
                <w:color w:val="auto"/>
              </w:rPr>
            </w:pPr>
            <w:r>
              <w:rPr>
                <w:rFonts w:ascii="Arial" w:cs="Arial" w:eastAsia="Arial" w:hAnsi="Arial"/>
                <w:sz w:val="18"/>
                <w:szCs w:val="18"/>
                <w:color w:val="auto"/>
              </w:rPr>
              <w:t>Series Due 2036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7520" w:type="dxa"/>
            <w:vAlign w:val="bottom"/>
          </w:tcPr>
          <w:p>
            <w:pPr>
              <w:spacing w:after="0"/>
              <w:rPr>
                <w:sz w:val="20"/>
                <w:szCs w:val="20"/>
                <w:color w:val="auto"/>
              </w:rPr>
            </w:pPr>
            <w:r>
              <w:rPr>
                <w:rFonts w:ascii="Arial" w:cs="Arial" w:eastAsia="Arial" w:hAnsi="Arial"/>
                <w:sz w:val="18"/>
                <w:szCs w:val="18"/>
                <w:color w:val="auto"/>
              </w:rPr>
              <w:t>Series Due 2040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2042</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7520" w:type="dxa"/>
            <w:vAlign w:val="bottom"/>
          </w:tcPr>
          <w:p>
            <w:pPr>
              <w:spacing w:after="0"/>
              <w:rPr>
                <w:sz w:val="20"/>
                <w:szCs w:val="20"/>
                <w:color w:val="auto"/>
              </w:rPr>
            </w:pPr>
            <w:r>
              <w:rPr>
                <w:rFonts w:ascii="Arial" w:cs="Arial" w:eastAsia="Arial" w:hAnsi="Arial"/>
                <w:sz w:val="18"/>
                <w:szCs w:val="18"/>
                <w:color w:val="auto"/>
              </w:rPr>
              <w:t>Series Due 2043</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5.05%</w:t>
            </w:r>
          </w:p>
        </w:tc>
        <w:tc>
          <w:tcPr>
            <w:tcW w:w="7520" w:type="dxa"/>
            <w:vAlign w:val="bottom"/>
          </w:tcPr>
          <w:p>
            <w:pPr>
              <w:spacing w:after="0"/>
              <w:rPr>
                <w:sz w:val="20"/>
                <w:szCs w:val="20"/>
                <w:color w:val="auto"/>
              </w:rPr>
            </w:pPr>
            <w:r>
              <w:rPr>
                <w:rFonts w:ascii="Arial" w:cs="Arial" w:eastAsia="Arial" w:hAnsi="Arial"/>
                <w:sz w:val="18"/>
                <w:szCs w:val="18"/>
                <w:color w:val="auto"/>
              </w:rPr>
              <w:t>Series Due 2044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7520" w:type="dxa"/>
            <w:vAlign w:val="bottom"/>
          </w:tcPr>
          <w:p>
            <w:pPr>
              <w:spacing w:after="0"/>
              <w:rPr>
                <w:sz w:val="20"/>
                <w:szCs w:val="20"/>
                <w:color w:val="auto"/>
              </w:rPr>
            </w:pPr>
            <w:r>
              <w:rPr>
                <w:rFonts w:ascii="Arial" w:cs="Arial" w:eastAsia="Arial" w:hAnsi="Arial"/>
                <w:sz w:val="18"/>
                <w:szCs w:val="18"/>
                <w:color w:val="auto"/>
              </w:rPr>
              <w:t>Series Due 2048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Demand Revenue Refunding Bonds Series 1997 A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Unsecured Term Loan Variable Rate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Armenia Mountain Senior Secured Notes 3.26% Due 2024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65.9</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27.8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27.8</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3.11% Due 2027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SWL&amp;P First Mortgage Bonds 4.14% Series Due 2048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Other Long-Term Debt, 3.11% – 5.75% Due 2019 – 2037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67.7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69.1</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37"/>
        </w:trPr>
        <w:tc>
          <w:tcPr>
            <w:tcW w:w="8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Long-Term Debt</w:t>
            </w:r>
          </w:p>
        </w:tc>
        <w:tc>
          <w:tcPr>
            <w:tcW w:w="2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1,486.0</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1,503.3</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Due Within One Year</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64.1</w:t>
            </w:r>
          </w:p>
        </w:tc>
      </w:tr>
      <w:tr>
        <w:trPr>
          <w:trHeight w:val="237"/>
        </w:trPr>
        <w:tc>
          <w:tcPr>
            <w:tcW w:w="8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Net Long-Term Debt</w:t>
            </w:r>
          </w:p>
        </w:tc>
        <w:tc>
          <w:tcPr>
            <w:tcW w:w="2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$1,428.5</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$1,439.2</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0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2018,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2018, ALLETE was in compliance with its financial covenants.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payments for certain long-term commitments:</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Thereafter</w:t>
            </w:r>
          </w:p>
        </w:tc>
      </w:tr>
      <w:tr>
        <w:trPr>
          <w:trHeight w:val="27"/>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Coal, Rail and Shipping Contracts</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Easements</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6"/>
                <w:szCs w:val="16"/>
                <w:i w:val="1"/>
                <w:iCs w:val="1"/>
                <w:color w:val="auto"/>
              </w:rPr>
              <w:t>(a)</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(b)</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$107.3</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$115.3</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$145.4</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$1,550.7</w:t>
            </w:r>
          </w:p>
        </w:tc>
      </w:tr>
      <w:tr>
        <w:trPr>
          <w:trHeight w:val="20"/>
        </w:trPr>
        <w:tc>
          <w:tcPr>
            <w:tcW w:w="34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long-term service agreements for wind energy facilities.</w:t>
      </w:r>
    </w:p>
    <w:p>
      <w:pPr>
        <w:spacing w:after="0" w:line="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Nobles 2 commencing in 2020 as it is subject to construction of a wind energy facility. (See Power Purchase Agreements.)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Sales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capacity and energy payments.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agreements have also been evaluated under the accounting guidance for derivatives. We have determined that either these agreements are not derivatives, or if they are derivatives, the agreements qualify for the normal purchases and normal sales exemption to the accounting guidance; therefore, derivative accounting is not required.</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2018, Square Butte had total debt outstanding of $304.0 million. Annual debt service for Square Butte is expected to be approximately $48.7 million in each of the next five years, 2019 through 2023, of which Minnesota Power’s obligation is 50 percent. Fuel expenses are recoverable through Minnesota Power’s fuel adjustment clause and include the cost of coal purchased from BNI Energy under a long-term contract.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2018 was $78.0 million ($75.7 million in 2017; $73.3 million in 2016). This reflects Minnesota Power’s pro rata share of total Square Butte costs based on the 50 percent output entitlement. Included in this amount was Minnesota Power’s pro rata share of interest expense of $9.1 million in 2018 ($9.4 million in 2017; $9.6 million in 2016). Minnesota Power’s payments to Square Butte are approved as a purchased power expense for ratemaking purposes by both the MPUC and the FERC.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0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PPAs for the purchase or sale of capacity and energy as of December 31, 2018:</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460" w:type="dxa"/>
            <w:vAlign w:val="bottom"/>
          </w:tcPr>
          <w:p>
            <w:pPr>
              <w:ind w:left="700"/>
              <w:spacing w:after="0"/>
              <w:rPr>
                <w:sz w:val="20"/>
                <w:szCs w:val="20"/>
                <w:color w:val="auto"/>
              </w:rPr>
            </w:pPr>
            <w:r>
              <w:rPr>
                <w:rFonts w:ascii="Arial" w:cs="Arial" w:eastAsia="Arial" w:hAnsi="Arial"/>
                <w:sz w:val="18"/>
                <w:szCs w:val="18"/>
                <w:b w:val="1"/>
                <w:bCs w:val="1"/>
                <w:color w:val="auto"/>
              </w:rPr>
              <w:t>Counterparty</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Quantity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2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Calpine Corporation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2019</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2026</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w w:val="92"/>
              </w:rPr>
              <w:t xml:space="preserve">Cypress Creek Renewables </w:t>
            </w:r>
            <w:r>
              <w:rPr>
                <w:rFonts w:ascii="Arial" w:cs="Arial" w:eastAsia="Arial" w:hAnsi="Arial"/>
                <w:sz w:val="16"/>
                <w:szCs w:val="16"/>
                <w:i w:val="1"/>
                <w:iCs w:val="1"/>
                <w:color w:val="auto"/>
                <w:w w:val="92"/>
              </w:rPr>
              <w:t>(a)</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w w:val="91"/>
              </w:rPr>
              <w:t>(a)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6"/>
                <w:szCs w:val="16"/>
                <w:i w:val="1"/>
                <w:iCs w:val="1"/>
                <w:color w:val="auto"/>
                <w:w w:val="91"/>
              </w:rPr>
              <w:t>(a)</w:t>
            </w:r>
          </w:p>
        </w:tc>
        <w:tc>
          <w:tcPr>
            <w:tcW w:w="1280" w:type="dxa"/>
            <w:vAlign w:val="bottom"/>
          </w:tcPr>
          <w:p>
            <w:pPr>
              <w:jc w:val="center"/>
              <w:spacing w:after="0"/>
              <w:rPr>
                <w:sz w:val="20"/>
                <w:szCs w:val="20"/>
                <w:color w:val="auto"/>
              </w:rPr>
            </w:pPr>
            <w:r>
              <w:rPr>
                <w:rFonts w:ascii="Arial" w:cs="Arial" w:eastAsia="Arial" w:hAnsi="Arial"/>
                <w:sz w:val="16"/>
                <w:szCs w:val="16"/>
                <w:i w:val="1"/>
                <w:iCs w:val="1"/>
                <w:color w:val="auto"/>
              </w:rPr>
              <w:t>(a)</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Great River Energy</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PPA 1</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auto"/>
                <w:w w:val="91"/>
              </w:rPr>
              <w:t>(b)</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2</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PPA 3</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Manitoba Hydro</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PPA 1</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w w:val="96"/>
              </w:rPr>
              <w:t>(c)</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May 2011</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April 2022</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2</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2015</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(d)</w:t>
            </w: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PPA 3</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PPA 4 </w:t>
            </w:r>
            <w:r>
              <w:rPr>
                <w:rFonts w:ascii="Arial" w:cs="Arial" w:eastAsia="Arial" w:hAnsi="Arial"/>
                <w:sz w:val="16"/>
                <w:szCs w:val="16"/>
                <w:i w:val="1"/>
                <w:iCs w:val="1"/>
                <w:color w:val="auto"/>
              </w:rPr>
              <w:t>(e)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2035</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(f)</w:t>
            </w:r>
          </w:p>
        </w:tc>
      </w:tr>
      <w:tr>
        <w:trPr>
          <w:trHeight w:val="243"/>
        </w:trPr>
        <w:tc>
          <w:tcPr>
            <w:tcW w:w="2460" w:type="dxa"/>
            <w:vAlign w:val="bottom"/>
          </w:tcPr>
          <w:p>
            <w:pPr>
              <w:ind w:left="260"/>
              <w:spacing w:after="0"/>
              <w:rPr>
                <w:sz w:val="20"/>
                <w:szCs w:val="20"/>
                <w:color w:val="auto"/>
              </w:rPr>
            </w:pPr>
            <w:r>
              <w:rPr>
                <w:rFonts w:ascii="Arial" w:cs="Arial" w:eastAsia="Arial" w:hAnsi="Arial"/>
                <w:sz w:val="18"/>
                <w:szCs w:val="18"/>
                <w:color w:val="auto"/>
              </w:rPr>
              <w:t xml:space="preserve">PPA 5 </w:t>
            </w:r>
            <w:r>
              <w:rPr>
                <w:rFonts w:ascii="Arial" w:cs="Arial" w:eastAsia="Arial" w:hAnsi="Arial"/>
                <w:sz w:val="16"/>
                <w:szCs w:val="16"/>
                <w:i w:val="1"/>
                <w:iCs w:val="1"/>
                <w:color w:val="auto"/>
              </w:rPr>
              <w:t>(e)</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133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6"/>
                <w:szCs w:val="16"/>
                <w:i w:val="1"/>
                <w:iCs w:val="1"/>
                <w:color w:val="auto"/>
                <w:w w:val="91"/>
              </w:rPr>
              <w:t>(g)</w:t>
            </w:r>
          </w:p>
        </w:tc>
        <w:tc>
          <w:tcPr>
            <w:tcW w:w="1280" w:type="dxa"/>
            <w:vAlign w:val="bottom"/>
          </w:tcPr>
          <w:p>
            <w:pPr>
              <w:jc w:val="center"/>
              <w:spacing w:after="0"/>
              <w:rPr>
                <w:sz w:val="20"/>
                <w:szCs w:val="20"/>
                <w:color w:val="auto"/>
              </w:rPr>
            </w:pPr>
            <w:r>
              <w:rPr>
                <w:rFonts w:ascii="Arial" w:cs="Arial" w:eastAsia="Arial" w:hAnsi="Arial"/>
                <w:sz w:val="16"/>
                <w:szCs w:val="16"/>
                <w:i w:val="1"/>
                <w:iCs w:val="1"/>
                <w:color w:val="auto"/>
              </w:rPr>
              <w:t>(g)</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Minnkota Power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(h)</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 xml:space="preserve">Nobles 2 </w:t>
            </w:r>
            <w:r>
              <w:rPr>
                <w:rFonts w:ascii="Arial" w:cs="Arial" w:eastAsia="Arial" w:hAnsi="Arial"/>
                <w:sz w:val="16"/>
                <w:szCs w:val="16"/>
                <w:i w:val="1"/>
                <w:iCs w:val="1"/>
                <w:color w:val="auto"/>
              </w:rPr>
              <w:t>(i)</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w w:val="98"/>
              </w:rPr>
              <w:t>(i)</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6"/>
                <w:szCs w:val="16"/>
                <w:i w:val="1"/>
                <w:iCs w:val="1"/>
                <w:color w:val="auto"/>
                <w:w w:val="98"/>
              </w:rPr>
              <w:t>(i)</w:t>
            </w:r>
          </w:p>
        </w:tc>
        <w:tc>
          <w:tcPr>
            <w:tcW w:w="1280" w:type="dxa"/>
            <w:vAlign w:val="bottom"/>
          </w:tcPr>
          <w:p>
            <w:pPr>
              <w:jc w:val="center"/>
              <w:spacing w:after="0"/>
              <w:rPr>
                <w:sz w:val="20"/>
                <w:szCs w:val="20"/>
                <w:color w:val="auto"/>
              </w:rPr>
            </w:pPr>
            <w:r>
              <w:rPr>
                <w:rFonts w:ascii="Arial" w:cs="Arial" w:eastAsia="Arial" w:hAnsi="Arial"/>
                <w:sz w:val="16"/>
                <w:szCs w:val="16"/>
                <w:i w:val="1"/>
                <w:iCs w:val="1"/>
                <w:color w:val="auto"/>
              </w:rPr>
              <w:t>(i)</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Oliver Wind I</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(j)</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December 2040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Oliver Wind II</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w w:val="98"/>
              </w:rPr>
              <w:t>(j)</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December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December 2040</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Shell Energy</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December 2019</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TransAlta</w:t>
            </w:r>
          </w:p>
        </w:tc>
        <w:tc>
          <w:tcPr>
            <w:tcW w:w="840" w:type="dxa"/>
            <w:vAlign w:val="bottom"/>
          </w:tcPr>
          <w:p>
            <w:pPr>
              <w:jc w:val="center"/>
              <w:spacing w:after="0"/>
              <w:rPr>
                <w:sz w:val="20"/>
                <w:szCs w:val="20"/>
                <w:color w:val="auto"/>
              </w:rPr>
            </w:pPr>
            <w:r>
              <w:rPr>
                <w:rFonts w:ascii="Arial" w:cs="Arial" w:eastAsia="Arial" w:hAnsi="Arial"/>
                <w:sz w:val="16"/>
                <w:szCs w:val="16"/>
                <w:i w:val="1"/>
                <w:iCs w:val="1"/>
                <w:color w:val="auto"/>
                <w:w w:val="96"/>
              </w:rPr>
              <w:t>(k)</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January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December 2019</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848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PPA provides for the purchase of all output from the 10 MW Blanchard solar energy facility to be located in central Minnesota. Construction of the Blanchard solar energy facility is expected to be completed in 2020 and the contract is effective for 25 years beginning upon commercial operation.</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fixed and the energy price is based on a formula that includes an annual fixed price component adjusted for changes in a natural gas index, as well as market prices.</w:t>
      </w:r>
    </w:p>
    <w:p>
      <w:pPr>
        <w:ind w:left="340" w:hanging="332"/>
        <w:spacing w:after="0" w:line="246"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and energy prices are adjusted annually by the change in a governmental inflationary index.</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Agreements are subject to the construction of the GNTL and MMTP. (See Great Northern Transmission Line.)</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term will be the 20-year period beginning on the in-service date for the GNTL. (See Great Northern Transmission Line.)</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includes a fixed capacity charge and energy prices that escalate at a fixed rate annually over the term.</w:t>
      </w:r>
    </w:p>
    <w:p>
      <w:pPr>
        <w:spacing w:after="0" w:line="5" w:lineRule="exact"/>
        <w:rPr>
          <w:rFonts w:ascii="Arial" w:cs="Arial" w:eastAsia="Arial" w:hAnsi="Arial"/>
          <w:sz w:val="16"/>
          <w:szCs w:val="16"/>
          <w:i w:val="1"/>
          <w:iCs w:val="1"/>
          <w:color w:val="auto"/>
        </w:rPr>
      </w:pPr>
    </w:p>
    <w:p>
      <w:pPr>
        <w:ind w:left="340" w:hanging="332"/>
        <w:spacing w:after="0" w:line="263" w:lineRule="auto"/>
        <w:tabs>
          <w:tab w:leader="none" w:pos="340" w:val="left"/>
        </w:tabs>
        <w:numPr>
          <w:ilvl w:val="0"/>
          <w:numId w:val="38"/>
        </w:numPr>
        <w:rPr>
          <w:rFonts w:ascii="Arial" w:cs="Arial" w:eastAsia="Arial" w:hAnsi="Arial"/>
          <w:sz w:val="15"/>
          <w:szCs w:val="15"/>
          <w:i w:val="1"/>
          <w:iCs w:val="1"/>
          <w:color w:val="auto"/>
        </w:rPr>
      </w:pPr>
      <w:r>
        <w:rPr>
          <w:rFonts w:ascii="Arial" w:cs="Arial" w:eastAsia="Arial" w:hAnsi="Arial"/>
          <w:sz w:val="15"/>
          <w:szCs w:val="15"/>
          <w:i w:val="1"/>
          <w:iCs w:val="1"/>
          <w:color w:val="auto"/>
        </w:rPr>
        <w:t>The PPA provides for the purchase of all output from a 250 MW wind energy facility to be constructed in southwest Minnesota for 20 years beginning upon commercial operation of the wind energy facility which is currently expected in fourth quarter of 2020. (See Note 4. Regulatory Matters and Note 5. Equity Investments.)</w:t>
      </w: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purchasing 50 MW of energy during off-peak hours and 100 MW of energy during on-peak hours.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0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PSAs for the purchase or sale of capacity and energy as of December 31, 2018:</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380" w:type="dxa"/>
            <w:vAlign w:val="bottom"/>
          </w:tcPr>
          <w:p>
            <w:pPr>
              <w:ind w:left="700"/>
              <w:spacing w:after="0"/>
              <w:rPr>
                <w:sz w:val="20"/>
                <w:szCs w:val="20"/>
                <w:color w:val="auto"/>
              </w:rPr>
            </w:pPr>
            <w:r>
              <w:rPr>
                <w:rFonts w:ascii="Arial" w:cs="Arial" w:eastAsia="Arial" w:hAnsi="Arial"/>
                <w:sz w:val="18"/>
                <w:szCs w:val="18"/>
                <w:b w:val="1"/>
                <w:bCs w:val="1"/>
                <w:color w:val="auto"/>
              </w:rPr>
              <w:t>Counterparty</w:t>
            </w:r>
          </w:p>
        </w:tc>
        <w:tc>
          <w:tcPr>
            <w:tcW w:w="920" w:type="dxa"/>
            <w:vAlign w:val="bottom"/>
          </w:tcPr>
          <w:p>
            <w:pPr>
              <w:jc w:val="center"/>
              <w:ind w:left="13"/>
              <w:spacing w:after="0"/>
              <w:rPr>
                <w:sz w:val="20"/>
                <w:szCs w:val="20"/>
                <w:color w:val="auto"/>
              </w:rPr>
            </w:pPr>
            <w:r>
              <w:rPr>
                <w:rFonts w:ascii="Arial" w:cs="Arial" w:eastAsia="Arial" w:hAnsi="Arial"/>
                <w:sz w:val="18"/>
                <w:szCs w:val="18"/>
                <w:b w:val="1"/>
                <w:bCs w:val="1"/>
                <w:color w:val="auto"/>
                <w:w w:val="95"/>
              </w:rPr>
              <w:t>Quantity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Expiration</w:t>
            </w:r>
          </w:p>
        </w:tc>
        <w:tc>
          <w:tcPr>
            <w:tcW w:w="1500" w:type="dxa"/>
            <w:vAlign w:val="bottom"/>
          </w:tcPr>
          <w:p>
            <w:pPr>
              <w:jc w:val="center"/>
              <w:ind w:right="213"/>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2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PSAs</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Basin</w:t>
            </w:r>
          </w:p>
        </w:tc>
        <w:tc>
          <w:tcPr>
            <w:tcW w:w="9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tcPr>
          <w:p>
            <w:pPr>
              <w:ind w:left="260"/>
              <w:spacing w:after="0"/>
              <w:rPr>
                <w:sz w:val="20"/>
                <w:szCs w:val="20"/>
                <w:color w:val="auto"/>
              </w:rPr>
            </w:pPr>
            <w:r>
              <w:rPr>
                <w:rFonts w:ascii="Arial" w:cs="Arial" w:eastAsia="Arial" w:hAnsi="Arial"/>
                <w:sz w:val="18"/>
                <w:szCs w:val="18"/>
                <w:color w:val="auto"/>
              </w:rPr>
              <w:t>PSA 1</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100 MW</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May 2010</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8"/>
              </w:rPr>
              <w:t>April 2020</w:t>
            </w:r>
          </w:p>
        </w:tc>
        <w:tc>
          <w:tcPr>
            <w:tcW w:w="1500" w:type="dxa"/>
            <w:vAlign w:val="bottom"/>
          </w:tcPr>
          <w:p>
            <w:pPr>
              <w:jc w:val="center"/>
              <w:ind w:right="193"/>
              <w:spacing w:after="0"/>
              <w:rPr>
                <w:sz w:val="20"/>
                <w:szCs w:val="20"/>
                <w:color w:val="auto"/>
              </w:rPr>
            </w:pPr>
            <w:r>
              <w:rPr>
                <w:rFonts w:ascii="Arial" w:cs="Arial" w:eastAsia="Arial" w:hAnsi="Arial"/>
                <w:sz w:val="16"/>
                <w:szCs w:val="16"/>
                <w:i w:val="1"/>
                <w:iCs w:val="1"/>
                <w:color w:val="auto"/>
                <w:w w:val="91"/>
              </w:rPr>
              <w:t>(a)</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2</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50 MW</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May 2019</w:t>
            </w:r>
          </w:p>
        </w:tc>
        <w:tc>
          <w:tcPr>
            <w:tcW w:w="15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5"/>
              </w:rPr>
              <w:t>Fixed</w:t>
            </w:r>
          </w:p>
        </w:tc>
      </w:tr>
      <w:tr>
        <w:trPr>
          <w:trHeight w:val="243"/>
        </w:trPr>
        <w:tc>
          <w:tcPr>
            <w:tcW w:w="2380" w:type="dxa"/>
            <w:vAlign w:val="bottom"/>
          </w:tcPr>
          <w:p>
            <w:pPr>
              <w:ind w:left="260"/>
              <w:spacing w:after="0"/>
              <w:rPr>
                <w:sz w:val="20"/>
                <w:szCs w:val="20"/>
                <w:color w:val="auto"/>
              </w:rPr>
            </w:pPr>
            <w:r>
              <w:rPr>
                <w:rFonts w:ascii="Arial" w:cs="Arial" w:eastAsia="Arial" w:hAnsi="Arial"/>
                <w:sz w:val="18"/>
                <w:szCs w:val="18"/>
                <w:color w:val="auto"/>
              </w:rPr>
              <w:t>PSA 3</w:t>
            </w:r>
          </w:p>
        </w:tc>
        <w:tc>
          <w:tcPr>
            <w:tcW w:w="920" w:type="dxa"/>
            <w:vAlign w:val="bottom"/>
          </w:tcPr>
          <w:p>
            <w:pPr>
              <w:jc w:val="center"/>
              <w:ind w:left="13"/>
              <w:spacing w:after="0"/>
              <w:rPr>
                <w:sz w:val="20"/>
                <w:szCs w:val="20"/>
                <w:color w:val="auto"/>
              </w:rPr>
            </w:pPr>
            <w:r>
              <w:rPr>
                <w:rFonts w:ascii="Arial" w:cs="Arial" w:eastAsia="Arial" w:hAnsi="Arial"/>
                <w:sz w:val="16"/>
                <w:szCs w:val="16"/>
                <w:i w:val="1"/>
                <w:iCs w:val="1"/>
                <w:color w:val="auto"/>
                <w:w w:val="91"/>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1"/>
              </w:rPr>
              <w:t>May 2025</w:t>
            </w:r>
          </w:p>
        </w:tc>
        <w:tc>
          <w:tcPr>
            <w:tcW w:w="1500" w:type="dxa"/>
            <w:vAlign w:val="bottom"/>
          </w:tcPr>
          <w:p>
            <w:pPr>
              <w:jc w:val="center"/>
              <w:ind w:right="193"/>
              <w:spacing w:after="0"/>
              <w:rPr>
                <w:sz w:val="20"/>
                <w:szCs w:val="20"/>
                <w:color w:val="auto"/>
              </w:rPr>
            </w:pPr>
            <w:r>
              <w:rPr>
                <w:rFonts w:ascii="Arial" w:cs="Arial" w:eastAsia="Arial" w:hAnsi="Arial"/>
                <w:sz w:val="18"/>
                <w:szCs w:val="18"/>
                <w:color w:val="auto"/>
                <w:w w:val="95"/>
              </w:rPr>
              <w:t>Fixed</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4</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100 MW</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2025</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May 2028</w:t>
            </w:r>
          </w:p>
        </w:tc>
        <w:tc>
          <w:tcPr>
            <w:tcW w:w="15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5"/>
              </w:rPr>
              <w:t>Fixed</w:t>
            </w:r>
          </w:p>
        </w:tc>
      </w:tr>
      <w:tr>
        <w:trPr>
          <w:trHeight w:val="243"/>
        </w:trPr>
        <w:tc>
          <w:tcPr>
            <w:tcW w:w="2380" w:type="dxa"/>
            <w:vAlign w:val="bottom"/>
          </w:tcPr>
          <w:p>
            <w:pPr>
              <w:ind w:left="160"/>
              <w:spacing w:after="0"/>
              <w:rPr>
                <w:sz w:val="20"/>
                <w:szCs w:val="20"/>
                <w:color w:val="auto"/>
              </w:rPr>
            </w:pPr>
            <w:r>
              <w:rPr>
                <w:rFonts w:ascii="Arial" w:cs="Arial" w:eastAsia="Arial" w:hAnsi="Arial"/>
                <w:sz w:val="18"/>
                <w:szCs w:val="18"/>
                <w:color w:val="auto"/>
              </w:rPr>
              <w:t>Minnkota Power</w:t>
            </w:r>
          </w:p>
        </w:tc>
        <w:tc>
          <w:tcPr>
            <w:tcW w:w="920" w:type="dxa"/>
            <w:vAlign w:val="bottom"/>
          </w:tcPr>
          <w:p>
            <w:pPr>
              <w:jc w:val="center"/>
              <w:ind w:left="13"/>
              <w:spacing w:after="0"/>
              <w:rPr>
                <w:sz w:val="20"/>
                <w:szCs w:val="20"/>
                <w:color w:val="auto"/>
              </w:rPr>
            </w:pPr>
            <w:r>
              <w:rPr>
                <w:rFonts w:ascii="Arial" w:cs="Arial" w:eastAsia="Arial" w:hAnsi="Arial"/>
                <w:sz w:val="16"/>
                <w:szCs w:val="16"/>
                <w:i w:val="1"/>
                <w:iCs w:val="1"/>
                <w:color w:val="auto"/>
                <w:w w:val="96"/>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0"/>
              </w:rPr>
              <w:t>December 2026</w:t>
            </w:r>
          </w:p>
        </w:tc>
        <w:tc>
          <w:tcPr>
            <w:tcW w:w="1500" w:type="dxa"/>
            <w:vAlign w:val="bottom"/>
          </w:tcPr>
          <w:p>
            <w:pPr>
              <w:jc w:val="center"/>
              <w:ind w:right="193"/>
              <w:spacing w:after="0"/>
              <w:rPr>
                <w:sz w:val="20"/>
                <w:szCs w:val="20"/>
                <w:color w:val="auto"/>
              </w:rPr>
            </w:pPr>
            <w:r>
              <w:rPr>
                <w:rFonts w:ascii="Arial" w:cs="Arial" w:eastAsia="Arial" w:hAnsi="Arial"/>
                <w:sz w:val="16"/>
                <w:szCs w:val="16"/>
                <w:i w:val="1"/>
                <w:iCs w:val="1"/>
                <w:color w:val="auto"/>
                <w:w w:val="96"/>
              </w:rPr>
              <w:t>(c)</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Oconto Electric Cooperative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25 MW</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2019</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May 2026</w:t>
            </w:r>
          </w:p>
        </w:tc>
        <w:tc>
          <w:tcPr>
            <w:tcW w:w="15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5"/>
              </w:rPr>
              <w:t>Fixed</w:t>
            </w:r>
          </w:p>
        </w:tc>
      </w:tr>
      <w:tr>
        <w:trPr>
          <w:trHeight w:val="243"/>
        </w:trPr>
        <w:tc>
          <w:tcPr>
            <w:tcW w:w="2380" w:type="dxa"/>
            <w:vAlign w:val="bottom"/>
          </w:tcPr>
          <w:p>
            <w:pPr>
              <w:ind w:left="160"/>
              <w:spacing w:after="0"/>
              <w:rPr>
                <w:sz w:val="20"/>
                <w:szCs w:val="20"/>
                <w:color w:val="auto"/>
              </w:rPr>
            </w:pPr>
            <w:r>
              <w:rPr>
                <w:rFonts w:ascii="Arial" w:cs="Arial" w:eastAsia="Arial" w:hAnsi="Arial"/>
                <w:sz w:val="18"/>
                <w:szCs w:val="18"/>
                <w:color w:val="auto"/>
              </w:rPr>
              <w:t>Silver Bay Power</w:t>
            </w:r>
          </w:p>
        </w:tc>
        <w:tc>
          <w:tcPr>
            <w:tcW w:w="920" w:type="dxa"/>
            <w:vAlign w:val="bottom"/>
          </w:tcPr>
          <w:p>
            <w:pPr>
              <w:jc w:val="center"/>
              <w:ind w:left="13"/>
              <w:spacing w:after="0"/>
              <w:rPr>
                <w:sz w:val="20"/>
                <w:szCs w:val="20"/>
                <w:color w:val="auto"/>
              </w:rPr>
            </w:pPr>
            <w:r>
              <w:rPr>
                <w:rFonts w:ascii="Arial" w:cs="Arial" w:eastAsia="Arial" w:hAnsi="Arial"/>
                <w:sz w:val="16"/>
                <w:szCs w:val="16"/>
                <w:i w:val="1"/>
                <w:iCs w:val="1"/>
                <w:color w:val="auto"/>
                <w:w w:val="91"/>
              </w:rPr>
              <w:t>(d)</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January 2017</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0"/>
              </w:rPr>
              <w:t>December 2031</w:t>
            </w:r>
          </w:p>
        </w:tc>
        <w:tc>
          <w:tcPr>
            <w:tcW w:w="1500" w:type="dxa"/>
            <w:vAlign w:val="bottom"/>
          </w:tcPr>
          <w:p>
            <w:pPr>
              <w:jc w:val="center"/>
              <w:ind w:right="193"/>
              <w:spacing w:after="0"/>
              <w:rPr>
                <w:sz w:val="20"/>
                <w:szCs w:val="20"/>
                <w:color w:val="auto"/>
              </w:rPr>
            </w:pPr>
            <w:r>
              <w:rPr>
                <w:rFonts w:ascii="Arial" w:cs="Arial" w:eastAsia="Arial" w:hAnsi="Arial"/>
                <w:sz w:val="16"/>
                <w:szCs w:val="16"/>
                <w:i w:val="1"/>
                <w:iCs w:val="1"/>
                <w:color w:val="auto"/>
                <w:w w:val="91"/>
              </w:rPr>
              <w: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8229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agreement provides for 75 MW of capacity from June 1, 2022, through May 31, 2023, and increases to 125 MW of capacity from June 1, 2023, through May 31, 2025.</w:t>
      </w:r>
    </w:p>
    <w:p>
      <w:pPr>
        <w:spacing w:after="0" w:line="28" w:lineRule="exact"/>
        <w:rPr>
          <w:rFonts w:ascii="Arial" w:cs="Arial" w:eastAsia="Arial" w:hAnsi="Arial"/>
          <w:sz w:val="14"/>
          <w:szCs w:val="14"/>
          <w:i w:val="1"/>
          <w:iCs w:val="1"/>
          <w:color w:val="auto"/>
        </w:rPr>
      </w:pPr>
    </w:p>
    <w:p>
      <w:pPr>
        <w:jc w:val="both"/>
        <w:ind w:left="340" w:right="20" w:hanging="332"/>
        <w:spacing w:after="0" w:line="246"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2018 (28 percent in 2017 and in 2016). (See Square Butte PPA.)</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 which has been served predominately through self-generation by Silver Bay Power. Through 2019, Minnesota Power will supply Silver Bay Power with at least 50 MW of energy and Silver Bay Power has the option to purchase additional energy. By December 31, 2019, Silver Bay Power is expected to cease self-generation and Minnesota Power is expected to supply the energy requirements for Silver Bay Power.</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is fixed through 2019 with pricing in later years escalating at a fixed rate annually and adjusted for changes in a natural gas index.</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Minnesota Power has coal supply agreements providing for the purchase of a significant portion of its coal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December 2019 and a portion of its coal 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a majority of terms expiring through 2024. Total lease expense was $14.6 million in 2018 ($17.5 million in 2017; $17.1 million in 2016).</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Transmission</w:t>
      </w:r>
      <w:r>
        <w:rPr>
          <w:rFonts w:ascii="Arial" w:cs="Arial" w:eastAsia="Arial" w:hAnsi="Arial"/>
          <w:sz w:val="17"/>
          <w:szCs w:val="17"/>
          <w:color w:val="auto"/>
        </w:rPr>
        <w:t>. 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a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0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w:t>
      </w:r>
      <w:r>
        <w:rPr>
          <w:rFonts w:ascii="MS PGothic" w:cs="MS PGothic" w:eastAsia="MS PGothic" w:hAnsi="MS PGothic"/>
          <w:sz w:val="17"/>
          <w:szCs w:val="17"/>
          <w:color w:val="auto"/>
        </w:rPr>
        <w:t>‑</w:t>
      </w:r>
      <w:r>
        <w:rPr>
          <w:rFonts w:ascii="Arial" w:cs="Arial" w:eastAsia="Arial" w:hAnsi="Arial"/>
          <w:sz w:val="17"/>
          <w:szCs w:val="17"/>
          <w:color w:val="auto"/>
        </w:rPr>
        <w:t>Canadian border, which was the final major regulatory approval needed before construction in the U.S. could begin. Site clearing and pre</w:t>
      </w:r>
      <w:r>
        <w:rPr>
          <w:rFonts w:ascii="MS PGothic" w:cs="MS PGothic" w:eastAsia="MS PGothic" w:hAnsi="MS PGothic"/>
          <w:sz w:val="17"/>
          <w:szCs w:val="17"/>
          <w:color w:val="auto"/>
        </w:rPr>
        <w:t>‑</w:t>
      </w:r>
      <w:r>
        <w:rPr>
          <w:rFonts w:ascii="Arial" w:cs="Arial" w:eastAsia="Arial" w:hAnsi="Arial"/>
          <w:sz w:val="17"/>
          <w:szCs w:val="17"/>
          <w:color w:val="auto"/>
        </w:rPr>
        <w:t>construction activities commenced in the first quarter of 2017 with construction expected to be completed in 2020. To date, most of the right-of-way has been cleared while foundation installation and transmission tower construction have commenced. The total project cost in the U.S., including substation work, is estimated to be between $560 million and $710 million, of which Minnesota Power’s portion is expected to be between $300 million and $350 million; the difference will be recovered from a subsidiary of Manitoba Hydro as non-shareholder contributions to capital. Total project costs of $380.8 million have been incurred through December 31, 2018, of which $203.7 million has been recovered from a subsidiary of Manitoba Hydro.</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Manitoba Hydro must obtain regulatory and governmental approvals related to the MMTP, a new transmission line in Canada that will connect with the GNTL. In 2015, Manitoba Hydro submitted the final preferred route and EIS for the MMTP to the Manitoba Conservation and Water Stewardship for siting and environmental approval, which remains pending. In 2016, Manitoba Hydro filed an application with the Canadian National Energy Board (NEB) requesting authorization to construct and operate the MMTP, which was recommended for approval on November 15, 2018. Approval of the Canadian federal cabinet is also required.</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June 2019.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Any significant delays in the MMTP construction schedule may result in Minnesota Power adjusting the GNTL construction schedule and impact the timing of capital expenditures and associated cost recovery under our transmission cost recovery rider.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0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2014, Minnesota Power reached a settlement with the EPA and entered into a Consent Decree regarding certain Notices of</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received in 2008 and 2011 that asserted violations of the NSR requirements of the Clean Air Act, which was approved by the U.S. District Court for the District of Minnesota. The Consent Decree provided for, among other requirements, more stringent emissions limits at all affected units, the option of refueling, retrofitting or retiring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Minnesota Power retired Boswell Units 1 and 2 in the fourth quarter of 2018. Minnesota Power is allowed to recover the remaining net book value for Boswell Units 1 and 2 through 2022. We believe that costs to retire Boswell Units 1 and 2 will be eligible for recovery in rates over time, subject to regulatory approval in a rate proceeding.</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Mercury and Air Toxics Standards (MATS) Rule. </w:t>
      </w:r>
      <w:r>
        <w:rPr>
          <w:rFonts w:ascii="Arial" w:cs="Arial" w:eastAsia="Arial" w:hAnsi="Arial"/>
          <w:sz w:val="16"/>
          <w:szCs w:val="16"/>
          <w:color w:val="auto"/>
        </w:rPr>
        <w:t>Under Section 112 of the Clean Air Act, the EPA is required to set emission standards for hazardous air</w:t>
      </w:r>
      <w:r>
        <w:rPr>
          <w:rFonts w:ascii="Arial" w:cs="Arial" w:eastAsia="Arial" w:hAnsi="Arial"/>
          <w:sz w:val="16"/>
          <w:szCs w:val="16"/>
          <w:i w:val="1"/>
          <w:iCs w:val="1"/>
          <w:color w:val="auto"/>
        </w:rPr>
        <w:t xml:space="preserve"> </w:t>
      </w:r>
      <w:r>
        <w:rPr>
          <w:rFonts w:ascii="Arial" w:cs="Arial" w:eastAsia="Arial" w:hAnsi="Arial"/>
          <w:sz w:val="16"/>
          <w:szCs w:val="16"/>
          <w:color w:val="auto"/>
        </w:rPr>
        <w:t>pollutants (HAPs) for certain source categories. The final MATS rule addressed such emissions from coal-fired utility units greater than 25 MW and established categories of HAPs, including mercury, trace metals other than mercury, and acid gases. The EPA established emission limits for these categories of HAPs and work practice standards for the remaining categories. Construction on the project to implement the Boswell Unit 4 mercury emissions reduction plan to position the unit for MATS compliance was completed in 2015. Investments and compliance work previously completed at Boswell Unit 3, including emission reduction investments completed in 2009, meet the requirements of the MATS rule. The conversion of Laskin Units 1 and 2 to operate on natural gas in 2015 positioned those units for MATS compliance. On December 27, 2018, the EPA issued a proposed revised Supplemental Cost Finding for MATS that determined it is not appropriate and necessary to regulate HAP emissions from power plants under section 112 of the Clean Air Act.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Minnesota Power was required to implement a mercury emissions reduction project for Boswell Unit 4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0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2014, the EPA announced a proposed rule under Section 111(d) of the Clean Air Act for existing power plants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“Carbon Pollution Emission Guidelines for Existing Stationary Sources: Electric Generating Units”, also referred to as the Clean Power Plan (CPP). The EPA issued the final CPP in 2015, together with a proposed federal implementation plan and a model rule for emissions trading. In 2016, the U.S. Supreme Court issued an order staying the effectiveness of the rule until after the appellate court process is complete. In 2016, the U.S. Court of Appeals for the District of Columbia Circuit heard oral arguments and is currently deliberating. If the CPP is upheld at the completion of the appellate process, all of the CPP regulatory deadlines are expected to be reset based on the length of time that the appeals process takes. The EPA is precluded from enforcing the CPP while the U.S. Supreme Court stay is in force.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filed a motion with the U.S. Court of Appeals for the District of Columbia Circuit to hold CPP-related litigation in suspension while the EPA is reviewing the rule. In October 2017, the EPA issued a notice of proposed rulemaking, proposing to repeal the CPP. In December 2017, an Advanced Notice of Proposed Rulemaking for a CPP replacement rule was published in the Federal Register.</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31, 2018, the EPA published the proposed Affordable Clean Energy Rule in the Federal Register, which is intended to replace the CPP with revised emission guidelines that inform the development, submittal, and implementation of State Implementation Plans (SIP) to reduce GHG emissions for existing steam generating units. If a state does not submit a SIP or submits a plan that is unacceptable to the EPA, the EPA would develop a Federal Implementation Plan (FIP). Minnesota Power generating facilities affected by this proposal include Boswell, Laskin, Taconite Harbor and Hibbard.</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Affordable Clean Energy Rule seeks to reduce carbon intensity at existing steam generation units by prescribing Best System of Emission Reduction (BSER), primarily through Heat Rate Improvement (HRI) technologies. Under the proposal, states will have up to three years to develop a SIP, which is subject to EPA approval. While many of the HRIs proposed by the EPA in the proposed rule have already been installed in Minnesota Power’s largest coal-fired generating units, compliance specifics would be detailed in either Minnesota’s SIP or a FIP.</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Minnesota has already initiated several measures consistent with those called for under the CPP and proposed Affordable Clean Energy Rule. Minnesota Power is implementing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that provides for significant emission reductions and diversifying its electricity generation mix to include more renewable and natural gas energy. (See Note 6. Regulatory Matters.) We are unable to predict the GHG emission compliance costs we might incur; however, the costs could be material. Minnesota Power would seek recovery of additional costs through a rate proceeding.</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Steam Electric Power Generating Effluent Limitations Guidelines. </w:t>
      </w:r>
      <w:r>
        <w:rPr>
          <w:rFonts w:ascii="Arial" w:cs="Arial" w:eastAsia="Arial" w:hAnsi="Arial"/>
          <w:sz w:val="18"/>
          <w:szCs w:val="18"/>
          <w:color w:val="auto"/>
        </w:rPr>
        <w:t>In 2015, the EPA issued revised federal effluent limitation guidelines (ELG) for steam</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generating stations under the Clean Water Act. It set effluent limits and prescribed BACT for several wastewater streams, including flue gas desulphurization (FGD) water, bottom ash transport water and coal combustion landfill leachate. In September 2017, the EPA announced a two-year postponement of the ELG compliance date of November 1, 2018, to November 1, 2020, while the agency reconsiders the bottom ash transport water and FGD wastewater provisions.</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final ELG rule’s potential impact on Minnesota Power operations is primarily at Boswell. Boswell currently discharges bottom ash contact water through its NPDES permit, and also has a closed-loop FGD system that does not discharge to surface waters, but may do so in the future. Under the existing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8"/>
          <w:szCs w:val="18"/>
          <w:color w:val="auto"/>
        </w:rPr>
        <w:t>‑</w:t>
      </w:r>
      <w:r>
        <w:rPr>
          <w:rFonts w:ascii="Arial" w:cs="Arial" w:eastAsia="Arial" w:hAnsi="Arial"/>
          <w:sz w:val="18"/>
          <w:szCs w:val="18"/>
          <w:color w:val="auto"/>
        </w:rPr>
        <w:t>use options in its plant processes.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70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applying ash to land as an approved beneficial use and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Coal Combustion Residuals from Electric Utilities (CCR). </w:t>
      </w:r>
      <w:r>
        <w:rPr>
          <w:rFonts w:ascii="Arial" w:cs="Arial" w:eastAsia="Arial" w:hAnsi="Arial"/>
          <w:sz w:val="18"/>
          <w:szCs w:val="18"/>
          <w:color w:val="auto"/>
        </w:rPr>
        <w:t>In 2015, the EPA published the final rule regulating CCR as nonhazardous waste under Subtitle 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The EPA has indicated to Minnesota Power that the landfill at Taconite Harbor, which has been idled and has a temporary landfill cover in place, is a CCR unit based on the EPA’s interpretation of the CCR rule language. Minnesota Power has agreed to post the required CCR information for the Taconite Harbor landfill on Minnesota Power’s website while the CCR issue is resolved. Compliance costs for CCR at Taconite Harbor are not expected to be material. Minnesota Power would seek recovery of additional costs through a rate proceeding.</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Minnesota Power continues to work on minimizing costs through evaluation of beneficial re-use and recycling of CCR and CCR</w:t>
      </w:r>
      <w:r>
        <w:rPr>
          <w:rFonts w:ascii="MS PGothic" w:cs="MS PGothic" w:eastAsia="MS PGothic" w:hAnsi="MS PGothic"/>
          <w:sz w:val="18"/>
          <w:szCs w:val="18"/>
          <w:color w:val="auto"/>
        </w:rPr>
        <w:t>‑</w:t>
      </w:r>
      <w:r>
        <w:rPr>
          <w:rFonts w:ascii="Arial" w:cs="Arial" w:eastAsia="Arial" w:hAnsi="Arial"/>
          <w:sz w:val="18"/>
          <w:szCs w:val="18"/>
          <w:color w:val="auto"/>
        </w:rPr>
        <w:t>related waters. In September 2017, the EPA announced its intention to formally reconsider the CCR rule under Subtitle D of the RCRA and on March 15, 2018, published the first phase of the proposed rule revisions in the Federal Register. On July 17, 2018, the EPA finalized revisions to elements of the CCR rule, including extending certain deadlines by two years, the establishment of alternative groundwater protection standards for certain constituents and the potential for risk</w:t>
      </w:r>
      <w:r>
        <w:rPr>
          <w:rFonts w:ascii="MS PGothic" w:cs="MS PGothic" w:eastAsia="MS PGothic" w:hAnsi="MS PGothic"/>
          <w:sz w:val="18"/>
          <w:szCs w:val="18"/>
          <w:color w:val="auto"/>
        </w:rPr>
        <w:t>‑</w:t>
      </w:r>
      <w:r>
        <w:rPr>
          <w:rFonts w:ascii="Arial" w:cs="Arial" w:eastAsia="Arial" w:hAnsi="Arial"/>
          <w:sz w:val="18"/>
          <w:szCs w:val="18"/>
          <w:color w:val="auto"/>
        </w:rPr>
        <w:t>based management options at facilities based on site characteristics. On August 22, 2018, a U.S. District Court for the District of Columbia decision vacated specific provisions of the CCR rule. The court decision changes the status of three existing impoundments at Boswell that must now be considered unlined. Compliance costs at Boswell due to the court decision are unknown at this time. Minnesota Power would seek recovery of additional costs through a rate proceeding.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December 2017, the WDNR authorized SWL&amp;P to transition from site investigation into the remedial design process. As of December 31, 2018, we have recorded a liability of approximately $7 million for remediation costs at this site (approximately $8 million as of December 31, 2017), and an associated regulatory asset as we expect recovery of these remediation costs to be allowed by the PSCW. We expect to incur these costs over the next four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December 31, 2018, ALLETE Clean Energy has $21.0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December 31, 2018, U.S. Water Services has no outstanding standby letters of credit.</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BNI Energy. </w:t>
      </w:r>
      <w:r>
        <w:rPr>
          <w:rFonts w:ascii="Arial" w:cs="Arial" w:eastAsia="Arial" w:hAnsi="Arial"/>
          <w:sz w:val="16"/>
          <w:szCs w:val="16"/>
          <w:color w:val="auto"/>
        </w:rPr>
        <w:t>As of December 31, 2018, BNI Energy had surety bonds outstanding of $49.9 million and a letter of credit for an additional $0.6 million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$47.5 million. BNI Energy does not believe it is likely that any of these outstanding surety bonds or the letter of credit will be drawn upon.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0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December 31, 2018,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$8.6 million primarily related to development and maintenance obligations for various projects. The estimated cost of the remaining development work is $6.1 million. ALLETE Properties does not believe it is likely that any of these outstanding surety bonds or letters of credit will be drawn upon.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Community Development District Obligations. </w:t>
      </w:r>
      <w:r>
        <w:rPr>
          <w:rFonts w:ascii="Arial" w:cs="Arial" w:eastAsia="Arial" w:hAnsi="Arial"/>
          <w:sz w:val="17"/>
          <w:szCs w:val="17"/>
          <w:color w:val="auto"/>
        </w:rPr>
        <w:t>In 2005, the Town Center District issued $26.4 million of tax-exempt, 6.0 percent capital improvement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bonds, and in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2006 for the Town Center District and 2007 for the Palm Coast Park District. To the extent that ALLETE Properties still owns land at the time of the assessment, it will incur the cost of its portion of these assessments, based upon its ownership of benefited property.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we owned 68 percent of the assessable land in the Town Center District (70 percent as of December 31, 2017) and 19 percent of the assessable land in the Palm Coast Park District (33 percent as of December 31, 2017). As of December 31, 2018, ownership levels, our annual assessments related to capital improvement and special assessment bonds for the ALLETE Properties projects within these districts are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Water Services is involved in on-going patent defense litigation it brought against a company for infringement of two patents held by U.S. Water Services. As of December 31, 2018, U.S. Water Services has recognized approximately $2.6 million of patent defense costs as an intangible asset. Management expects that U.S. Water Services will prevail, but in the event of an unfavorable outcome, the patent defense costs would be recognized as an expense in the period of resolution.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02"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w:t>
            </w:r>
          </w:p>
        </w:tc>
        <w:tc>
          <w:tcPr>
            <w:tcW w:w="3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70"/>
        </w:trPr>
        <w:tc>
          <w:tcPr>
            <w:tcW w:w="7000" w:type="dxa"/>
            <w:vAlign w:val="bottom"/>
          </w:tcPr>
          <w:p>
            <w:pPr>
              <w:spacing w:after="0"/>
              <w:rPr>
                <w:sz w:val="23"/>
                <w:szCs w:val="23"/>
                <w:color w:val="auto"/>
              </w:rPr>
            </w:pP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Thousands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49,075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$1,271.4</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130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Received for Sale of Land Inventory</w:t>
            </w:r>
          </w:p>
        </w:tc>
        <w:tc>
          <w:tcPr>
            <w:tcW w:w="3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Acquisition of Non-Controlling Interest</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49,560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1,295.3</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 to Pension</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3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51,117</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277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7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Contributions to RSOP</w:t>
            </w:r>
          </w:p>
        </w:tc>
        <w:tc>
          <w:tcPr>
            <w:tcW w:w="334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70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51,509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$1,428.5</w:t>
            </w:r>
          </w:p>
        </w:tc>
      </w:tr>
      <w:tr>
        <w:trPr>
          <w:trHeight w:val="20"/>
        </w:trPr>
        <w:tc>
          <w:tcPr>
            <w:tcW w:w="70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Lampert Capital Markets, Inc., in 2008, as amended most recently in 2016,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13.6 million shares of our common stock, without par value, of which 2.9 million shares remain available for issuance as of December 31, 2018. For the year ended December 31, 2018, no shares of common stock were issued under this agreement (1.0 million shares for net proceeds of $65.7 million in 2017; 0.1 million shares for net proceeds of $8.0 million in 2016). The shares issued in 2017 and 2016 were offered and sold pursuant to Registration Statement No. 333-212794, pursuant to which the remaining shares will continue to be offered for sale, from time to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Contributions to Pension. </w:t>
      </w:r>
      <w:r>
        <w:rPr>
          <w:rFonts w:ascii="Arial" w:cs="Arial" w:eastAsia="Arial" w:hAnsi="Arial"/>
          <w:sz w:val="17"/>
          <w:szCs w:val="17"/>
          <w:color w:val="auto"/>
        </w:rPr>
        <w:t>For the year ended December 31, 2018, we contributed no shares of ALLETE common stock to our pension plan (0.2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which had an aggregate value of $13.5 million in 2017 and none in 2016). The shares of ALLETE common stock contributed in 2017 were contributed in reliance upon an exemption available pursuant to Section 4(a)(2) of the Securities Act of 1933, as amended.</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We compute basic earnings per share using the weighted average number of shares of common stock outstanding during each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between basic and diluted earnings per share, if any, arises from outstanding stock options, non-vested restricted stock units and performance share awards granted under our Executive Long-Term Incentive Compensation Plan. No options to purchase shares of common stock were excluded from the computation of diluted earnings per share in 2018, 2017 and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02"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 (Continued)</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120" w:type="dxa"/>
            <w:vAlign w:val="bottom"/>
          </w:tcPr>
          <w:p>
            <w:pPr>
              <w:spacing w:after="0"/>
              <w:rPr>
                <w:sz w:val="23"/>
                <w:szCs w:val="23"/>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Dilutive</w:t>
            </w:r>
          </w:p>
        </w:tc>
        <w:tc>
          <w:tcPr>
            <w:tcW w:w="1060" w:type="dxa"/>
            <w:vAlign w:val="bottom"/>
          </w:tcPr>
          <w:p>
            <w:pPr>
              <w:spacing w:after="0"/>
              <w:rPr>
                <w:sz w:val="23"/>
                <w:szCs w:val="23"/>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Securities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67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$174.1</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$174.1</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51.3</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$3.39</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$2.24</w:t>
            </w: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$172.2</w:t>
            </w: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50.8</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$3.39</w:t>
            </w: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$2.14</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2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$155.3</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$155.3</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49.3</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$3.15</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$2.08</w:t>
            </w:r>
          </w:p>
        </w:tc>
        <w:tc>
          <w:tcPr>
            <w:tcW w:w="1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642"/>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13. INCOME TAX EXPENSE</w:t>
            </w:r>
          </w:p>
        </w:tc>
        <w:tc>
          <w:tcPr>
            <w:tcW w:w="2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459"/>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67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7"/>
        </w:trPr>
        <w:tc>
          <w:tcPr>
            <w:tcW w:w="6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21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$0.3</w:t>
            </w:r>
          </w:p>
        </w:tc>
        <w:tc>
          <w:tcPr>
            <w:tcW w:w="14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$0.3</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67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2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120" w:type="dxa"/>
            <w:vAlign w:val="bottom"/>
          </w:tcPr>
          <w:p>
            <w:pPr>
              <w:jc w:val="right"/>
              <w:ind w:right="570"/>
              <w:spacing w:after="0"/>
              <w:rPr>
                <w:sz w:val="20"/>
                <w:szCs w:val="20"/>
                <w:color w:val="auto"/>
              </w:rPr>
            </w:pPr>
            <w:r>
              <w:rPr>
                <w:rFonts w:ascii="Arial" w:cs="Arial" w:eastAsia="Arial" w:hAnsi="Arial"/>
                <w:sz w:val="18"/>
                <w:szCs w:val="18"/>
                <w:color w:val="auto"/>
              </w:rPr>
              <w:t>$(26.2)</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$12.1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$12.0</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Federal – Remeasurement of Deferred Income Taxes </w:t>
            </w:r>
            <w:r>
              <w:rPr>
                <w:rFonts w:ascii="Arial" w:cs="Arial" w:eastAsia="Arial" w:hAnsi="Arial"/>
                <w:sz w:val="16"/>
                <w:szCs w:val="16"/>
                <w:i w:val="1"/>
                <w:iCs w:val="1"/>
                <w:color w:val="auto"/>
              </w:rPr>
              <w:t>(c)</w:t>
            </w:r>
          </w:p>
        </w:tc>
        <w:tc>
          <w:tcPr>
            <w:tcW w:w="21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State</w:t>
            </w: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11.0</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15.8</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8.1</w:t>
            </w:r>
          </w:p>
        </w:tc>
      </w:tr>
      <w:tr>
        <w:trPr>
          <w:trHeight w:val="27"/>
        </w:trPr>
        <w:tc>
          <w:tcPr>
            <w:tcW w:w="6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2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7"/>
        </w:trPr>
        <w:tc>
          <w:tcPr>
            <w:tcW w:w="6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21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$(15.8)</w:t>
            </w:r>
          </w:p>
        </w:tc>
        <w:tc>
          <w:tcPr>
            <w:tcW w:w="14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$14.4</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$19.4</w:t>
            </w:r>
          </w:p>
        </w:tc>
      </w:tr>
      <w:tr>
        <w:trPr>
          <w:trHeight w:val="27"/>
        </w:trPr>
        <w:tc>
          <w:tcPr>
            <w:tcW w:w="67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1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$(15.5)</w:t>
            </w: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$14.7</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$19.8</w:t>
            </w:r>
          </w:p>
        </w:tc>
      </w:tr>
      <w:tr>
        <w:trPr>
          <w:trHeight w:val="20"/>
        </w:trPr>
        <w:tc>
          <w:tcPr>
            <w:tcW w:w="67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2018, 2017 and 2016,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2018, the federal tax benefit is primarily due to production tax credits, and the reduction of the federal statutory tax rate from 35 percent to 21 percent enacted as part of the TCJA.</w:t>
      </w:r>
    </w:p>
    <w:p>
      <w:pPr>
        <w:ind w:left="340" w:right="20" w:hanging="332"/>
        <w:spacing w:after="0" w:line="257" w:lineRule="auto"/>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2017, the federal deferred income tax benefit is due to the remeasurement of deferred income tax assets and liabilities resulting from the TCJA.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02"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r>
              <w:rPr>
                <w:rFonts w:ascii="Arial" w:cs="Arial" w:eastAsia="Arial" w:hAnsi="Arial"/>
                <w:sz w:val="16"/>
                <w:szCs w:val="16"/>
                <w:i w:val="1"/>
                <w:iCs w:val="1"/>
                <w:color w:val="auto"/>
              </w:rPr>
              <w:t>.</w:t>
            </w:r>
          </w:p>
        </w:tc>
        <w:tc>
          <w:tcPr>
            <w:tcW w:w="2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9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9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9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$158.6</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$186.9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9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29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$33.3</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$65.4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9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9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8.9</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900" w:type="dxa"/>
            <w:vAlign w:val="bottom"/>
          </w:tcPr>
          <w:p>
            <w:pPr>
              <w:jc w:val="right"/>
              <w:ind w:right="390"/>
              <w:spacing w:after="0"/>
              <w:rPr>
                <w:sz w:val="20"/>
                <w:szCs w:val="20"/>
                <w:color w:val="auto"/>
              </w:rPr>
            </w:pPr>
            <w:r>
              <w:rPr>
                <w:rFonts w:ascii="Arial" w:cs="Arial" w:eastAsia="Arial" w:hAnsi="Arial"/>
                <w:sz w:val="18"/>
                <w:szCs w:val="18"/>
                <w:color w:val="auto"/>
              </w:rPr>
              <w:t>(45.0)</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(45.1)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7"/>
        </w:trPr>
        <w:tc>
          <w:tcPr>
            <w:tcW w:w="6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Regulatory Differences – Excess Deferred Tax Benefit </w:t>
            </w:r>
            <w:r>
              <w:rPr>
                <w:rFonts w:ascii="Arial" w:cs="Arial" w:eastAsia="Arial" w:hAnsi="Arial"/>
                <w:sz w:val="16"/>
                <w:szCs w:val="16"/>
                <w:i w:val="1"/>
                <w:iCs w:val="1"/>
                <w:color w:val="auto"/>
              </w:rPr>
              <w:t>(a)</w:t>
            </w:r>
          </w:p>
        </w:tc>
        <w:tc>
          <w:tcPr>
            <w:tcW w:w="2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90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6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Remeasurement of Deferred Income Taxes </w:t>
            </w:r>
            <w:r>
              <w:rPr>
                <w:rFonts w:ascii="Arial" w:cs="Arial" w:eastAsia="Arial" w:hAnsi="Arial"/>
                <w:sz w:val="16"/>
                <w:szCs w:val="16"/>
                <w:i w:val="1"/>
                <w:iCs w:val="1"/>
                <w:color w:val="auto"/>
              </w:rPr>
              <w:t>(b)</w:t>
            </w:r>
          </w:p>
        </w:tc>
        <w:tc>
          <w:tcPr>
            <w:tcW w:w="29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Other</w:t>
            </w:r>
          </w:p>
        </w:tc>
        <w:tc>
          <w:tcPr>
            <w:tcW w:w="29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(4.3)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6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$(15.5)</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r>
      <w:tr>
        <w:trPr>
          <w:trHeight w:val="20"/>
        </w:trPr>
        <w:tc>
          <w:tcPr>
            <w:tcW w:w="60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Excess deferred income taxes are being returned to customers under both the Average Rate Assumption Method and amortization periods as approved by regulators. (See Note 4. Regulatory Matters.)</w:t>
      </w:r>
    </w:p>
    <w:p>
      <w:pPr>
        <w:ind w:left="340" w:hanging="332"/>
        <w:spacing w:after="0"/>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Deferred income tax benefit from the remeasurement of deferred income tax assets and liabilities resulting from the TCJA.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a benefit of 9.8 percent for 2018 (expense of 7.9 percent for 2017; expense of 11.3 percent for 2016). The 2018 effective tax rate was primarily impacted by production tax credits, and the reduction of the federal income tax rate from 35 percent to 21 percent enacted as part of the TCJA. The 2017 effective tax rate was primarily impacted by production tax credits and the remeasurement of deferred income tax assets and liabilities resulting from the TCJA. The 2016 effective tax rate was primarily impacted by production tax credits.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and Liabilities</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4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Employee Benefits and Compensation</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$62.2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Property-Related</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NOL Carryforwards</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86.1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99.1</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 Credit Carryforwards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349.8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Power Sales Agreements</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27.5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Regulatory Liabilities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113.4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25.1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Deferred Income Tax Assets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759.3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749.6</w:t>
            </w:r>
          </w:p>
        </w:tc>
      </w:tr>
      <w:tr>
        <w:trPr>
          <w:trHeight w:val="243"/>
        </w:trPr>
        <w:tc>
          <w:tcPr>
            <w:tcW w:w="2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Deferred Income Tax Asset Valuation Allowance</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(66.5)</w:t>
            </w: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$692.8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$689.6</w:t>
            </w:r>
          </w:p>
        </w:tc>
      </w:tr>
      <w:tr>
        <w:trPr>
          <w:trHeight w:val="237"/>
        </w:trPr>
        <w:tc>
          <w:tcPr>
            <w:tcW w:w="20" w:type="dxa"/>
            <w:vAlign w:val="bottom"/>
          </w:tcPr>
          <w:p>
            <w:pPr>
              <w:spacing w:after="0"/>
              <w:rPr>
                <w:sz w:val="20"/>
                <w:szCs w:val="20"/>
                <w:color w:val="auto"/>
              </w:rPr>
            </w:pPr>
          </w:p>
        </w:tc>
        <w:tc>
          <w:tcPr>
            <w:tcW w:w="7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2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Property-Related</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$752.5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$758.3</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Regulatory Asset for Benefit Obligations</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61.0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Investment Tax Credits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32.2</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Partnership Basis Differences</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40.8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Regulatory Assets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20" w:type="dxa"/>
            <w:vAlign w:val="bottom"/>
          </w:tcPr>
          <w:p>
            <w:pPr>
              <w:spacing w:after="0"/>
              <w:rPr>
                <w:sz w:val="21"/>
                <w:szCs w:val="21"/>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Liabilities</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$916.4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w:t>
            </w:r>
          </w:p>
        </w:tc>
      </w:tr>
      <w:tr>
        <w:trPr>
          <w:trHeight w:val="237"/>
        </w:trPr>
        <w:tc>
          <w:tcPr>
            <w:tcW w:w="20" w:type="dxa"/>
            <w:vAlign w:val="bottom"/>
          </w:tcPr>
          <w:p>
            <w:pPr>
              <w:spacing w:after="0"/>
              <w:rPr>
                <w:sz w:val="20"/>
                <w:szCs w:val="20"/>
                <w:color w:val="auto"/>
              </w:rPr>
            </w:pPr>
          </w:p>
        </w:tc>
        <w:tc>
          <w:tcPr>
            <w:tcW w:w="7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24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$223.6</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$230.5</w:t>
            </w:r>
          </w:p>
        </w:tc>
      </w:tr>
      <w:tr>
        <w:trPr>
          <w:trHeight w:val="27"/>
        </w:trPr>
        <w:tc>
          <w:tcPr>
            <w:tcW w:w="7940" w:type="dxa"/>
            <w:vAlign w:val="bottom"/>
            <w:gridSpan w:val="2"/>
          </w:tcPr>
          <w:p>
            <w:pPr>
              <w:spacing w:after="0"/>
              <w:rPr>
                <w:sz w:val="2"/>
                <w:szCs w:val="2"/>
                <w:color w:val="auto"/>
              </w:rPr>
            </w:pPr>
          </w:p>
        </w:tc>
        <w:tc>
          <w:tcPr>
            <w:tcW w:w="2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9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Recorded as a net long-term Deferred Income Tax liability on the Consolidated Balance Sheet</w:t>
            </w:r>
          </w:p>
        </w:tc>
        <w:tc>
          <w:tcPr>
            <w:tcW w:w="2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02"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NOTE 13. INCOME TAX EXPENSE (Continued)</w:t>
            </w:r>
            <w:r>
              <w:rPr>
                <w:rFonts w:ascii="Arial" w:cs="Arial" w:eastAsia="Arial" w:hAnsi="Arial"/>
                <w:sz w:val="16"/>
                <w:szCs w:val="16"/>
                <w:i w:val="1"/>
                <w:iCs w:val="1"/>
                <w:color w:val="auto"/>
              </w:rPr>
              <w:t>.</w:t>
            </w:r>
          </w:p>
        </w:tc>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7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6"/>
                <w:szCs w:val="16"/>
                <w:i w:val="1"/>
                <w:iCs w:val="1"/>
                <w:color w:val="auto"/>
              </w:rPr>
              <w:t>(a)</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$319.0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$256.4</w:t>
            </w: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7"/>
        </w:trPr>
        <w:tc>
          <w:tcPr>
            <w:tcW w:w="6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6"/>
                <w:szCs w:val="16"/>
                <w:i w:val="1"/>
                <w:iCs w:val="1"/>
                <w:color w:val="auto"/>
              </w:rPr>
              <w:t>(a)</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$305.8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6"/>
                <w:szCs w:val="16"/>
                <w:i w:val="1"/>
                <w:iCs w:val="1"/>
                <w:color w:val="auto"/>
              </w:rPr>
              <w:t>(b)</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$27.4</w:t>
            </w:r>
          </w:p>
        </w:tc>
        <w:tc>
          <w:tcPr>
            <w:tcW w:w="100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Net of a $66.0 million valuation allowance as of December 31, 2018 ($59.5 million as of December 31, 2017).</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NOL and tax credit carryforward periods expire between 2031 and 2038. We expect to fully utilize the federal NOL and federal tax credit carryforwards; therefore, no federal valuation allowance has been recognized as of December 31, 2018. The state NOL and tax credit carryforward periods expire between 2024 and 2045. We have established a valuation allowance against certain state NOL and tax credits that we do not expect to utilize before their expiration. We do not expect a material impact on the Company’s ability to utilize its federal and state NOL and tax credit carryforwards due to the TCJA.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8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(0.3)</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w:t>
            </w:r>
          </w:p>
        </w:tc>
        <w:tc>
          <w:tcPr>
            <w:tcW w:w="27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15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$1.7</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2018, included $0.9 million of net unrecognized tax benefits which, if recognized, would affect the annual effective income tax rate.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we had no accrued interest (none as of December 31, 2017, and 2016)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2018 (immaterial in 2017, and in 2016). There were no penalties recognized in 2018, 2017 or 2016. The unrecognized tax benefit amounts have been presented as reductions to the tax benefits associated with NOL and tax credit carryforwards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2015 or state examination for years before 2014.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0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14. RECLASSIFICATIONS OUT OF ACCUMULATED OTHER COMPREHENSIVE INCOME (LOSS)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debt securities as well as defined benefit pension and other postretirement items, consisting of deferred actuarial gains or losses and prior service costs or credits.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2017 and 2016, reclassifications out of accumulated other comprehensive loss for the company were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are presented on the Consolidated Statement of Shareholders’ Equity.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AND OTHER POSTRETIREMENT BENEFIT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1, 2016. The plans provide defined benefits based on years of service and final average pay. We contributed $15.0 million in cash to the plans in 2018 ($1.7 million in 2017; $6.3 million in 2016). We contributed no shares of ALLETE common stock to the plans in 2018 (0.2 million shares, which had an aggregate value of $13.5 million in 2017; none in 2016). We also have a defined contribution RSOP covering substantially all employees. The 2018 plan year employer contributions, which are made through the employee stock ownership plan portion of the RSOP, totaled $11.4 million ($11.0 million for the 2017 plan year; $9.2 million for the 2016 plan year). (See Note 12. Common Stock and Earnings Per Share and Note 16. Employee Stock and Incentive Plans.)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postretirement health care and life insurance plans covering eligible employees. In 2010, the postretirement health care plan was closed to employees hired after January 31, 2011, and the eligibility requirements were amended. In 2014, the postretirement life plan was amended to close the plan to non-union employees retiring after December 31, 2015, and in 2018, the postretirement life plan was amended to limit the benefit level for union employees retiring after December 31, 2018.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2018, no contributions were made to the VEBAs (none in 2017; none in 2016) and no contributions were made to the grantor trusts (none in 2017; none in 2016).</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15, 2019, we contributed $10.4 million in cash to the defined benefit pension plans. We do not expect to make any additional contributions to the defined benefit pension plans in 2019, and we do not expect to make any contributions to the defined benefit postretirement health and life plans in 2019.</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02"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Pension Obligation and Funded Status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$713.7</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$745.4</w:t>
            </w:r>
          </w:p>
        </w:tc>
      </w:tr>
      <w:tr>
        <w:trPr>
          <w:trHeight w:val="237"/>
        </w:trPr>
        <w:tc>
          <w:tcPr>
            <w:tcW w:w="20" w:type="dxa"/>
            <w:vAlign w:val="bottom"/>
          </w:tcPr>
          <w:p>
            <w:pPr>
              <w:spacing w:after="0"/>
              <w:rPr>
                <w:sz w:val="20"/>
                <w:szCs w:val="20"/>
                <w:color w:val="auto"/>
              </w:rPr>
            </w:pP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Benefit Obligation</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$793.2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$743.3</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11.0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29.6</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32.5</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Plan Amendments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 Curtailments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Actuarial (Gain) Loss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(53.0)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44.8</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24.1</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13.4</w:t>
            </w:r>
          </w:p>
        </w:tc>
      </w:tr>
      <w:tr>
        <w:trPr>
          <w:trHeight w:val="27"/>
        </w:trPr>
        <w:tc>
          <w:tcPr>
            <w:tcW w:w="2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$747.0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$793.2</w:t>
            </w:r>
          </w:p>
        </w:tc>
      </w:tr>
      <w:tr>
        <w:trPr>
          <w:trHeight w:val="237"/>
        </w:trPr>
        <w:tc>
          <w:tcPr>
            <w:tcW w:w="20" w:type="dxa"/>
            <w:vAlign w:val="bottom"/>
          </w:tcPr>
          <w:p>
            <w:pPr>
              <w:spacing w:after="0"/>
              <w:rPr>
                <w:sz w:val="20"/>
                <w:szCs w:val="20"/>
                <w:color w:val="auto"/>
              </w:rPr>
            </w:pP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Plan Assets</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$628.2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$557.5</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(21.2)</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91.6</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(a)</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40.5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30.1</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(49.5)</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(51.0)</w:t>
            </w:r>
          </w:p>
        </w:tc>
      </w:tr>
      <w:tr>
        <w:trPr>
          <w:trHeight w:val="27"/>
        </w:trPr>
        <w:tc>
          <w:tcPr>
            <w:tcW w:w="2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$598.0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$628.2</w:t>
            </w:r>
          </w:p>
        </w:tc>
      </w:tr>
      <w:tr>
        <w:trPr>
          <w:trHeight w:val="237"/>
        </w:trPr>
        <w:tc>
          <w:tcPr>
            <w:tcW w:w="20" w:type="dxa"/>
            <w:vAlign w:val="bottom"/>
          </w:tcPr>
          <w:p>
            <w:pPr>
              <w:spacing w:after="0"/>
              <w:rPr>
                <w:sz w:val="20"/>
                <w:szCs w:val="20"/>
                <w:color w:val="auto"/>
              </w:rPr>
            </w:pPr>
          </w:p>
        </w:tc>
        <w:tc>
          <w:tcPr>
            <w:tcW w:w="7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2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$(149.0)</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$(165.0)</w:t>
            </w:r>
          </w:p>
        </w:tc>
      </w:tr>
      <w:tr>
        <w:trPr>
          <w:trHeight w:val="27"/>
        </w:trPr>
        <w:tc>
          <w:tcPr>
            <w:tcW w:w="2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$(147.4)</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$(163.6)</w:t>
            </w:r>
          </w:p>
        </w:tc>
      </w:tr>
      <w:tr>
        <w:trPr>
          <w:trHeight w:val="27"/>
        </w:trPr>
        <w:tc>
          <w:tcPr>
            <w:tcW w:w="800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9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Participant Contributions noted above.</w:t>
            </w:r>
          </w:p>
        </w:tc>
        <w:tc>
          <w:tcPr>
            <w:tcW w:w="2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$230.5 million and prior service cost of $1.4 million as of December 31, 2018 (net loss of $236.2 million as of December 31, 2017).</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Pension Amounts Recognized in Consolidated Balance Sheet</w:t>
            </w: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7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$(230.5)</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$(236.2)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Contributions in Excess of Net Periodic Benefit Cost (Prepaid Pension Asset)</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80.1</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r>
      <w:tr>
        <w:trPr>
          <w:trHeight w:val="237"/>
        </w:trPr>
        <w:tc>
          <w:tcPr>
            <w:tcW w:w="7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Pension Amounts Recognized in Consolidated Balance Sheet</w:t>
            </w:r>
          </w:p>
        </w:tc>
        <w:tc>
          <w:tcPr>
            <w:tcW w:w="2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$(149.0)</w:t>
            </w: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$(165.0)</w:t>
            </w:r>
          </w:p>
        </w:tc>
      </w:tr>
      <w:tr>
        <w:trPr>
          <w:trHeight w:val="27"/>
        </w:trPr>
        <w:tc>
          <w:tcPr>
            <w:tcW w:w="7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02"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Cost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$11.0</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29.6</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32.5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(44.4)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(42.4)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(43.6)</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Loss</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11.4</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$7.5</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r>
      <w:tr>
        <w:trPr>
          <w:trHeight w:val="20"/>
        </w:trPr>
        <w:tc>
          <w:tcPr>
            <w:tcW w:w="7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pension cost are included in the line item “Other” under Other Income (Expense) on the Consolidated Statement of Income.</w:t>
      </w:r>
    </w:p>
    <w:p>
      <w:pPr>
        <w:spacing w:after="0" w:line="230" w:lineRule="exact"/>
        <w:rPr>
          <w:sz w:val="20"/>
          <w:szCs w:val="20"/>
          <w:color w:val="auto"/>
        </w:rPr>
      </w:pPr>
    </w:p>
    <w:p>
      <w:pPr>
        <w:ind w:left="40" w:right="5480"/>
        <w:spacing w:after="0" w:line="317" w:lineRule="auto"/>
        <w:rPr>
          <w:sz w:val="20"/>
          <w:szCs w:val="20"/>
          <w:color w:val="auto"/>
        </w:rPr>
      </w:pPr>
      <w:r>
        <w:rPr>
          <w:rFonts w:ascii="Arial" w:cs="Arial" w:eastAsia="Arial" w:hAnsi="Arial"/>
          <w:sz w:val="16"/>
          <w:szCs w:val="16"/>
          <w:b w:val="1"/>
          <w:bCs w:val="1"/>
          <w:color w:val="auto"/>
        </w:rPr>
        <w:t>Other Changes in Pension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4"/>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8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20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$5.8</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00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 Arising During the Period</w:t>
            </w:r>
          </w:p>
        </w:tc>
        <w:tc>
          <w:tcPr>
            <w:tcW w:w="20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(11.4)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(9.9)</w:t>
            </w:r>
          </w:p>
        </w:tc>
      </w:tr>
      <w:tr>
        <w:trPr>
          <w:trHeight w:val="27"/>
        </w:trPr>
        <w:tc>
          <w:tcPr>
            <w:tcW w:w="8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0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r>
      <w:tr>
        <w:trPr>
          <w:trHeight w:val="453"/>
        </w:trPr>
        <w:tc>
          <w:tcPr>
            <w:tcW w:w="8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20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8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$747.0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$793.2</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$713.7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$745.4</w:t>
            </w:r>
          </w:p>
        </w:tc>
      </w:tr>
      <w:tr>
        <w:trPr>
          <w:trHeight w:val="27"/>
        </w:trPr>
        <w:tc>
          <w:tcPr>
            <w:tcW w:w="8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$598.0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20"/>
        </w:trPr>
        <w:tc>
          <w:tcPr>
            <w:tcW w:w="83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702"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$190.1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$173.4</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7.1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(15.8)</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15.5</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(11.6)</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(12.2)</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End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$176.0</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$190.1</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18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$171.0</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$154.3</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(9.6)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24.5</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(11.7)</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Fair Value, End of Year</w:t>
            </w:r>
          </w:p>
        </w:tc>
        <w:tc>
          <w:tcPr>
            <w:tcW w:w="18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$154.3</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$171.0</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1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$(21.7)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$(19.1)</w:t>
            </w:r>
          </w:p>
        </w:tc>
      </w:tr>
      <w:tr>
        <w:trPr>
          <w:trHeight w:val="291"/>
        </w:trPr>
        <w:tc>
          <w:tcPr>
            <w:tcW w:w="84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5"/>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Non-Current Assets</w:t>
            </w:r>
          </w:p>
        </w:tc>
        <w:tc>
          <w:tcPr>
            <w:tcW w:w="18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$0.4</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$(21.1)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$(21.0)</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$18.3 million in irrevocable grantor trusts included in Other Investments on the Consolidated Balance Sheet as of December 31, 2018 ($19.2 million as of December 31, 2017).</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862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$25.0</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40"/>
              <w:spacing w:after="0"/>
              <w:rPr>
                <w:sz w:val="20"/>
                <w:szCs w:val="20"/>
                <w:color w:val="auto"/>
              </w:rPr>
            </w:pPr>
            <w:r>
              <w:rPr>
                <w:rFonts w:ascii="Arial" w:cs="Arial" w:eastAsia="Arial" w:hAnsi="Arial"/>
                <w:sz w:val="18"/>
                <w:szCs w:val="18"/>
                <w:color w:val="auto"/>
              </w:rPr>
              <w:t>Prior Service Credit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w:t>
            </w:r>
          </w:p>
        </w:tc>
        <w:tc>
          <w:tcPr>
            <w:tcW w:w="15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$20.4</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453"/>
        </w:trPr>
        <w:tc>
          <w:tcPr>
            <w:tcW w:w="40" w:type="dxa"/>
            <w:vAlign w:val="bottom"/>
            <w:tcBorders>
              <w:top w:val="single" w:sz="8" w:color="auto"/>
            </w:tcBorders>
          </w:tcPr>
          <w:p>
            <w:pPr>
              <w:spacing w:after="0"/>
              <w:rPr>
                <w:sz w:val="24"/>
                <w:szCs w:val="24"/>
                <w:color w:val="auto"/>
              </w:rPr>
            </w:pPr>
          </w:p>
        </w:tc>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4"/>
              </w:rPr>
              <w:t>Reconciliation of Net Postretirement Health and Life Amounts Recognized in Consolidated Balance Sheet</w:t>
            </w:r>
          </w:p>
        </w:tc>
        <w:tc>
          <w:tcPr>
            <w:tcW w:w="1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$(25.0)</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Accumulated Net Periodic Benefit Cost in Excess of Contributions </w:t>
            </w:r>
            <w:r>
              <w:rPr>
                <w:rFonts w:ascii="Arial" w:cs="Arial" w:eastAsia="Arial" w:hAnsi="Arial"/>
                <w:sz w:val="16"/>
                <w:szCs w:val="16"/>
                <w:i w:val="1"/>
                <w:iCs w:val="1"/>
                <w:color w:val="auto"/>
              </w:rPr>
              <w:t>(a)</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Postretirement Health and Life Amounts Recognized in Consolidated Balance Sheet</w:t>
            </w:r>
          </w:p>
        </w:tc>
        <w:tc>
          <w:tcPr>
            <w:tcW w:w="15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$(21.7)</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r>
      <w:tr>
        <w:trPr>
          <w:trHeight w:val="27"/>
        </w:trPr>
        <w:tc>
          <w:tcPr>
            <w:tcW w:w="8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85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Excludes gains, losses and contributions associated with irrevocable grantor trusts.</w:t>
            </w:r>
          </w:p>
        </w:tc>
        <w:tc>
          <w:tcPr>
            <w:tcW w:w="1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02"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02" w:right="2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94"/>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Cost</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7"/>
        </w:trPr>
        <w:tc>
          <w:tcPr>
            <w:tcW w:w="7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$4.7</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7.1</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7.7</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(11.2)</w:t>
            </w:r>
          </w:p>
        </w:tc>
      </w:tr>
      <w:tr>
        <w:trPr>
          <w:trHeight w:val="27"/>
        </w:trPr>
        <w:tc>
          <w:tcPr>
            <w:tcW w:w="7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Loss</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w:t>
            </w:r>
          </w:p>
        </w:tc>
        <w:tc>
          <w:tcPr>
            <w:tcW w:w="1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Amortization of Prior Service Credit</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7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Postretirement Health and Life Credit</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$(0.1)</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r>
      <w:tr>
        <w:trPr>
          <w:trHeight w:val="20"/>
        </w:trPr>
        <w:tc>
          <w:tcPr>
            <w:tcW w:w="7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net periodic postretirement health and life cost are included in the line item “Other” under Other Income (Expense) on the Consolidated Statement of Income.</w:t>
      </w:r>
    </w:p>
    <w:p>
      <w:pPr>
        <w:spacing w:after="0" w:line="200" w:lineRule="exact"/>
        <w:rPr>
          <w:sz w:val="20"/>
          <w:szCs w:val="20"/>
          <w:color w:val="auto"/>
        </w:rPr>
      </w:pPr>
    </w:p>
    <w:p>
      <w:pPr>
        <w:ind w:left="40" w:right="5160"/>
        <w:spacing w:after="0" w:line="317"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4"/>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4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Prior Service Credit Arising During the Period</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78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78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0"/>
        </w:trPr>
        <w:tc>
          <w:tcPr>
            <w:tcW w:w="78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408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00" w:type="dxa"/>
            <w:vAlign w:val="bottom"/>
          </w:tcPr>
          <w:p>
            <w:pPr>
              <w:spacing w:after="0"/>
              <w:rPr>
                <w:sz w:val="20"/>
                <w:szCs w:val="20"/>
                <w:color w:val="auto"/>
              </w:rPr>
            </w:pPr>
          </w:p>
        </w:tc>
        <w:tc>
          <w:tcPr>
            <w:tcW w:w="408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5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$47.9</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2020</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$47.4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2022</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$47.1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2023</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$47.0</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Years 2024 – 2028</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$231.1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5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2019,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6640" w:type="dxa"/>
            <w:vAlign w:val="bottom"/>
          </w:tcPr>
          <w:p>
            <w:pPr>
              <w:spacing w:after="0"/>
              <w:rPr>
                <w:sz w:val="20"/>
                <w:szCs w:val="20"/>
                <w:color w:val="auto"/>
              </w:rPr>
            </w:pPr>
          </w:p>
        </w:tc>
        <w:tc>
          <w:tcPr>
            <w:tcW w:w="312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6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312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6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3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r>
      <w:tr>
        <w:trPr>
          <w:trHeight w:val="20"/>
        </w:trPr>
        <w:tc>
          <w:tcPr>
            <w:tcW w:w="66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02"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44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Pension</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4.39 - 4.53%</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3.81 - 3.96%</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4.47%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3.86%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3.70 - 4.10%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3.70 - 4.10%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5.00 - 6.46%</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5.00 - 6.73%</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144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2038</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2038</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5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Periodic Benefit Costs</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3.81 - 3.96%</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4.53 - 4.57%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4.72 - 4.73%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4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7.50%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43"/>
        </w:trPr>
        <w:tc>
          <w:tcPr>
            <w:tcW w:w="724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6.00 - 7.50%</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6.00 - 7.50%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6.40 - 8.00%</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3.70 - 4.10%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3.70 - 4.30%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3.70 - 4.30%</w:t>
            </w:r>
          </w:p>
        </w:tc>
      </w:tr>
      <w:tr>
        <w:trPr>
          <w:trHeight w:val="20"/>
        </w:trPr>
        <w:tc>
          <w:tcPr>
            <w:tcW w:w="7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2018, considered a modified RP-2014 mortality table and mortality projection scale.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9"/>
              </w:rPr>
              <w:t>Sensitivity of a One Percent Change in Health Care Trend Rates</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One Percent</w:t>
            </w: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Effect on Total of Postretirement Health and Life Service and Interest Cost</w:t>
            </w:r>
          </w:p>
        </w:tc>
        <w:tc>
          <w:tcPr>
            <w:tcW w:w="1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Effect on Postretirement Health and Life Obligation</w:t>
            </w: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$(17.2)</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r>
      <w:tr>
        <w:trPr>
          <w:trHeight w:val="569"/>
        </w:trPr>
        <w:tc>
          <w:tcPr>
            <w:tcW w:w="2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Pension</w:t>
            </w:r>
          </w:p>
        </w:tc>
        <w:tc>
          <w:tcPr>
            <w:tcW w:w="1420" w:type="dxa"/>
            <w:vAlign w:val="bottom"/>
          </w:tcPr>
          <w:p>
            <w:pPr>
              <w:spacing w:after="0"/>
              <w:rPr>
                <w:sz w:val="20"/>
                <w:szCs w:val="20"/>
                <w:color w:val="auto"/>
              </w:rPr>
            </w:pPr>
          </w:p>
        </w:tc>
        <w:tc>
          <w:tcPr>
            <w:tcW w:w="31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0"/>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b w:val="1"/>
                <w:bCs w:val="1"/>
                <w:color w:val="auto"/>
                <w:w w:val="94"/>
              </w:rPr>
              <w:t>2018</w:t>
            </w: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7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54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1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2018 (no shares as of December 31, 2017).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99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Following are the current targeted allocations as of December 31, 2018:</w:t>
            </w:r>
          </w:p>
        </w:tc>
        <w:tc>
          <w:tcPr>
            <w:tcW w:w="2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272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9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0"/>
        </w:trPr>
        <w:tc>
          <w:tcPr>
            <w:tcW w:w="20" w:type="dxa"/>
            <w:vAlign w:val="bottom"/>
          </w:tcPr>
          <w:p>
            <w:pPr>
              <w:spacing w:after="0"/>
              <w:rPr>
                <w:sz w:val="17"/>
                <w:szCs w:val="17"/>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27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9.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Pension Fair Value</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5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2018</w:t>
            </w:r>
          </w:p>
        </w:tc>
        <w:tc>
          <w:tcPr>
            <w:tcW w:w="112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28.1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75.8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$543.1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$598.0</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jc w:val="center"/>
        <w:ind w:right="100"/>
        <w:spacing w:after="0" w:line="184" w:lineRule="exact"/>
        <w:tabs>
          <w:tab w:leader="none" w:pos="1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securities large</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cap, mid-cap and small-cap indexes.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02"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$33.2</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2.8</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(8.2)</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$27.8</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$20.8</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2017</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$108.6</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51.9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122.3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222.8</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25.5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84" w:lineRule="exact"/>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securities large</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cap, mid-cap and small-cap indexes.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$40.6</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7.1</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(14.5)</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$33.2</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$25.5</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783"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and Life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2018</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r>
      <w:tr>
        <w:trPr>
          <w:trHeight w:val="27"/>
        </w:trPr>
        <w:tc>
          <w:tcPr>
            <w:tcW w:w="59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58"/>
        </w:trPr>
        <w:tc>
          <w:tcPr>
            <w:tcW w:w="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December 31, 2018</w:t>
            </w:r>
          </w:p>
        </w:tc>
        <w:tc>
          <w:tcPr>
            <w:tcW w:w="1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5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2017</w:t>
            </w:r>
          </w:p>
        </w:tc>
        <w:tc>
          <w:tcPr>
            <w:tcW w:w="1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49.8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20" w:type="dxa"/>
            <w:vAlign w:val="bottom"/>
          </w:tcPr>
          <w:p>
            <w:pPr>
              <w:spacing w:after="0"/>
              <w:rPr>
                <w:sz w:val="20"/>
                <w:szCs w:val="20"/>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7"/>
        </w:trPr>
        <w:tc>
          <w:tcPr>
            <w:tcW w:w="59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83"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83"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180" w:type="dxa"/>
            <w:vAlign w:val="bottom"/>
          </w:tcPr>
          <w:p>
            <w:pPr>
              <w:spacing w:after="0"/>
              <w:rPr>
                <w:sz w:val="20"/>
                <w:szCs w:val="20"/>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180" w:type="dxa"/>
            <w:vAlign w:val="bottom"/>
          </w:tcPr>
          <w:p>
            <w:pPr>
              <w:jc w:val="right"/>
              <w:ind w:right="9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8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180" w:type="dxa"/>
            <w:vAlign w:val="bottom"/>
          </w:tcPr>
          <w:p>
            <w:pPr>
              <w:jc w:val="right"/>
              <w:ind w:right="350"/>
              <w:spacing w:after="0"/>
              <w:rPr>
                <w:sz w:val="20"/>
                <w:szCs w:val="20"/>
                <w:color w:val="auto"/>
              </w:rPr>
            </w:pPr>
            <w:r>
              <w:rPr>
                <w:rFonts w:ascii="Arial" w:cs="Arial" w:eastAsia="Arial" w:hAnsi="Arial"/>
                <w:sz w:val="18"/>
                <w:szCs w:val="18"/>
                <w:color w:val="auto"/>
              </w:rPr>
              <w:t>2.6</w:t>
            </w:r>
          </w:p>
        </w:tc>
      </w:tr>
      <w:tr>
        <w:trPr>
          <w:trHeight w:val="27"/>
        </w:trPr>
        <w:tc>
          <w:tcPr>
            <w:tcW w:w="62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5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5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$8.2</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STOCK AND INCENTIVE PLANS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Employee Stock Ownership Plan. </w:t>
      </w:r>
      <w:r>
        <w:rPr>
          <w:rFonts w:ascii="Arial" w:cs="Arial" w:eastAsia="Arial" w:hAnsi="Arial"/>
          <w:sz w:val="18"/>
          <w:szCs w:val="18"/>
          <w:color w:val="auto"/>
        </w:rPr>
        <w:t>We sponsor an ESOP within the RSOP. Eligible employees may contribute to the RSOP plan as of their date of hire.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$11.4 million in 2018 ($11.0 million in 2017; $9.2 million in 2016).</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2018, 2017 and 2016.</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i w:val="1"/>
          <w:iCs w:val="1"/>
          <w:color w:val="auto"/>
        </w:rPr>
        <w:t>Stock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Under our Executive Long-Term Incentive Compensation Plan (Executive Plan), share-based awards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issued to key employees through a broad range of methods, including non-qualified and incentive stock options, performance shares, performance units, restricted stock, restricted stock units, stock appreciation rights and other awards. There are 0.9 million shares of ALLETE common stock reserved for issuance under the Executive Plan, of which 0.7 million of these shares remain available for issuance as of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share-based awards were outstanding in 2018, 2017 or 2016:</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Stock options have not been granted since 2008 and none were outstanding as of December 31, 2018 (none in 2017 and an</w:t>
      </w:r>
      <w:r>
        <w:rPr>
          <w:rFonts w:ascii="Arial" w:cs="Arial" w:eastAsia="Arial" w:hAnsi="Arial"/>
          <w:sz w:val="17"/>
          <w:szCs w:val="17"/>
          <w:i w:val="1"/>
          <w:iCs w:val="1"/>
          <w:color w:val="auto"/>
        </w:rPr>
        <w:t xml:space="preserve"> </w:t>
      </w:r>
      <w:r>
        <w:rPr>
          <w:rFonts w:ascii="Arial" w:cs="Arial" w:eastAsia="Arial" w:hAnsi="Arial"/>
          <w:sz w:val="17"/>
          <w:szCs w:val="17"/>
          <w:color w:val="auto"/>
        </w:rPr>
        <w:t>immaterial amount in 2016). These options allow for the purchase of shares of common stock at a price equal to the market value of our common stock 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3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eligible for retirement.</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70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the number of shares earned is contingent upon attaining specific market goals over a 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 awards,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we are not required to apply fair value accounting to these awards as the discount is not greater than 5 percent.</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2018, 2017 or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total unrecognized compensation cost for the performance share awards and restricted stock units not yet recognized in our Consolidated Statement of Income was $3.0 million and $1.0 million, respectively. These amounts are expected to be recognized over a weighted-average period of 1.7 years and 1.6 years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702"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127,898</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$58.23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127,580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$52.56</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119,540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66,557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$76.42</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50,729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$62.90</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57,189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(58,293)</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$59.82</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Unearned Grant Award</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(40,801)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$46.27</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(42,126)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(6,469)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$72.99</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(9,610)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$58.29</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(7,023)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as of December 31</w:t>
            </w:r>
          </w:p>
        </w:tc>
        <w:tc>
          <w:tcPr>
            <w:tcW w:w="1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129,693</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$66.12</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127,898</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$58.23</w:t>
            </w:r>
          </w:p>
        </w:tc>
        <w:tc>
          <w:tcPr>
            <w:tcW w:w="15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127,580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i w:val="1"/>
                <w:iCs w:val="1"/>
                <w:color w:val="auto"/>
              </w:rPr>
              <w:t>(a)  Shares granted include accrued dividends</w:t>
            </w:r>
            <w:r>
              <w:rPr>
                <w:rFonts w:ascii="Arial" w:cs="Arial" w:eastAsia="Arial" w:hAnsi="Arial"/>
                <w:sz w:val="18"/>
                <w:szCs w:val="18"/>
                <w:i w:val="1"/>
                <w:iCs w:val="1"/>
                <w:color w:val="auto"/>
              </w:rPr>
              <w:t>.</w:t>
            </w: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31,843 performance shares granted in January 2019 for the three-year performance period ending in 2021. The ultimate issuance is contingent upon the attainment of certain goals of ALLETE during the performance periods. The grant date fair value of the performance shares granted was $2.3 million. There were 73,532 performance shares awarded in February 2019. The grant date fair value of the shares awarded was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2018</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2017</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57,694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$49.86</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16,573</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$71.11</w:t>
            </w:r>
          </w:p>
        </w:tc>
        <w:tc>
          <w:tcPr>
            <w:tcW w:w="1040" w:type="dxa"/>
            <w:vAlign w:val="bottom"/>
          </w:tcPr>
          <w:p>
            <w:pPr>
              <w:jc w:val="right"/>
              <w:spacing w:after="0"/>
              <w:rPr>
                <w:sz w:val="20"/>
                <w:szCs w:val="20"/>
                <w:color w:val="auto"/>
              </w:rPr>
            </w:pPr>
            <w:r>
              <w:rPr>
                <w:rFonts w:ascii="Arial" w:cs="Arial" w:eastAsia="Arial" w:hAnsi="Arial"/>
                <w:sz w:val="18"/>
                <w:szCs w:val="18"/>
                <w:color w:val="auto"/>
              </w:rPr>
              <w:t>21,241</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$62.20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20,351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$50.25</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$55.78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(3,169)</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$64.92</w:t>
            </w:r>
          </w:p>
        </w:tc>
        <w:tc>
          <w:tcPr>
            <w:tcW w:w="1040" w:type="dxa"/>
            <w:vAlign w:val="bottom"/>
          </w:tcPr>
          <w:p>
            <w:pPr>
              <w:jc w:val="right"/>
              <w:spacing w:after="0"/>
              <w:rPr>
                <w:sz w:val="20"/>
                <w:szCs w:val="20"/>
                <w:color w:val="auto"/>
              </w:rPr>
            </w:pPr>
            <w:r>
              <w:rPr>
                <w:rFonts w:ascii="Arial" w:cs="Arial" w:eastAsia="Arial" w:hAnsi="Arial"/>
                <w:sz w:val="18"/>
                <w:szCs w:val="18"/>
                <w:color w:val="auto"/>
              </w:rPr>
              <w:t>(3,440)</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$56.00</w:t>
            </w:r>
          </w:p>
        </w:tc>
        <w:tc>
          <w:tcPr>
            <w:tcW w:w="1040" w:type="dxa"/>
            <w:vAlign w:val="bottom"/>
          </w:tcPr>
          <w:p>
            <w:pPr>
              <w:jc w:val="right"/>
              <w:spacing w:after="0"/>
              <w:rPr>
                <w:sz w:val="20"/>
                <w:szCs w:val="20"/>
                <w:color w:val="auto"/>
              </w:rPr>
            </w:pPr>
            <w:r>
              <w:rPr>
                <w:rFonts w:ascii="Arial" w:cs="Arial" w:eastAsia="Arial" w:hAnsi="Arial"/>
                <w:sz w:val="18"/>
                <w:szCs w:val="18"/>
                <w:color w:val="auto"/>
              </w:rPr>
              <w:t>(3,656)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$52.87</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49,771</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$51.79</w:t>
            </w: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p>
        </w:tc>
        <w:tc>
          <w:tcPr>
            <w:tcW w:w="10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12,924 restricted stock units granted in January 2019 for the vesting period ending in 2021. The grant date fair value of the restricted stock units granted was $1.0 million. There were 14,307 restricted stock units awarded in February 2019. The grant date fair value of the shares awarded was $0.7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702"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3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Operating Revenue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$139.7</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$127.4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$127.9</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147.9</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139.8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Municipal</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54.9</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57.9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469.5</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416.0</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Power Suppliers</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170.3</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161.8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CIP Financial Incentive</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74.2</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100.9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w:t>
            </w:r>
          </w:p>
        </w:tc>
      </w:tr>
      <w:tr>
        <w:trPr>
          <w:trHeight w:val="27"/>
        </w:trPr>
        <w:tc>
          <w:tcPr>
            <w:tcW w:w="5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Regulated Operations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1,059.5</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1,063.8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w:t>
            </w:r>
          </w:p>
        </w:tc>
      </w:tr>
      <w:tr>
        <w:trPr>
          <w:trHeight w:val="264"/>
        </w:trPr>
        <w:tc>
          <w:tcPr>
            <w:tcW w:w="580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8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Long-term PSA</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55.2</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56.9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of Wind Energy Facility</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81.1</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23.6</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5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ALLETE Clean Energy</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159.9</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64"/>
        </w:trPr>
        <w:tc>
          <w:tcPr>
            <w:tcW w:w="580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Point-in-time</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100.3</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95.8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38.3</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Capital Project</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33.5</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19.8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U.S. Water Services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172.1</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151.8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64"/>
        </w:trPr>
        <w:tc>
          <w:tcPr>
            <w:tcW w:w="580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Long-term Contract</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85.5</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89.3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21.6</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33.9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37"/>
        </w:trPr>
        <w:tc>
          <w:tcPr>
            <w:tcW w:w="58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Total Corporate and Other</w:t>
            </w:r>
          </w:p>
        </w:tc>
        <w:tc>
          <w:tcPr>
            <w:tcW w:w="3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107.1</w:t>
            </w:r>
          </w:p>
        </w:tc>
        <w:tc>
          <w:tcPr>
            <w:tcW w:w="1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123.2</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121.0</w:t>
            </w:r>
          </w:p>
        </w:tc>
      </w:tr>
      <w:tr>
        <w:trPr>
          <w:trHeight w:val="27"/>
        </w:trPr>
        <w:tc>
          <w:tcPr>
            <w:tcW w:w="5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Operating Revenue</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$1,498.6</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$1,419.3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$1,339.7</w:t>
            </w:r>
          </w:p>
        </w:tc>
      </w:tr>
      <w:tr>
        <w:trPr>
          <w:trHeight w:val="237"/>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Net Income (Loss) Attributable to ALLETE </w:t>
            </w:r>
            <w:r>
              <w:rPr>
                <w:rFonts w:ascii="Arial" w:cs="Arial" w:eastAsia="Arial" w:hAnsi="Arial"/>
                <w:sz w:val="16"/>
                <w:szCs w:val="16"/>
                <w:i w:val="1"/>
                <w:iCs w:val="1"/>
                <w:color w:val="auto"/>
              </w:rPr>
              <w:t>(b)(c)</w:t>
            </w:r>
          </w:p>
        </w:tc>
        <w:tc>
          <w:tcPr>
            <w:tcW w:w="30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$131.0</w:t>
            </w:r>
          </w:p>
        </w:tc>
        <w:tc>
          <w:tcPr>
            <w:tcW w:w="14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$128.4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$135.5</w:t>
            </w:r>
          </w:p>
        </w:tc>
      </w:tr>
      <w:tr>
        <w:trPr>
          <w:trHeight w:val="270"/>
        </w:trPr>
        <w:tc>
          <w:tcPr>
            <w:tcW w:w="58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(d)</w:t>
            </w:r>
          </w:p>
        </w:tc>
        <w:tc>
          <w:tcPr>
            <w:tcW w:w="3000" w:type="dxa"/>
            <w:vAlign w:val="bottom"/>
          </w:tcPr>
          <w:p>
            <w:pPr>
              <w:jc w:val="right"/>
              <w:ind w:right="270"/>
              <w:spacing w:after="0"/>
              <w:rPr>
                <w:sz w:val="20"/>
                <w:szCs w:val="20"/>
                <w:color w:val="auto"/>
              </w:rPr>
            </w:pPr>
            <w:r>
              <w:rPr>
                <w:rFonts w:ascii="Arial" w:cs="Arial" w:eastAsia="Arial" w:hAnsi="Arial"/>
                <w:sz w:val="18"/>
                <w:szCs w:val="18"/>
                <w:color w:val="auto"/>
              </w:rPr>
              <w:t>33.7</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41.5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5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3.2</w:t>
            </w:r>
          </w:p>
        </w:tc>
        <w:tc>
          <w:tcPr>
            <w:tcW w:w="14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8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(e)</w:t>
            </w:r>
          </w:p>
        </w:tc>
        <w:tc>
          <w:tcPr>
            <w:tcW w:w="3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6.2</w:t>
            </w:r>
          </w:p>
        </w:tc>
        <w:tc>
          <w:tcPr>
            <w:tcW w:w="1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580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$174.1</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$172.2</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12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With the adoption of new revenue recognition guidance, the Company has enhanced the presentation of business segment Operating Revenue. (See Note 1. Operations and Significant Accounting Policies.)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24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favorable impact of $13.0 million after-tax due to the remeasurement of deferred income tax assets and liabilities resulting from the TCJA, which consisted of a $23.6 million after-tax benefit for ALLETE Clean Energy, a $9.2 million after-tax benefit for U.S. Water Services and a $19.8 million after-tax expense for Corporate and Other. The TCJA did not have an impact on net income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2" w:lineRule="exact"/>
        <w:rPr>
          <w:rFonts w:ascii="Arial" w:cs="Arial" w:eastAsia="Arial" w:hAnsi="Arial"/>
          <w:sz w:val="16"/>
          <w:szCs w:val="16"/>
          <w:i w:val="1"/>
          <w:iCs w:val="1"/>
          <w:color w:val="auto"/>
        </w:rPr>
      </w:pPr>
    </w:p>
    <w:p>
      <w:pPr>
        <w:ind w:left="340" w:hanging="332"/>
        <w:spacing w:after="0"/>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2018 includes the recognition of profit for the sale of a wind energy facility to Montana-Dakota Utilities.</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$7.9 million after-tax favorable impact for the regulatory outcome of the MPUC’s modification of tits November 2016 order on the allocation of North Dakota investment tax credits. Net income in 2016 included an $8.8 million after-tax adverse impact for the regulatory outcome of the November 2016 order.</w:t>
      </w:r>
    </w:p>
    <w:p>
      <w:pPr>
        <w:sectPr>
          <w:pgSz w:w="11900" w:h="16838" w:orient="portrait"/>
          <w:cols w:equalWidth="0" w:num="1">
            <w:col w:w="11420"/>
          </w:cols>
          <w:pgMar w:left="240" w:top="702" w:right="239" w:bottom="4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02" w:right="239" w:bottom="463"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3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Regulated Operations</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$158.0</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$132.6</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$154.3</w:t>
            </w: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3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24.4</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23.4</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22.3</w:t>
            </w: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9.8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13.0</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10.3</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$205.6</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$177.5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$195.8</w:t>
            </w:r>
          </w:p>
        </w:tc>
      </w:tr>
      <w:tr>
        <w:trPr>
          <w:trHeight w:val="237"/>
        </w:trPr>
        <w:tc>
          <w:tcPr>
            <w:tcW w:w="40" w:type="dxa"/>
            <w:vAlign w:val="bottom"/>
          </w:tcPr>
          <w:p>
            <w:pPr>
              <w:spacing w:after="0"/>
              <w:rPr>
                <w:sz w:val="20"/>
                <w:szCs w:val="20"/>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Operating Expenses – Other </w:t>
            </w:r>
            <w:r>
              <w:rPr>
                <w:rFonts w:ascii="Arial" w:cs="Arial" w:eastAsia="Arial" w:hAnsi="Arial"/>
                <w:sz w:val="16"/>
                <w:szCs w:val="16"/>
                <w:i w:val="1"/>
                <w:iCs w:val="1"/>
                <w:color w:val="auto"/>
              </w:rPr>
              <w:t>(a)</w:t>
            </w:r>
          </w:p>
        </w:tc>
        <w:tc>
          <w:tcPr>
            <w:tcW w:w="30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304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 – Other</w:t>
            </w:r>
          </w:p>
        </w:tc>
        <w:tc>
          <w:tcPr>
            <w:tcW w:w="3040" w:type="dxa"/>
            <w:vAlign w:val="bottom"/>
            <w:tcBorders>
              <w:bottom w:val="single" w:sz="8" w:color="CCEE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3"/>
              </w:rPr>
              <w:t>$(2.0)</w:t>
            </w:r>
          </w:p>
        </w:tc>
        <w:tc>
          <w:tcPr>
            <w:tcW w:w="1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$(0.7)</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r>
      <w:tr>
        <w:trPr>
          <w:trHeight w:val="237"/>
        </w:trPr>
        <w:tc>
          <w:tcPr>
            <w:tcW w:w="40" w:type="dxa"/>
            <w:vAlign w:val="bottom"/>
          </w:tcPr>
          <w:p>
            <w:pPr>
              <w:spacing w:after="0"/>
              <w:rPr>
                <w:sz w:val="20"/>
                <w:szCs w:val="20"/>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6"/>
                <w:szCs w:val="16"/>
                <w:i w:val="1"/>
                <w:iCs w:val="1"/>
                <w:color w:val="auto"/>
              </w:rPr>
              <w:t>(b)</w:t>
            </w:r>
          </w:p>
        </w:tc>
        <w:tc>
          <w:tcPr>
            <w:tcW w:w="30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$60.2</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$57.0</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$52.1</w:t>
            </w:r>
          </w:p>
        </w:tc>
      </w:tr>
      <w:tr>
        <w:trPr>
          <w:trHeight w:val="270"/>
        </w:trPr>
        <w:tc>
          <w:tcPr>
            <w:tcW w:w="4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3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ALLETE Clean Energy</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3.6</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Water Services</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70"/>
        </w:trPr>
        <w:tc>
          <w:tcPr>
            <w:tcW w:w="4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and Other</w:t>
            </w:r>
          </w:p>
        </w:tc>
        <w:tc>
          <w:tcPr>
            <w:tcW w:w="3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7.3</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r>
      <w:tr>
        <w:trPr>
          <w:trHeight w:val="270"/>
        </w:trPr>
        <w:tc>
          <w:tcPr>
            <w:tcW w:w="4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Eliminations</w:t>
            </w:r>
          </w:p>
        </w:tc>
        <w:tc>
          <w:tcPr>
            <w:tcW w:w="3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(5.3)</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37"/>
        </w:trPr>
        <w:tc>
          <w:tcPr>
            <w:tcW w:w="40" w:type="dxa"/>
            <w:vAlign w:val="bottom"/>
          </w:tcPr>
          <w:p>
            <w:pPr>
              <w:spacing w:after="0"/>
              <w:rPr>
                <w:sz w:val="20"/>
                <w:szCs w:val="20"/>
                <w:color w:val="auto"/>
              </w:rPr>
            </w:pPr>
          </w:p>
        </w:tc>
        <w:tc>
          <w:tcPr>
            <w:tcW w:w="56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Interest Expense</w:t>
            </w:r>
          </w:p>
        </w:tc>
        <w:tc>
          <w:tcPr>
            <w:tcW w:w="3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$67.9</w:t>
            </w:r>
          </w:p>
        </w:tc>
        <w:tc>
          <w:tcPr>
            <w:tcW w:w="14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$67.8</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$70.3</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Earnings in ATC</w:t>
            </w:r>
          </w:p>
        </w:tc>
        <w:tc>
          <w:tcPr>
            <w:tcW w:w="3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Regulated Operations</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$17.5</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$22.5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$18.5</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Income Tax Expense (Benefit) </w:t>
            </w:r>
            <w:r>
              <w:rPr>
                <w:rFonts w:ascii="Arial" w:cs="Arial" w:eastAsia="Arial" w:hAnsi="Arial"/>
                <w:sz w:val="16"/>
                <w:szCs w:val="16"/>
                <w:i w:val="1"/>
                <w:iCs w:val="1"/>
                <w:color w:val="auto"/>
              </w:rPr>
              <w:t>(c)</w:t>
            </w:r>
          </w:p>
        </w:tc>
        <w:tc>
          <w:tcPr>
            <w:tcW w:w="3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(d)</w:t>
            </w:r>
          </w:p>
        </w:tc>
        <w:tc>
          <w:tcPr>
            <w:tcW w:w="3040" w:type="dxa"/>
            <w:vAlign w:val="bottom"/>
          </w:tcPr>
          <w:p>
            <w:pPr>
              <w:jc w:val="center"/>
              <w:ind w:left="1310"/>
              <w:spacing w:after="0"/>
              <w:rPr>
                <w:sz w:val="20"/>
                <w:szCs w:val="20"/>
                <w:color w:val="auto"/>
              </w:rPr>
            </w:pPr>
            <w:r>
              <w:rPr>
                <w:rFonts w:ascii="Arial" w:cs="Arial" w:eastAsia="Arial" w:hAnsi="Arial"/>
                <w:sz w:val="18"/>
                <w:szCs w:val="18"/>
                <w:color w:val="auto"/>
                <w:w w:val="91"/>
              </w:rPr>
              <w:t>$(15.5)</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$27.2</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3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3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(7.8)</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(d)</w:t>
            </w:r>
          </w:p>
        </w:tc>
        <w:tc>
          <w:tcPr>
            <w:tcW w:w="30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9.5</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Income Tax Expense (Benefit)</w:t>
            </w:r>
          </w:p>
        </w:tc>
        <w:tc>
          <w:tcPr>
            <w:tcW w:w="3040" w:type="dxa"/>
            <w:vAlign w:val="bottom"/>
            <w:tcBorders>
              <w:bottom w:val="single" w:sz="8" w:color="CCEE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1"/>
              </w:rPr>
              <w:t>$(15.5)</w:t>
            </w:r>
          </w:p>
        </w:tc>
        <w:tc>
          <w:tcPr>
            <w:tcW w:w="1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r>
      <w:tr>
        <w:trPr>
          <w:trHeight w:val="20"/>
        </w:trPr>
        <w:tc>
          <w:tcPr>
            <w:tcW w:w="40" w:type="dxa"/>
            <w:vAlign w:val="bottom"/>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Income tax expense in 2017 included an income tax benefit of $13.0 million due to the remeasurement of deferred income tax assets and liabilities resulting from the TCJA, which consisted of income tax benefits of $23.6 million for ALLETE Clean Energy and $9.2 million for U.S. Water Services as well as additional income tax expense of $19.8 million for Corporate and Other. The TCJA did not have an impact on income tax expense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2" w:lineRule="exact"/>
        <w:rPr>
          <w:rFonts w:ascii="Arial" w:cs="Arial" w:eastAsia="Arial" w:hAnsi="Arial"/>
          <w:sz w:val="16"/>
          <w:szCs w:val="16"/>
          <w:i w:val="1"/>
          <w:iCs w:val="1"/>
          <w:color w:val="auto"/>
        </w:rPr>
      </w:pPr>
    </w:p>
    <w:p>
      <w:pPr>
        <w:jc w:val="both"/>
        <w:ind w:left="340" w:hanging="332"/>
        <w:spacing w:after="0" w:line="268" w:lineRule="auto"/>
        <w:tabs>
          <w:tab w:leader="none" w:pos="340" w:val="left"/>
        </w:tabs>
        <w:numPr>
          <w:ilvl w:val="0"/>
          <w:numId w:val="46"/>
        </w:numPr>
        <w:rPr>
          <w:rFonts w:ascii="Arial" w:cs="Arial" w:eastAsia="Arial" w:hAnsi="Arial"/>
          <w:sz w:val="15"/>
          <w:szCs w:val="15"/>
          <w:i w:val="1"/>
          <w:iCs w:val="1"/>
          <w:color w:val="auto"/>
        </w:rPr>
      </w:pPr>
      <w:r>
        <w:rPr>
          <w:rFonts w:ascii="Arial" w:cs="Arial" w:eastAsia="Arial" w:hAnsi="Arial"/>
          <w:sz w:val="15"/>
          <w:szCs w:val="15"/>
          <w:i w:val="1"/>
          <w:iCs w:val="1"/>
          <w:color w:val="auto"/>
        </w:rPr>
        <w:t>In 2017, Regulated Operations includes $14.0 million of income tax expense related to North Dakota investment tax credits transferred to Corporate and Other and higher pre-tax income for the favorable impact for the regulatory outcome of the MPUC’s modification of its November 2016 order on the allocation of North Dakota investment tax credits. There was no impact to net income for Regulated Operations. Corporate and Other recorded an offsetting income tax benefit of $7.9 million in 2017. In 2016, Regulated Operations includes $15.0 million of income tax benefit for North Dakota investment tax credits transferred from Corporate and Other and lower pre-tax income related to the adverse impact for the regulatory outcome of the November 2016 MPUC order. There was no impact to net income for Regulated Operations. Corporate and Other recorded an offsetting income tax expense of $8.8 million in 2016. (See Note 4. Regulatory Matters.)</w:t>
      </w:r>
    </w:p>
    <w:p>
      <w:pPr>
        <w:sectPr>
          <w:pgSz w:w="11900" w:h="16838" w:orient="portrait"/>
          <w:cols w:equalWidth="0" w:num="1">
            <w:col w:w="11420"/>
          </w:cols>
          <w:pgMar w:left="240" w:top="702"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2018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702" w:right="2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17. BUSINESS SEGMENTS (Continued)</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$3,952.5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$3,886.6</w:t>
            </w: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606.6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295.8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310.1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300.5</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$5,165.0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$5,080.0</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$211.9</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$177.1</w:t>
            </w:r>
          </w:p>
        </w:tc>
      </w:tr>
      <w:tr>
        <w:trPr>
          <w:trHeight w:val="270"/>
        </w:trPr>
        <w:tc>
          <w:tcPr>
            <w:tcW w:w="57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89.7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57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19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Capital Expenditures</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$318.6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$266.5</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42"/>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Information for any one quarterly period is not necessarily indicative of the results which may be expected for the year.</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 31</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 30</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1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$358.2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$344.1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$348.0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$448.3</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$57.4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$36.5</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$43.3</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$51.0</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$31.3</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$30.7</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$0.61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$0.59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$0.61</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$365.6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$353.3</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$362.5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$71.6</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$54.0</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$68.0</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$36.9</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$44.9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$0.97</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$0.73</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37"/>
        </w:trPr>
        <w:tc>
          <w:tcPr>
            <w:tcW w:w="5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$0.97</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$0.72</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$0.88</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$333.8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$314.8</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$349.6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$341.5</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$65.2</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$40.6</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1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$45.9</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$24.8</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$40.3</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$0.50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$0.82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
        </w:trPr>
        <w:tc>
          <w:tcPr>
            <w:tcW w:w="5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$0.50</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r>
      <w:tr>
        <w:trPr>
          <w:trHeight w:val="20"/>
        </w:trPr>
        <w:tc>
          <w:tcPr>
            <w:tcW w:w="57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702"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88"/>
              </w:rPr>
              <w:t>Balance at</w:t>
            </w:r>
          </w:p>
        </w:tc>
        <w:tc>
          <w:tcPr>
            <w:tcW w:w="24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Additions</w:t>
            </w:r>
          </w:p>
        </w:tc>
        <w:tc>
          <w:tcPr>
            <w:tcW w:w="320" w:type="dxa"/>
            <w:vAlign w:val="bottom"/>
          </w:tcPr>
          <w:p>
            <w:pPr>
              <w:spacing w:after="0"/>
              <w:rPr>
                <w:sz w:val="24"/>
                <w:szCs w:val="24"/>
                <w:color w:val="auto"/>
              </w:rPr>
            </w:pPr>
          </w:p>
        </w:tc>
        <w:tc>
          <w:tcPr>
            <w:tcW w:w="14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Beginning of</w:t>
            </w: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Charges</w:t>
            </w:r>
          </w:p>
        </w:tc>
        <w:tc>
          <w:tcPr>
            <w:tcW w:w="3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$11.4</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$17.0</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2018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702"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AMENDED AND RESTATED CREDIT AGREEMENT</w:t>
      </w: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dated as of January 10, 2019</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Borrower,</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The Lenders Party Hereto,</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Administrative Agent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AMERICA,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ROYAL BANK OF CANADA,</w:t>
      </w:r>
    </w:p>
    <w:p>
      <w:pPr>
        <w:jc w:val="center"/>
        <w:ind w:right="1180"/>
        <w:spacing w:after="0"/>
        <w:rPr>
          <w:sz w:val="20"/>
          <w:szCs w:val="20"/>
          <w:color w:val="auto"/>
        </w:rPr>
      </w:pPr>
      <w:r>
        <w:rPr>
          <w:rFonts w:ascii="Arial" w:cs="Arial" w:eastAsia="Arial" w:hAnsi="Arial"/>
          <w:sz w:val="20"/>
          <w:szCs w:val="20"/>
          <w:b w:val="1"/>
          <w:bCs w:val="1"/>
          <w:color w:val="auto"/>
        </w:rPr>
        <w:t>U.S. BANK NATIONAL ASSOCIATION and</w:t>
      </w:r>
    </w:p>
    <w:p>
      <w:pPr>
        <w:jc w:val="center"/>
        <w:ind w:right="1180"/>
        <w:spacing w:after="0"/>
        <w:rPr>
          <w:sz w:val="20"/>
          <w:szCs w:val="20"/>
          <w:color w:val="auto"/>
        </w:rPr>
      </w:pPr>
      <w:r>
        <w:rPr>
          <w:rFonts w:ascii="Arial" w:cs="Arial" w:eastAsia="Arial" w:hAnsi="Arial"/>
          <w:sz w:val="20"/>
          <w:szCs w:val="20"/>
          <w:b w:val="1"/>
          <w:bCs w:val="1"/>
          <w:color w:val="auto"/>
        </w:rPr>
        <w:t>WELLS FARGO BANK, NATIONAL ASSOCIATION,</w:t>
      </w:r>
    </w:p>
    <w:p>
      <w:pPr>
        <w:jc w:val="center"/>
        <w:ind w:right="1180"/>
        <w:spacing w:after="0"/>
        <w:rPr>
          <w:sz w:val="20"/>
          <w:szCs w:val="20"/>
          <w:color w:val="auto"/>
        </w:rPr>
      </w:pPr>
      <w:r>
        <w:rPr>
          <w:rFonts w:ascii="Arial" w:cs="Arial" w:eastAsia="Arial" w:hAnsi="Arial"/>
          <w:sz w:val="20"/>
          <w:szCs w:val="20"/>
          <w:b w:val="1"/>
          <w:bCs w:val="1"/>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 MORGAN CHASE BANK,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Sole Lead Arranger and Sole Book Runner</w:t>
      </w:r>
    </w:p>
    <w:p>
      <w:pPr>
        <w:sectPr>
          <w:pgSz w:w="11900" w:h="16838" w:orient="portrait"/>
          <w:cols w:equalWidth="0" w:num="1">
            <w:col w:w="10220"/>
          </w:cols>
          <w:pgMar w:left="1440" w:top="115" w:right="239" w:bottom="1440" w:gutter="0" w:footer="0" w:header="0"/>
        </w:sectPr>
      </w:pPr>
    </w:p>
    <w:bookmarkStart w:id="133" w:name="page134"/>
    <w:bookmarkEnd w:id="133"/>
    <w:tbl>
      <w:tblPr>
        <w:tblLayout w:type="fixed"/>
        <w:tblInd w:w="46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20"/>
                <w:szCs w:val="20"/>
                <w:b w:val="1"/>
                <w:bCs w:val="1"/>
                <w:color w:val="auto"/>
              </w:rPr>
              <w:t>Exhibit 10(b)2</w:t>
            </w:r>
          </w:p>
        </w:tc>
        <w:tc>
          <w:tcPr>
            <w:tcW w:w="0" w:type="dxa"/>
            <w:vAlign w:val="bottom"/>
          </w:tcPr>
          <w:p>
            <w:pPr>
              <w:spacing w:after="0"/>
              <w:rPr>
                <w:sz w:val="1"/>
                <w:szCs w:val="1"/>
                <w:color w:val="auto"/>
              </w:rPr>
            </w:pPr>
          </w:p>
        </w:tc>
      </w:tr>
      <w:tr>
        <w:trPr>
          <w:trHeight w:val="644"/>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400" w:type="dxa"/>
            <w:vAlign w:val="bottom"/>
            <w:vMerge w:val="restart"/>
          </w:tcPr>
          <w:p>
            <w:pPr>
              <w:spacing w:after="0"/>
              <w:rPr>
                <w:sz w:val="20"/>
                <w:szCs w:val="20"/>
                <w:color w:val="auto"/>
              </w:rPr>
            </w:pPr>
            <w:r>
              <w:rPr>
                <w:rFonts w:ascii="Arial" w:cs="Arial" w:eastAsia="Arial" w:hAnsi="Arial"/>
                <w:sz w:val="20"/>
                <w:szCs w:val="20"/>
                <w:color w:val="auto"/>
                <w:w w:val="81"/>
              </w:rPr>
              <w:t>Page</w:t>
            </w:r>
          </w:p>
        </w:tc>
        <w:tc>
          <w:tcPr>
            <w:tcW w:w="18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06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6440" w:type="dxa"/>
            <w:vAlign w:val="bottom"/>
            <w:gridSpan w:val="4"/>
          </w:tcPr>
          <w:p>
            <w:pPr>
              <w:ind w:left="1200"/>
              <w:spacing w:after="0"/>
              <w:rPr>
                <w:sz w:val="20"/>
                <w:szCs w:val="20"/>
                <w:color w:val="auto"/>
              </w:rPr>
            </w:pPr>
            <w:r>
              <w:rPr>
                <w:rFonts w:ascii="Arial" w:cs="Arial" w:eastAsia="Arial" w:hAnsi="Arial"/>
                <w:sz w:val="20"/>
                <w:szCs w:val="20"/>
                <w:b w:val="1"/>
                <w:bCs w:val="1"/>
                <w:color w:val="auto"/>
              </w:rPr>
              <w:t>DEFINITIONS AND INTERPRETATION</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Defined Terms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1.2.</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Classification of Loans and Borrowings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1.3.</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Terms Generally</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1.4.</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Accounting Terms; GAAP</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1.5.</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Interest Rates; LIBOR Notification</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1.6.</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Rounding</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1.7.</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Amendment and Restatement</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6440" w:type="dxa"/>
            <w:vAlign w:val="bottom"/>
            <w:gridSpan w:val="4"/>
          </w:tcPr>
          <w:p>
            <w:pPr>
              <w:ind w:left="1200"/>
              <w:spacing w:after="0"/>
              <w:rPr>
                <w:sz w:val="20"/>
                <w:szCs w:val="20"/>
                <w:color w:val="auto"/>
              </w:rPr>
            </w:pPr>
            <w:r>
              <w:rPr>
                <w:rFonts w:ascii="Arial" w:cs="Arial" w:eastAsia="Arial" w:hAnsi="Arial"/>
                <w:sz w:val="20"/>
                <w:szCs w:val="20"/>
                <w:b w:val="1"/>
                <w:bCs w:val="1"/>
                <w:color w:val="auto"/>
              </w:rPr>
              <w:t>THE CREDITS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Commitments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2.2.</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Loans and Borrowings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2.3.</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Requests for Borrowings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2.4.</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Funding of Borrowings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2.5.</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Termination, Reduction and Increase of Commitments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2.6.</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Repayment of Loans; Evidence of Debt</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2.7.</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Prepayment of Loans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2.8.</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Extension of Maturity Date</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2.9.</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Letters of Credit</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2.10.</w:t>
            </w:r>
          </w:p>
        </w:tc>
        <w:tc>
          <w:tcPr>
            <w:tcW w:w="4960" w:type="dxa"/>
            <w:vAlign w:val="bottom"/>
            <w:gridSpan w:val="3"/>
          </w:tcPr>
          <w:p>
            <w:pPr>
              <w:ind w:left="260"/>
              <w:spacing w:after="0" w:line="207" w:lineRule="exact"/>
              <w:rPr>
                <w:sz w:val="20"/>
                <w:szCs w:val="20"/>
                <w:color w:val="auto"/>
              </w:rPr>
            </w:pPr>
            <w:r>
              <w:rPr>
                <w:rFonts w:ascii="Arial" w:cs="Arial" w:eastAsia="Arial" w:hAnsi="Arial"/>
                <w:sz w:val="18"/>
                <w:szCs w:val="18"/>
                <w:color w:val="auto"/>
                <w:w w:val="95"/>
              </w:rPr>
              <w:t>Payments Generally; Pro Rata Treatment; Sharing of Set</w:t>
            </w:r>
            <w:r>
              <w:rPr>
                <w:rFonts w:ascii="MS PGothic" w:cs="MS PGothic" w:eastAsia="MS PGothic" w:hAnsi="MS PGothic"/>
                <w:sz w:val="18"/>
                <w:szCs w:val="18"/>
                <w:color w:val="auto"/>
                <w:w w:val="95"/>
              </w:rPr>
              <w:t>‑</w:t>
            </w:r>
            <w:r>
              <w:rPr>
                <w:rFonts w:ascii="Arial" w:cs="Arial" w:eastAsia="Arial" w:hAnsi="Arial"/>
                <w:sz w:val="18"/>
                <w:szCs w:val="18"/>
                <w:color w:val="auto"/>
                <w:w w:val="95"/>
              </w:rPr>
              <w:t>offs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2.11.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Defaulting Lenders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6440" w:type="dxa"/>
            <w:vAlign w:val="bottom"/>
            <w:gridSpan w:val="4"/>
          </w:tcPr>
          <w:p>
            <w:pPr>
              <w:ind w:left="1200"/>
              <w:spacing w:after="0"/>
              <w:rPr>
                <w:sz w:val="20"/>
                <w:szCs w:val="20"/>
                <w:color w:val="auto"/>
              </w:rPr>
            </w:pPr>
            <w:r>
              <w:rPr>
                <w:rFonts w:ascii="Arial" w:cs="Arial" w:eastAsia="Arial" w:hAnsi="Arial"/>
                <w:sz w:val="20"/>
                <w:szCs w:val="20"/>
                <w:b w:val="1"/>
                <w:bCs w:val="1"/>
                <w:color w:val="auto"/>
              </w:rPr>
              <w:t>INTEREST, FEES, YIELD PROTECTION, ETC</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Interest</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3.2.</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Interest Elections Relating to Borrowings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3.3.</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Fees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3.4.</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Alternate Rate of Interest</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3.5.</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Increased Costs; Illegality</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3.6.</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Break Funding Payments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3.7.</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Withholding of Taxes;m Gross-Up</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3.8.</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Mitigation Obligations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3.9.</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EEA Financial Institutions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3.10.</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Plan Assets; Prohibited Transactions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8"/>
        </w:trPr>
        <w:tc>
          <w:tcPr>
            <w:tcW w:w="106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6440" w:type="dxa"/>
            <w:vAlign w:val="bottom"/>
            <w:gridSpan w:val="4"/>
          </w:tcPr>
          <w:p>
            <w:pPr>
              <w:ind w:left="1200"/>
              <w:spacing w:after="0"/>
              <w:rPr>
                <w:sz w:val="20"/>
                <w:szCs w:val="20"/>
                <w:color w:val="auto"/>
              </w:rPr>
            </w:pPr>
            <w:r>
              <w:rPr>
                <w:rFonts w:ascii="Arial" w:cs="Arial" w:eastAsia="Arial" w:hAnsi="Arial"/>
                <w:sz w:val="20"/>
                <w:szCs w:val="20"/>
                <w:b w:val="1"/>
                <w:bCs w:val="1"/>
                <w:color w:val="auto"/>
              </w:rPr>
              <w:t>REPRESENTATIONS AND WARRANTIES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Organization; Powers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4.2.</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Authorization; Enforceability</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4.3.</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Governmental Approvals; No Conflicts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4.4.</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Financial Condition; No Material Adverse Change</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4.5.</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Litigation</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4.6.</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Environmental Matters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4.7.</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Investment Company Status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4.8.</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ERISA</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4.9.</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Disclosure</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4.10.</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Subsidiaries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4.11.</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Use of Proceeds; Federal Reserve Regulations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1480" w:type="dxa"/>
            <w:vAlign w:val="bottom"/>
          </w:tcPr>
          <w:p>
            <w:pPr>
              <w:ind w:left="280"/>
              <w:spacing w:after="0"/>
              <w:rPr>
                <w:sz w:val="20"/>
                <w:szCs w:val="20"/>
                <w:color w:val="auto"/>
              </w:rPr>
            </w:pPr>
            <w:r>
              <w:rPr>
                <w:rFonts w:ascii="Arial" w:cs="Arial" w:eastAsia="Arial" w:hAnsi="Arial"/>
                <w:sz w:val="18"/>
                <w:szCs w:val="18"/>
                <w:color w:val="auto"/>
              </w:rPr>
              <w:t>Section 4.12.</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Anti-Money Laundering and Anti-Terrorism Finance Laws</w:t>
            </w:r>
          </w:p>
        </w:tc>
        <w:tc>
          <w:tcPr>
            <w:tcW w:w="22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1440" w:top="115" w:right="239" w:bottom="1440" w:gutter="0" w:footer="0" w:header="0"/>
        </w:sect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20"/>
          </w:cols>
          <w:pgMar w:left="1440" w:top="115"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520"/>
        <w:spacing w:after="0"/>
        <w:rPr>
          <w:sz w:val="20"/>
          <w:szCs w:val="20"/>
          <w:color w:val="auto"/>
        </w:rPr>
      </w:pPr>
      <w:r>
        <w:rPr>
          <w:rFonts w:ascii="Arial" w:cs="Arial" w:eastAsia="Arial" w:hAnsi="Arial"/>
          <w:sz w:val="20"/>
          <w:szCs w:val="20"/>
          <w:u w:val="single" w:color="auto"/>
          <w:color w:val="auto"/>
        </w:rPr>
        <w:t>TABLE OF CONTENTS</w:t>
      </w:r>
    </w:p>
    <w:tbl>
      <w:tblPr>
        <w:tblLayout w:type="fixed"/>
        <w:tblInd w:w="460" w:type="dxa"/>
        <w:tblCellMar>
          <w:top w:w="0" w:type="dxa"/>
          <w:left w:w="0" w:type="dxa"/>
          <w:bottom w:w="0" w:type="dxa"/>
          <w:right w:w="0" w:type="dxa"/>
        </w:tblCellMar>
      </w:tblPr>
      <w:tr>
        <w:trPr>
          <w:trHeight w:val="206"/>
        </w:trPr>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1"/>
              </w:rPr>
              <w:t>Page</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112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4.13.</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Foreign Corrupt Practices Act</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4.14.</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Sanction Laws</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CONDITIONS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66"/>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5.1.</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Effectiveness</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5.2.</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Each Credit Event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AFFIRMATIVE COVENANTS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66"/>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6.1.</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Financial Statements and Other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6.2.</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Notices of Material Events</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6.3.</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Legal Existence</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6.4.</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Taxes</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6.5.</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Insurance</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6.6.</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Condition of Property</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6.7.</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Observance of Legal Requirements</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6.8.</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Inspection of Property; Books and Records; Discussions</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NEGATIVE COVENANTS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66"/>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7.1.</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Liens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7.2.</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Merger; Consolidation</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7.3.</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Transactions with Affiliates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7.4.</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Permitted Hedge Agreements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7.5.</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Financial Covenant</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6"/>
        </w:trPr>
        <w:tc>
          <w:tcPr>
            <w:tcW w:w="1120" w:type="dxa"/>
            <w:vAlign w:val="bottom"/>
          </w:tcPr>
          <w:p>
            <w:pPr>
              <w:spacing w:after="0"/>
              <w:rPr>
                <w:sz w:val="22"/>
                <w:szCs w:val="22"/>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7.6.</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Anti-Money Laundering and Anti-Terrorism Finance Laws;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Foreign Corrupt Practices Act; Sanctions Laws; Restricted Person</w:t>
            </w:r>
          </w:p>
        </w:tc>
        <w:tc>
          <w:tcPr>
            <w:tcW w:w="980" w:type="dxa"/>
            <w:vAlign w:val="bottom"/>
          </w:tcPr>
          <w:p>
            <w:pPr>
              <w:spacing w:after="0"/>
              <w:rPr>
                <w:sz w:val="20"/>
                <w:szCs w:val="20"/>
                <w:color w:val="auto"/>
              </w:rPr>
            </w:pP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EVENTS OF DEFAULT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84"/>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THE ADMINISTRATIVE AGENT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66"/>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9.1.</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Authorization and Action</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9.2.</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Administrative Agent's Reliance, Indemnification, Etc</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9.3.</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Posting of Communications</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9.4.</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The Administrative Agent Individually</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9.5.</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Successor Administrative Agent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9.6.</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Acknowledgements of Lenders and Issuing banks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9.7.</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Certain ERISA Matters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8"/>
        </w:trPr>
        <w:tc>
          <w:tcPr>
            <w:tcW w:w="112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7560" w:type="dxa"/>
            <w:vAlign w:val="bottom"/>
            <w:gridSpan w:val="4"/>
          </w:tcPr>
          <w:p>
            <w:pPr>
              <w:ind w:left="1140"/>
              <w:spacing w:after="0"/>
              <w:rPr>
                <w:sz w:val="20"/>
                <w:szCs w:val="20"/>
                <w:color w:val="auto"/>
              </w:rPr>
            </w:pPr>
            <w:r>
              <w:rPr>
                <w:rFonts w:ascii="Arial" w:cs="Arial" w:eastAsia="Arial" w:hAnsi="Arial"/>
                <w:sz w:val="20"/>
                <w:szCs w:val="20"/>
                <w:b w:val="1"/>
                <w:bCs w:val="1"/>
                <w:color w:val="auto"/>
              </w:rPr>
              <w:t>MISCELLANEOUS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66"/>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10.1.</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Notices</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10.2.</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Waivers; Amendments</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10.3.</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Expenses; Indemnity; Damage Waiver</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10.4.</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Successors and Assigns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10.5.</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Survival</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10.6.</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Counterparts; Integration; Effectiveness</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10.7.</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Severability</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10.8.</w:t>
            </w:r>
          </w:p>
        </w:tc>
        <w:tc>
          <w:tcPr>
            <w:tcW w:w="608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Right of Set</w:t>
            </w:r>
            <w:r>
              <w:rPr>
                <w:rFonts w:ascii="MS PGothic" w:cs="MS PGothic" w:eastAsia="MS PGothic" w:hAnsi="MS PGothic"/>
                <w:sz w:val="18"/>
                <w:szCs w:val="18"/>
                <w:color w:val="auto"/>
              </w:rPr>
              <w:t>‑</w:t>
            </w:r>
            <w:r>
              <w:rPr>
                <w:rFonts w:ascii="Arial" w:cs="Arial" w:eastAsia="Arial" w:hAnsi="Arial"/>
                <w:sz w:val="18"/>
                <w:szCs w:val="18"/>
                <w:color w:val="auto"/>
              </w:rPr>
              <w:t>off</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10.9.</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Governing Law; Jurisdiction; Consent to Service of Process</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120" w:type="dxa"/>
            <w:vAlign w:val="bottom"/>
          </w:tcPr>
          <w:p>
            <w:pPr>
              <w:spacing w:after="0"/>
              <w:rPr>
                <w:sz w:val="23"/>
                <w:szCs w:val="23"/>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Section 10.10.</w:t>
            </w:r>
          </w:p>
        </w:tc>
        <w:tc>
          <w:tcPr>
            <w:tcW w:w="6080" w:type="dxa"/>
            <w:vAlign w:val="bottom"/>
            <w:gridSpan w:val="3"/>
          </w:tcPr>
          <w:p>
            <w:pPr>
              <w:ind w:left="200"/>
              <w:spacing w:after="0"/>
              <w:rPr>
                <w:sz w:val="20"/>
                <w:szCs w:val="20"/>
                <w:color w:val="auto"/>
              </w:rPr>
            </w:pPr>
            <w:r>
              <w:rPr>
                <w:rFonts w:ascii="Arial" w:cs="Arial" w:eastAsia="Arial" w:hAnsi="Arial"/>
                <w:sz w:val="18"/>
                <w:szCs w:val="18"/>
                <w:color w:val="auto"/>
              </w:rPr>
              <w:t>Waiver of Jury Trial</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ectPr>
          <w:pgSz w:w="11900" w:h="16838" w:orient="portrait"/>
          <w:cols w:equalWidth="0" w:num="1">
            <w:col w:w="10220"/>
          </w:cols>
          <w:pgMar w:left="1440" w:top="116" w:right="239" w:bottom="1440" w:gutter="0" w:footer="0" w:header="0"/>
        </w:sect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20"/>
          </w:cols>
          <w:pgMar w:left="1440" w:top="116" w:right="23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58"/>
        </w:trPr>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20"/>
                <w:szCs w:val="20"/>
                <w:b w:val="1"/>
                <w:bCs w:val="1"/>
                <w:color w:val="auto"/>
              </w:rPr>
              <w:t>Exhibit 10(b)2</w:t>
            </w:r>
          </w:p>
        </w:tc>
      </w:tr>
      <w:tr>
        <w:trPr>
          <w:trHeight w:val="833"/>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10.11.</w:t>
            </w:r>
          </w:p>
        </w:tc>
        <w:tc>
          <w:tcPr>
            <w:tcW w:w="57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10.12.</w:t>
            </w:r>
          </w:p>
        </w:tc>
        <w:tc>
          <w:tcPr>
            <w:tcW w:w="576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10.13.</w:t>
            </w:r>
          </w:p>
        </w:tc>
        <w:tc>
          <w:tcPr>
            <w:tcW w:w="5760" w:type="dxa"/>
            <w:vAlign w:val="bottom"/>
          </w:tcPr>
          <w:p>
            <w:pPr>
              <w:ind w:left="160"/>
              <w:spacing w:after="0"/>
              <w:rPr>
                <w:sz w:val="20"/>
                <w:szCs w:val="20"/>
                <w:color w:val="auto"/>
              </w:rPr>
            </w:pPr>
            <w:r>
              <w:rPr>
                <w:rFonts w:ascii="Arial" w:cs="Arial" w:eastAsia="Arial" w:hAnsi="Arial"/>
                <w:sz w:val="18"/>
                <w:szCs w:val="18"/>
                <w:color w:val="auto"/>
              </w:rPr>
              <w:t>Advertisement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10.14.</w:t>
            </w:r>
          </w:p>
        </w:tc>
        <w:tc>
          <w:tcPr>
            <w:tcW w:w="576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10.15.</w:t>
            </w:r>
          </w:p>
        </w:tc>
        <w:tc>
          <w:tcPr>
            <w:tcW w:w="5760" w:type="dxa"/>
            <w:vAlign w:val="bottom"/>
          </w:tcPr>
          <w:p>
            <w:pPr>
              <w:ind w:left="160"/>
              <w:spacing w:after="0"/>
              <w:rPr>
                <w:sz w:val="20"/>
                <w:szCs w:val="20"/>
                <w:color w:val="auto"/>
              </w:rPr>
            </w:pPr>
            <w:r>
              <w:rPr>
                <w:rFonts w:ascii="Arial" w:cs="Arial" w:eastAsia="Arial" w:hAnsi="Arial"/>
                <w:sz w:val="18"/>
                <w:szCs w:val="18"/>
                <w:color w:val="auto"/>
              </w:rPr>
              <w:t>Treatment of Certain Information</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10.16.</w:t>
            </w:r>
          </w:p>
        </w:tc>
        <w:tc>
          <w:tcPr>
            <w:tcW w:w="5760" w:type="dxa"/>
            <w:vAlign w:val="bottom"/>
          </w:tcPr>
          <w:p>
            <w:pPr>
              <w:ind w:left="160"/>
              <w:spacing w:after="0"/>
              <w:rPr>
                <w:sz w:val="20"/>
                <w:szCs w:val="20"/>
                <w:color w:val="auto"/>
              </w:rPr>
            </w:pPr>
            <w:r>
              <w:rPr>
                <w:rFonts w:ascii="Arial" w:cs="Arial" w:eastAsia="Arial" w:hAnsi="Arial"/>
                <w:sz w:val="18"/>
                <w:szCs w:val="18"/>
                <w:color w:val="auto"/>
              </w:rPr>
              <w:t>No Fiduciary Duty</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10.17.</w:t>
            </w:r>
          </w:p>
        </w:tc>
        <w:tc>
          <w:tcPr>
            <w:tcW w:w="5760" w:type="dxa"/>
            <w:vAlign w:val="bottom"/>
          </w:tcPr>
          <w:p>
            <w:pPr>
              <w:ind w:left="160"/>
              <w:spacing w:after="0"/>
              <w:rPr>
                <w:sz w:val="20"/>
                <w:szCs w:val="20"/>
                <w:color w:val="auto"/>
              </w:rPr>
            </w:pPr>
            <w:r>
              <w:rPr>
                <w:rFonts w:ascii="Arial" w:cs="Arial" w:eastAsia="Arial" w:hAnsi="Arial"/>
                <w:sz w:val="18"/>
                <w:szCs w:val="18"/>
                <w:color w:val="auto"/>
              </w:rPr>
              <w:t>CoBank Equity and Security</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70"/>
        </w:trPr>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Section 10.18.</w:t>
            </w:r>
          </w:p>
        </w:tc>
        <w:tc>
          <w:tcPr>
            <w:tcW w:w="5760" w:type="dxa"/>
            <w:vAlign w:val="bottom"/>
          </w:tcPr>
          <w:p>
            <w:pPr>
              <w:ind w:left="160"/>
              <w:spacing w:after="0"/>
              <w:rPr>
                <w:sz w:val="20"/>
                <w:szCs w:val="20"/>
                <w:color w:val="auto"/>
              </w:rPr>
            </w:pPr>
            <w:r>
              <w:rPr>
                <w:rFonts w:ascii="Arial" w:cs="Arial" w:eastAsia="Arial" w:hAnsi="Arial"/>
                <w:sz w:val="18"/>
                <w:szCs w:val="18"/>
                <w:color w:val="auto"/>
                <w:w w:val="99"/>
              </w:rPr>
              <w:t>Acknowledgement and Consent to Bail-In of EEA Financial Institutions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945"/>
        </w:trPr>
        <w:tc>
          <w:tcPr>
            <w:tcW w:w="2340" w:type="dxa"/>
            <w:vAlign w:val="bottom"/>
            <w:gridSpan w:val="4"/>
          </w:tcPr>
          <w:p>
            <w:pPr>
              <w:spacing w:after="0"/>
              <w:rPr>
                <w:sz w:val="20"/>
                <w:szCs w:val="20"/>
                <w:color w:val="auto"/>
              </w:rPr>
            </w:pPr>
            <w:r>
              <w:rPr>
                <w:rFonts w:ascii="Arial" w:cs="Arial" w:eastAsia="Arial" w:hAnsi="Arial"/>
                <w:sz w:val="20"/>
                <w:szCs w:val="20"/>
                <w:color w:val="auto"/>
              </w:rPr>
              <w:t>SCHEDULES:</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41"/>
        </w:trPr>
        <w:tc>
          <w:tcPr>
            <w:tcW w:w="500" w:type="dxa"/>
            <w:vAlign w:val="bottom"/>
            <w:tcBorders>
              <w:right w:val="single" w:sz="8" w:color="auto"/>
            </w:tcBorders>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1</w:t>
            </w:r>
          </w:p>
        </w:tc>
        <w:tc>
          <w:tcPr>
            <w:tcW w:w="1000" w:type="dxa"/>
            <w:vAlign w:val="bottom"/>
            <w:tcBorders>
              <w:right w:val="single" w:sz="8" w:color="auto"/>
            </w:tcBorders>
          </w:tcPr>
          <w:p>
            <w:pPr>
              <w:spacing w:after="0"/>
              <w:rPr>
                <w:sz w:val="20"/>
                <w:szCs w:val="20"/>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Applicable Margin</w:t>
            </w:r>
          </w:p>
        </w:tc>
        <w:tc>
          <w:tcPr>
            <w:tcW w:w="116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0"/>
        </w:trPr>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1"/>
        </w:trPr>
        <w:tc>
          <w:tcPr>
            <w:tcW w:w="500" w:type="dxa"/>
            <w:vAlign w:val="bottom"/>
            <w:tcBorders>
              <w:right w:val="single" w:sz="8" w:color="auto"/>
            </w:tcBorders>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2</w:t>
            </w:r>
          </w:p>
        </w:tc>
        <w:tc>
          <w:tcPr>
            <w:tcW w:w="1000" w:type="dxa"/>
            <w:vAlign w:val="bottom"/>
            <w:tcBorders>
              <w:right w:val="single" w:sz="8" w:color="auto"/>
            </w:tcBorders>
          </w:tcPr>
          <w:p>
            <w:pPr>
              <w:spacing w:after="0"/>
              <w:rPr>
                <w:sz w:val="20"/>
                <w:szCs w:val="20"/>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Letter of Credit Commitments</w:t>
            </w:r>
          </w:p>
        </w:tc>
        <w:tc>
          <w:tcPr>
            <w:tcW w:w="116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2.1</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List of Commitments</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2.9</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Existing Letters of Credit</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4.5/4.6</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Disclosed Matters</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Schedule 4.10</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List of Subsidiaries</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520"/>
        </w:trPr>
        <w:tc>
          <w:tcPr>
            <w:tcW w:w="2340" w:type="dxa"/>
            <w:vAlign w:val="bottom"/>
            <w:gridSpan w:val="4"/>
          </w:tcPr>
          <w:p>
            <w:pPr>
              <w:spacing w:after="0"/>
              <w:rPr>
                <w:sz w:val="20"/>
                <w:szCs w:val="20"/>
                <w:color w:val="auto"/>
              </w:rPr>
            </w:pPr>
            <w:r>
              <w:rPr>
                <w:rFonts w:ascii="Arial" w:cs="Arial" w:eastAsia="Arial" w:hAnsi="Arial"/>
                <w:sz w:val="20"/>
                <w:szCs w:val="20"/>
                <w:color w:val="auto"/>
              </w:rPr>
              <w:t>EXHIBITS:</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41"/>
        </w:trPr>
        <w:tc>
          <w:tcPr>
            <w:tcW w:w="500" w:type="dxa"/>
            <w:vAlign w:val="bottom"/>
            <w:tcBorders>
              <w:right w:val="single" w:sz="8" w:color="auto"/>
            </w:tcBorders>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A</w:t>
            </w:r>
          </w:p>
        </w:tc>
        <w:tc>
          <w:tcPr>
            <w:tcW w:w="1000" w:type="dxa"/>
            <w:vAlign w:val="bottom"/>
            <w:tcBorders>
              <w:right w:val="single" w:sz="8" w:color="auto"/>
            </w:tcBorders>
          </w:tcPr>
          <w:p>
            <w:pPr>
              <w:spacing w:after="0"/>
              <w:rPr>
                <w:sz w:val="20"/>
                <w:szCs w:val="20"/>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Assignment and Assumption</w:t>
            </w:r>
          </w:p>
        </w:tc>
        <w:tc>
          <w:tcPr>
            <w:tcW w:w="116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B</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Credit Request</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C</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Note</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D</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Compliance Certificate</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E</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Increase Supplement</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4"/>
        </w:trPr>
        <w:tc>
          <w:tcPr>
            <w:tcW w:w="500" w:type="dxa"/>
            <w:vAlign w:val="bottom"/>
            <w:tcBorders>
              <w:right w:val="single" w:sz="8" w:color="auto"/>
            </w:tcBorders>
          </w:tcPr>
          <w:p>
            <w:pPr>
              <w:spacing w:after="0"/>
              <w:rPr>
                <w:sz w:val="22"/>
                <w:szCs w:val="22"/>
                <w:color w:val="auto"/>
              </w:rPr>
            </w:pPr>
          </w:p>
        </w:tc>
        <w:tc>
          <w:tcPr>
            <w:tcW w:w="1840" w:type="dxa"/>
            <w:vAlign w:val="bottom"/>
            <w:gridSpan w:val="3"/>
          </w:tcPr>
          <w:p>
            <w:pPr>
              <w:ind w:left="20"/>
              <w:spacing w:after="0"/>
              <w:rPr>
                <w:sz w:val="20"/>
                <w:szCs w:val="20"/>
                <w:color w:val="auto"/>
              </w:rPr>
            </w:pPr>
            <w:r>
              <w:rPr>
                <w:rFonts w:ascii="Arial" w:cs="Arial" w:eastAsia="Arial" w:hAnsi="Arial"/>
                <w:sz w:val="20"/>
                <w:szCs w:val="20"/>
                <w:color w:val="auto"/>
              </w:rPr>
              <w:t>Exhibit F</w:t>
            </w:r>
          </w:p>
        </w:tc>
        <w:tc>
          <w:tcPr>
            <w:tcW w:w="1000" w:type="dxa"/>
            <w:vAlign w:val="bottom"/>
            <w:tcBorders>
              <w:right w:val="single" w:sz="8" w:color="auto"/>
            </w:tcBorders>
          </w:tcPr>
          <w:p>
            <w:pPr>
              <w:spacing w:after="0"/>
              <w:rPr>
                <w:sz w:val="22"/>
                <w:szCs w:val="22"/>
                <w:color w:val="auto"/>
              </w:rPr>
            </w:pPr>
          </w:p>
        </w:tc>
        <w:tc>
          <w:tcPr>
            <w:tcW w:w="6480" w:type="dxa"/>
            <w:vAlign w:val="bottom"/>
            <w:gridSpan w:val="2"/>
          </w:tcPr>
          <w:p>
            <w:pPr>
              <w:ind w:left="20"/>
              <w:spacing w:after="0"/>
              <w:rPr>
                <w:sz w:val="20"/>
                <w:szCs w:val="20"/>
                <w:color w:val="auto"/>
              </w:rPr>
            </w:pPr>
            <w:r>
              <w:rPr>
                <w:rFonts w:ascii="Arial" w:cs="Arial" w:eastAsia="Arial" w:hAnsi="Arial"/>
                <w:sz w:val="20"/>
                <w:szCs w:val="20"/>
                <w:color w:val="auto"/>
              </w:rPr>
              <w:t>Form of U.S. Tax Compliance Certificates</w:t>
            </w:r>
          </w:p>
        </w:tc>
        <w:tc>
          <w:tcPr>
            <w:tcW w:w="1160" w:type="dxa"/>
            <w:vAlign w:val="bottom"/>
            <w:tcBorders>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23"/>
        </w:trPr>
        <w:tc>
          <w:tcPr>
            <w:tcW w:w="50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0"/>
        </w:trPr>
        <w:tc>
          <w:tcPr>
            <w:tcW w:w="500" w:type="dxa"/>
            <w:vAlign w:val="bottom"/>
            <w:tcBorders>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1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January 10, 2019, is among ALLETE,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JPMORGAN CHASE BANK, N.A., as Administrative Agent.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Borrower, various financial institutions and JPMorgan Chase Bank, N.A., as administrative agent, have entered into a credit agreement dated as of November 4, 2013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hereto have agreed to amend and restate the Existing Credit Agreement pursuant to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hereto intend that this Agreement and the documents executed in connection herewith not effect a novation of the obligations of the Borrower under the Existing Credit Agreement, but merely a restatement of and, where applicable, an amendment to the terms governing such obligations;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acknowledged hereby, the parties hereto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INTERPRETATION</w:t>
      </w:r>
    </w:p>
    <w:p>
      <w:pPr>
        <w:spacing w:after="0" w:line="21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Alternate Base Rate. For the avoidance of doubt, a Loan that bears interest at a rate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standing.</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with respect to any Eurodollar Borrowing for any Interest Period, an interest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(rounded upwards, if necessary, to the next 1/100 of 1%) equal to (a) the LIBO Rate for such Interest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the Statutory Reserve Rate.</w:t>
      </w:r>
    </w:p>
    <w:p>
      <w:pPr>
        <w:spacing w:after="0" w:line="18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 its capacity as administrative agent for the Lenders hereunder, and any successor in such capacity.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greatest of (a) the Prime Rate in effect on such day,</w:t>
      </w:r>
    </w:p>
    <w:p>
      <w:pPr>
        <w:spacing w:after="0" w:line="39" w:lineRule="exact"/>
        <w:rPr>
          <w:sz w:val="20"/>
          <w:szCs w:val="20"/>
          <w:color w:val="auto"/>
        </w:rPr>
      </w:pPr>
    </w:p>
    <w:p>
      <w:pPr>
        <w:jc w:val="both"/>
        <w:ind w:firstLine="8"/>
        <w:spacing w:after="0" w:line="299" w:lineRule="auto"/>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NYFRB Rate in effect on such day plus ½ of 1% and (c) the Adjusted LIBO Rate for a one month Interest Period on such day (or if such day is not a Business Day, the immediately preceding Business Day) plus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3.4, then the Alternate Base Rate shall be the greater of clauses (a) and (b) above and shall be determined without reference to clause</w:t>
      </w:r>
    </w:p>
    <w:p>
      <w:pPr>
        <w:spacing w:after="0" w:line="2" w:lineRule="exact"/>
        <w:rPr>
          <w:rFonts w:ascii="Arial" w:cs="Arial" w:eastAsia="Arial" w:hAnsi="Arial"/>
          <w:sz w:val="16"/>
          <w:szCs w:val="16"/>
          <w:color w:val="auto"/>
        </w:rPr>
      </w:pPr>
    </w:p>
    <w:p>
      <w:pPr>
        <w:ind w:firstLine="8"/>
        <w:spacing w:after="0" w:line="244" w:lineRule="auto"/>
        <w:tabs>
          <w:tab w:leader="none" w:pos="276" w:val="left"/>
        </w:tabs>
        <w:numPr>
          <w:ilvl w:val="0"/>
          <w:numId w:val="47"/>
        </w:numPr>
        <w:rPr>
          <w:rFonts w:ascii="Arial" w:cs="Arial" w:eastAsia="Arial" w:hAnsi="Arial"/>
          <w:sz w:val="20"/>
          <w:szCs w:val="20"/>
          <w:color w:val="auto"/>
        </w:rPr>
      </w:pPr>
      <w:r>
        <w:rPr>
          <w:rFonts w:ascii="Arial" w:cs="Arial" w:eastAsia="Arial" w:hAnsi="Arial"/>
          <w:sz w:val="20"/>
          <w:szCs w:val="20"/>
          <w:color w:val="auto"/>
        </w:rPr>
        <w:t>above. For the avoidance of doubt, if the Alternate Base Rate as determined pursuant to the foregoing would be less than 1.00%, such rate shall be deemed to be 1.00% for purposes of this Agreement.</w:t>
      </w:r>
    </w:p>
    <w:p>
      <w:pPr>
        <w:spacing w:after="0" w:line="20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4.12</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xml:space="preserve">” means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determined pursuant to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when a Defaulting Lender shall exist, “Applicable Percentage” shall mean the percentage of the total Commitments (disregarding any Defaulting Lender’s Commitments) represented by such Lender’s Commitments. If the Commitments have terminated or expired, the Applicable Percentages shall be determined based upon the Commitments most recently in effect, giving effect to any assignments and to any Lender’s status as a Defaulting Lender at the time of such determination.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9.3(a)</w:t>
      </w:r>
      <w:r>
        <w:rPr>
          <w:rFonts w:ascii="Arial" w:cs="Arial" w:eastAsia="Arial" w:hAnsi="Arial"/>
          <w:sz w:val="20"/>
          <w:szCs w:val="20"/>
          <w:color w:val="auto"/>
        </w:rPr>
        <w:t>.</w:t>
      </w:r>
    </w:p>
    <w:p>
      <w:pPr>
        <w:spacing w:after="0" w:line="216" w:lineRule="exact"/>
        <w:rPr>
          <w:sz w:val="20"/>
          <w:szCs w:val="20"/>
          <w:color w:val="auto"/>
        </w:rPr>
      </w:pPr>
    </w:p>
    <w:p>
      <w:pPr>
        <w:jc w:val="both"/>
        <w:ind w:right="2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pacing w:after="0" w:line="13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accepted by the Administrative Agent,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in such other form as shall be acceptable to the Administrative Agent.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Maturity Date and, if different, the date of termination of the Commitments.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39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w:t>
      </w:r>
      <w:r>
        <w:rPr>
          <w:rFonts w:ascii="Arial" w:cs="Arial" w:eastAsia="Arial" w:hAnsi="Arial"/>
          <w:sz w:val="20"/>
          <w:szCs w:val="20"/>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Bankruptcy Event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shall not result solely by virtue of any ownership interest, or the acquisition of any ownership interest, in such Person by a Governmental Authority or instrumentality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ALLETE, Inc., a Minnesota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4.4(a)</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Loans of the same Type made, converted or continued on the same date and, in the case of Eurodollar Loans, as to which a single Interest Period is in effect.</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used in connection with a Eurodollar Loan, the term “Business Day” shall also exclude any day on which banks are not open for dealings in dollar deposits in the London interbank market.</w:t>
      </w:r>
    </w:p>
    <w:p>
      <w:pPr>
        <w:spacing w:after="0" w:line="17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95" w:lineRule="exact"/>
        <w:rPr>
          <w:sz w:val="20"/>
          <w:szCs w:val="20"/>
          <w:color w:val="auto"/>
        </w:rPr>
      </w:pPr>
    </w:p>
    <w:p>
      <w:pPr>
        <w:jc w:val="both"/>
        <w:ind w:firstLine="1297"/>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w:t>
      </w:r>
      <w:r>
        <w:rPr>
          <w:rFonts w:ascii="MS PGothic" w:cs="MS PGothic" w:eastAsia="MS PGothic" w:hAnsi="MS PGothic"/>
          <w:sz w:val="18"/>
          <w:szCs w:val="18"/>
          <w:color w:val="auto"/>
        </w:rPr>
        <w:t>‑</w:t>
      </w:r>
      <w:r>
        <w:rPr>
          <w:rFonts w:ascii="Arial" w:cs="Arial" w:eastAsia="Arial" w:hAnsi="Arial"/>
          <w:sz w:val="18"/>
          <w:szCs w:val="18"/>
          <w:color w:val="auto"/>
        </w:rPr>
        <w:t>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 Borrower in an aggregate principal amount of $35,000,000 or more, or any agent or trustee for such holders, to require payment, purchase, redemption or defeasance of such indebtedness prior to its expressed maturity.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(y)</w:t>
      </w:r>
      <w:r>
        <w:rPr>
          <w:rFonts w:ascii="Arial" w:cs="Arial" w:eastAsia="Arial" w:hAnsi="Arial"/>
          <w:sz w:val="20"/>
          <w:szCs w:val="20"/>
          <w:color w:val="auto"/>
        </w:rPr>
        <w:t>, be deemed to be a “Change in Law”, regardless of the date enacted, adopted or issued.</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w:t>
      </w:r>
      <w:r>
        <w:rPr>
          <w:rFonts w:ascii="Arial" w:cs="Arial" w:eastAsia="Arial" w:hAnsi="Arial"/>
          <w:sz w:val="20"/>
          <w:szCs w:val="20"/>
          <w:color w:val="auto"/>
        </w:rPr>
        <w:t>” means CoBank ACB.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 Equities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10.17(a)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commitment of such Lender to make Loans and to acquire participations in Letters of Credit hereunder in an aggregate outstanding amount not exceeding the amount of such Lender’s Commitment as set forth on </w:t>
      </w:r>
      <w:r>
        <w:rPr>
          <w:rFonts w:ascii="Arial" w:cs="Arial" w:eastAsia="Arial" w:hAnsi="Arial"/>
          <w:sz w:val="16"/>
          <w:szCs w:val="16"/>
          <w:u w:val="single" w:color="auto"/>
          <w:color w:val="auto"/>
        </w:rPr>
        <w:t>Schedule 2.1 plus</w:t>
      </w:r>
      <w:r>
        <w:rPr>
          <w:rFonts w:ascii="Arial" w:cs="Arial" w:eastAsia="Arial" w:hAnsi="Arial"/>
          <w:sz w:val="16"/>
          <w:szCs w:val="16"/>
          <w:color w:val="auto"/>
        </w:rPr>
        <w:t xml:space="preserve">, the amount of any increase set forth in each Increase Supplement executed and delivered by such Lender, the Borrower and the Administrative Agent or in the Assignment and Assumption pursuant to which such Lender shall have assumed its Commitment in accordance with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as applicable, as such Commitment may be adjusted from time to time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pursuant to assignments by or to such Lender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The initial aggregate amount of the Commitments is $400,000,000.</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9.3(c)</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with respect to any Lender at any time, the sum of the aggregate outstanding principal amount of such Lender’s Loans and its LC Exposure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Administrative Agent, the Issuing Banks and the Lenders.</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Request</w:t>
      </w:r>
      <w:r>
        <w:rPr>
          <w:rFonts w:ascii="Arial" w:cs="Arial" w:eastAsia="Arial" w:hAnsi="Arial"/>
          <w:sz w:val="20"/>
          <w:szCs w:val="20"/>
          <w:color w:val="auto"/>
        </w:rPr>
        <w:t xml:space="preserve">” means a Credit Request,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or in such other form as shall be acceptable to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as determined by the Administrative Agent (or if the Administrative Agent is the Defaulting Lender, by the Required Lenders), that (a) has failed, within three (3)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 (3) Business Days after request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 (d) has become the subject of (A) a Bankruptcy Event or (B) a Bail-In Action.</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(a) </w:t>
      </w:r>
      <w:r>
        <w:rPr>
          <w:rFonts w:ascii="Arial" w:cs="Arial" w:eastAsia="Arial" w:hAnsi="Arial"/>
          <w:sz w:val="20"/>
          <w:szCs w:val="20"/>
          <w:u w:val="single" w:color="auto"/>
          <w:color w:val="auto"/>
        </w:rPr>
        <w:t>Schedule 4.5/4.6</w:t>
      </w:r>
      <w:r>
        <w:rPr>
          <w:rFonts w:ascii="Arial" w:cs="Arial" w:eastAsia="Arial" w:hAnsi="Arial"/>
          <w:sz w:val="20"/>
          <w:szCs w:val="20"/>
          <w:color w:val="auto"/>
        </w:rPr>
        <w:t>, (b) the current and periodic reports filed by the Borrower from time to time with the SEC pursuant to the requirements of the Securities Exchange Act of 1934 and the rules and regulations promulgated thereunder, or (c) disclosed by the Borrower to the Lenders (either directly or indirectly through the Administrative Agent) in writing.</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January 10, 2019.</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5" w:right="239" w:bottom="1440" w:gutter="0" w:footer="0" w:header="0"/>
        </w:sectPr>
      </w:pPr>
    </w:p>
    <w:bookmarkStart w:id="141" w:name="page142"/>
    <w:bookmarkEnd w:id="141"/>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Assignees</w:t>
      </w:r>
      <w:r>
        <w:rPr>
          <w:rFonts w:ascii="Arial" w:cs="Arial" w:eastAsia="Arial" w:hAnsi="Arial"/>
          <w:sz w:val="19"/>
          <w:szCs w:val="19"/>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such entity is a Lender or an Affiliate of a Lender, such entity has been approved by the Administrative Agent, the Issuing Banks and, unless an Event of Default has occurred and is continuing at the time of assignment to such entity, the Borrower (each such approval not to be unreasonably withheld or delayed),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w:t>
      </w:r>
    </w:p>
    <w:p>
      <w:pPr>
        <w:spacing w:after="0" w:line="18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w:t>
      </w:r>
      <w:r>
        <w:rPr>
          <w:rFonts w:ascii="Arial" w:cs="Arial" w:eastAsia="Arial" w:hAnsi="Arial"/>
          <w:sz w:val="19"/>
          <w:szCs w:val="19"/>
          <w:color w:val="auto"/>
        </w:rPr>
        <w:t xml:space="preserve">” 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w:t>
      </w:r>
      <w:r>
        <w:rPr>
          <w:rFonts w:ascii="Arial" w:cs="Arial" w:eastAsia="Arial" w:hAnsi="Arial"/>
          <w:sz w:val="19"/>
          <w:szCs w:val="19"/>
          <w:u w:val="single" w:color="auto"/>
          <w:color w:val="auto"/>
        </w:rPr>
        <w:t>clause (a)</w:t>
      </w:r>
      <w:r>
        <w:rPr>
          <w:rFonts w:ascii="Arial" w:cs="Arial" w:eastAsia="Arial" w:hAnsi="Arial"/>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Adjusted LIBO Rate. For the avoidance of doubt, a Loan that bears interest at a rate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6" w:right="239" w:bottom="1440" w:gutter="0" w:footer="0" w:header="0"/>
        </w:sectPr>
      </w:pPr>
    </w:p>
    <w:bookmarkStart w:id="142" w:name="page143"/>
    <w:bookmarkEnd w:id="142"/>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3.7(f)</w:t>
      </w:r>
      <w:r>
        <w:rPr>
          <w:rFonts w:ascii="Arial" w:cs="Arial" w:eastAsia="Arial" w:hAnsi="Arial"/>
          <w:sz w:val="18"/>
          <w:szCs w:val="18"/>
          <w:color w:val="auto"/>
        </w:rPr>
        <w:t>, and (d) any withholding Taxes imposed under FATCA.</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to such term in the recitals.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the Letters of Credit listed on </w:t>
      </w:r>
      <w:r>
        <w:rPr>
          <w:rFonts w:ascii="Arial" w:cs="Arial" w:eastAsia="Arial" w:hAnsi="Arial"/>
          <w:sz w:val="20"/>
          <w:szCs w:val="20"/>
          <w:u w:val="single" w:color="auto"/>
          <w:color w:val="auto"/>
        </w:rPr>
        <w:t>Schedule 2.9</w:t>
      </w:r>
      <w:r>
        <w:rPr>
          <w:rFonts w:ascii="Arial" w:cs="Arial" w:eastAsia="Arial" w:hAnsi="Arial"/>
          <w:sz w:val="20"/>
          <w:szCs w:val="20"/>
          <w:color w:val="auto"/>
        </w:rPr>
        <w:t xml:space="preserve">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Effective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as so determined would be less than zero, such rate shall be deemed to zero for the purposes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Borrower.</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73"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IBA</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1.5</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5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Transaction</w:t>
      </w:r>
      <w:r>
        <w:rPr>
          <w:rFonts w:ascii="Arial" w:cs="Arial" w:eastAsia="Arial" w:hAnsi="Arial"/>
          <w:sz w:val="18"/>
          <w:szCs w:val="18"/>
          <w:color w:val="auto"/>
        </w:rPr>
        <w:t xml:space="preserve">” means any transaction or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it in the definition of “LIBO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Supplement</w:t>
      </w:r>
      <w:r>
        <w:rPr>
          <w:rFonts w:ascii="Arial" w:cs="Arial" w:eastAsia="Arial" w:hAnsi="Arial"/>
          <w:sz w:val="20"/>
          <w:szCs w:val="20"/>
          <w:color w:val="auto"/>
        </w:rPr>
        <w:t xml:space="preserve">” means an increase supplement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70"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copyrights, trademarks, servicemarks, patents, trade names and service names.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day of each March, June, September and December,</w:t>
      </w:r>
    </w:p>
    <w:p>
      <w:pPr>
        <w:spacing w:after="0" w:line="62" w:lineRule="exact"/>
        <w:rPr>
          <w:sz w:val="20"/>
          <w:szCs w:val="20"/>
          <w:color w:val="auto"/>
        </w:rPr>
      </w:pPr>
    </w:p>
    <w:p>
      <w:pPr>
        <w:jc w:val="both"/>
        <w:ind w:firstLine="8"/>
        <w:spacing w:after="0" w:line="260" w:lineRule="auto"/>
        <w:tabs>
          <w:tab w:leader="none" w:pos="285"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 respect to any Eurodollar Loan, the last day of the Interest Period applicable to the Borrowing of which such Eurodollar Loan is a part and, in the case of a Eurodollar Loan with an Interest Period of more than three months’ duration, the three-month anniversary of the first day of such interest period and (c) with respect to all Loans, (i) on the date of any prepayment or (ii) on the Maturity Date.</w:t>
      </w:r>
    </w:p>
    <w:p>
      <w:pPr>
        <w:spacing w:after="0" w:line="179"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with respect to any Eurodollar Borrowing, the period commencing on the date of such Borrowing and ending on the numerically corresponding day in the calendar month that is one week or one, two, three or six months thereafter, as the Borrower may elect,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xml:space="preserve">” means, at any time, for any Interest Period, the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7.2.</w:t>
      </w:r>
    </w:p>
    <w:p>
      <w:pPr>
        <w:spacing w:after="0" w:line="21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JPMorgan Chase, CoBank and any other Lender that agrees to act as an Issuing Bank, each in its capacity as the issuer of Letters of Credit hereunder, and its successors in such capacity as provided in </w:t>
      </w:r>
      <w:r>
        <w:rPr>
          <w:rFonts w:ascii="Arial" w:cs="Arial" w:eastAsia="Arial" w:hAnsi="Arial"/>
          <w:sz w:val="18"/>
          <w:szCs w:val="18"/>
          <w:u w:val="single" w:color="auto"/>
          <w:color w:val="auto"/>
        </w:rPr>
        <w:t>Section 2.9(i)</w:t>
      </w:r>
      <w:r>
        <w:rPr>
          <w:rFonts w:ascii="Arial" w:cs="Arial" w:eastAsia="Arial" w:hAnsi="Arial"/>
          <w:sz w:val="18"/>
          <w:szCs w:val="18"/>
          <w:color w:val="auto"/>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 Chase</w:t>
      </w:r>
      <w:r>
        <w:rPr>
          <w:rFonts w:ascii="Arial" w:cs="Arial" w:eastAsia="Arial" w:hAnsi="Arial"/>
          <w:sz w:val="20"/>
          <w:szCs w:val="20"/>
          <w:color w:val="auto"/>
        </w:rPr>
        <w:t>” means JPMorgan Chase Bank, N.A.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an Issuing Bank pursuant to a Letter of Credit.</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xml:space="preserve">” means, at any time, (a) with respect to all of the Lenders, the sum, without duplication, of (i) the aggregate undrawn amount of all outstanding Letters of Credit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aggregate amount of all LC Disbursements that have not yet been reimbursed by or on behalf of the Borrower at such time and (b) with respect to each Lender, its Applicable Percentage of the amount determined under </w:t>
      </w:r>
      <w:r>
        <w:rPr>
          <w:rFonts w:ascii="Arial" w:cs="Arial" w:eastAsia="Arial" w:hAnsi="Arial"/>
          <w:sz w:val="20"/>
          <w:szCs w:val="20"/>
          <w:u w:val="single" w:color="auto"/>
          <w:color w:val="auto"/>
        </w:rPr>
        <w:t>clause (a)</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and any other Person that shall have become a party hereto pursuant to an Assignment and Assumption or an Increase Supplement other than any such Person that ceases to be a party hereto pursuant to an Assignment and Assumption.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(and any successive renewals thereof) issued pursuant to this Agreement.</w:t>
      </w:r>
    </w:p>
    <w:p>
      <w:pPr>
        <w:spacing w:after="0" w:line="23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xml:space="preserve">” means, with respect to each Issuing Bank, the commitment of such Issuing Bank to issue Letters of Credit hereunder. The initial amount of each Issuing Bank’s Letter of Credit Commitment is set forth on </w:t>
      </w:r>
      <w:r>
        <w:rPr>
          <w:rFonts w:ascii="Arial" w:cs="Arial" w:eastAsia="Arial" w:hAnsi="Arial"/>
          <w:sz w:val="20"/>
          <w:szCs w:val="20"/>
          <w:u w:val="single" w:color="auto"/>
          <w:color w:val="auto"/>
        </w:rPr>
        <w:t>Schedule 2</w:t>
      </w:r>
      <w:r>
        <w:rPr>
          <w:rFonts w:ascii="Arial" w:cs="Arial" w:eastAsia="Arial" w:hAnsi="Arial"/>
          <w:sz w:val="20"/>
          <w:szCs w:val="20"/>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any Eurodollar Borrowing for any Interest Period, the LIBO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 Rate shall be the Interpolated Rate.</w:t>
      </w:r>
    </w:p>
    <w:p>
      <w:pPr>
        <w:spacing w:after="0" w:line="1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Eurodollar Borrowing for any Interest Period, the London interbank offered rate as administered by the IBA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as so determined would be less than zero, such rate shall be deemed to be zero for the purposes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 loan referred to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and made pursuant to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2.9(e)</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Note issued pursuant to </w:t>
      </w:r>
      <w:r>
        <w:rPr>
          <w:rFonts w:ascii="Arial" w:cs="Arial" w:eastAsia="Arial" w:hAnsi="Arial"/>
          <w:sz w:val="20"/>
          <w:szCs w:val="20"/>
          <w:u w:val="single" w:color="auto"/>
          <w:color w:val="auto"/>
        </w:rPr>
        <w:t>Section 2.6(e)</w:t>
      </w:r>
      <w:r>
        <w:rPr>
          <w:rFonts w:ascii="Arial" w:cs="Arial" w:eastAsia="Arial" w:hAnsi="Arial"/>
          <w:sz w:val="20"/>
          <w:szCs w:val="20"/>
          <w:color w:val="auto"/>
        </w:rPr>
        <w:t xml:space="preserve"> and each Letter of Credit and the related documentation.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material adverse change in (a) the financial condition, operations, business or property of</w:t>
      </w:r>
    </w:p>
    <w:p>
      <w:pPr>
        <w:spacing w:after="0" w:line="39" w:lineRule="exact"/>
        <w:rPr>
          <w:sz w:val="20"/>
          <w:szCs w:val="20"/>
          <w:color w:val="auto"/>
        </w:rPr>
      </w:pPr>
    </w:p>
    <w:p>
      <w:pPr>
        <w:ind w:firstLine="8"/>
        <w:spacing w:after="0" w:line="269" w:lineRule="auto"/>
        <w:tabs>
          <w:tab w:leader="none" w:pos="29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69"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70" w:lineRule="exact"/>
        <w:rPr>
          <w:sz w:val="20"/>
          <w:szCs w:val="20"/>
          <w:color w:val="auto"/>
        </w:rPr>
      </w:pPr>
    </w:p>
    <w:p>
      <w:pPr>
        <w:jc w:val="both"/>
        <w:ind w:firstLine="1297"/>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Obligations</w:t>
      </w:r>
      <w:r>
        <w:rPr>
          <w:rFonts w:ascii="Arial" w:cs="Arial" w:eastAsia="Arial" w:hAnsi="Arial"/>
          <w:sz w:val="16"/>
          <w:szCs w:val="16"/>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January 10, 2024.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thereto.</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Andres Serrano (successor to Philip L. Watson), Trustees.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MPUC</w:t>
      </w:r>
      <w:r>
        <w:rPr>
          <w:rFonts w:ascii="Arial" w:cs="Arial" w:eastAsia="Arial" w:hAnsi="Arial"/>
          <w:sz w:val="20"/>
          <w:szCs w:val="20"/>
          <w:color w:val="auto"/>
        </w:rPr>
        <w:t>” means the Minnesota Public Utilities Commission or any Governmental Authority succeeding to the functions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issued at the request of a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2.6(e)</w:t>
      </w:r>
      <w:r>
        <w:rPr>
          <w:rFonts w:ascii="Arial" w:cs="Arial" w:eastAsia="Arial" w:hAnsi="Arial"/>
          <w:sz w:val="20"/>
          <w:szCs w:val="20"/>
          <w:color w:val="auto"/>
        </w:rPr>
        <w:t xml:space="preserve"> to evidence its Loans.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be less than zero, such rate shall be deemed to be zero for purposes of this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3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107-56 (signed into law October 26, 2001)).</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firstLine="1953"/>
        <w:spacing w:after="0" w:line="316" w:lineRule="auto"/>
        <w:tabs>
          <w:tab w:leader="none" w:pos="23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stayed pending such contest;</w:t>
      </w:r>
    </w:p>
    <w:p>
      <w:pPr>
        <w:spacing w:after="0" w:line="130" w:lineRule="exact"/>
        <w:rPr>
          <w:rFonts w:ascii="Arial" w:cs="Arial" w:eastAsia="Arial" w:hAnsi="Arial"/>
          <w:sz w:val="18"/>
          <w:szCs w:val="18"/>
          <w:color w:val="auto"/>
        </w:rPr>
      </w:pPr>
    </w:p>
    <w:p>
      <w:pPr>
        <w:jc w:val="both"/>
        <w:ind w:firstLine="1953"/>
        <w:spacing w:after="0" w:line="250" w:lineRule="auto"/>
        <w:tabs>
          <w:tab w:leader="none" w:pos="2409"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186" w:lineRule="exact"/>
        <w:rPr>
          <w:rFonts w:ascii="Arial" w:cs="Arial" w:eastAsia="Arial" w:hAnsi="Arial"/>
          <w:sz w:val="20"/>
          <w:szCs w:val="20"/>
          <w:color w:val="auto"/>
        </w:rPr>
      </w:pPr>
    </w:p>
    <w:p>
      <w:pPr>
        <w:ind w:firstLine="1953"/>
        <w:spacing w:after="0" w:line="260" w:lineRule="auto"/>
        <w:tabs>
          <w:tab w:leader="none" w:pos="24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76" w:lineRule="exact"/>
        <w:rPr>
          <w:rFonts w:ascii="Arial" w:cs="Arial" w:eastAsia="Arial" w:hAnsi="Arial"/>
          <w:sz w:val="20"/>
          <w:szCs w:val="20"/>
          <w:color w:val="auto"/>
        </w:rPr>
      </w:pPr>
    </w:p>
    <w:p>
      <w:pPr>
        <w:jc w:val="both"/>
        <w:ind w:firstLine="1953"/>
        <w:spacing w:after="0" w:line="269" w:lineRule="auto"/>
        <w:tabs>
          <w:tab w:leader="none" w:pos="2369" w:val="left"/>
        </w:tabs>
        <w:numPr>
          <w:ilvl w:val="0"/>
          <w:numId w:val="50"/>
        </w:numPr>
        <w:rPr>
          <w:rFonts w:ascii="Arial" w:cs="Arial" w:eastAsia="Arial" w:hAnsi="Arial"/>
          <w:sz w:val="19"/>
          <w:szCs w:val="19"/>
          <w:color w:val="auto"/>
        </w:rPr>
      </w:pPr>
      <w:r>
        <w:rPr>
          <w:rFonts w:ascii="Arial" w:cs="Arial" w:eastAsia="Arial" w:hAnsi="Arial"/>
          <w:sz w:val="19"/>
          <w:szCs w:val="19"/>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953"/>
        <w:spacing w:after="0" w:line="233" w:lineRule="exact"/>
        <w:tabs>
          <w:tab w:leader="none" w:pos="24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w:t>
      </w:r>
      <w:r>
        <w:rPr>
          <w:rFonts w:ascii="MS PGothic" w:cs="MS PGothic" w:eastAsia="MS PGothic" w:hAnsi="MS PGothic"/>
          <w:sz w:val="20"/>
          <w:szCs w:val="20"/>
          <w:color w:val="auto"/>
        </w:rPr>
        <w:t>‑</w:t>
      </w:r>
      <w:r>
        <w:rPr>
          <w:rFonts w:ascii="Arial" w:cs="Arial" w:eastAsia="Arial" w:hAnsi="Arial"/>
          <w:sz w:val="20"/>
          <w:szCs w:val="20"/>
          <w:color w:val="auto"/>
        </w:rPr>
        <w: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99" w:lineRule="exact"/>
        <w:rPr>
          <w:rFonts w:ascii="Arial" w:cs="Arial" w:eastAsia="Arial" w:hAnsi="Arial"/>
          <w:sz w:val="20"/>
          <w:szCs w:val="20"/>
          <w:color w:val="auto"/>
        </w:rPr>
      </w:pPr>
    </w:p>
    <w:p>
      <w:pPr>
        <w:ind w:left="2340" w:hanging="387"/>
        <w:spacing w:after="0"/>
        <w:tabs>
          <w:tab w:leader="none" w:pos="2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paragraph (k)</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firstLine="1953"/>
        <w:spacing w:after="0" w:line="287" w:lineRule="auto"/>
        <w:tabs>
          <w:tab w:leader="none" w:pos="249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52" w:lineRule="exact"/>
        <w:rPr>
          <w:rFonts w:ascii="Arial" w:cs="Arial" w:eastAsia="Arial" w:hAnsi="Arial"/>
          <w:sz w:val="19"/>
          <w:szCs w:val="19"/>
          <w:color w:val="auto"/>
        </w:rPr>
      </w:pPr>
    </w:p>
    <w:p>
      <w:pPr>
        <w:ind w:left="2360" w:hanging="407"/>
        <w:spacing w:after="0"/>
        <w:tabs>
          <w:tab w:leader="none" w:pos="2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from filed UCC-1 financing statements relating solely to leases not prohibited by this Agreement;</w:t>
      </w:r>
    </w:p>
    <w:p>
      <w:pPr>
        <w:spacing w:after="0" w:line="238" w:lineRule="exact"/>
        <w:rPr>
          <w:rFonts w:ascii="Arial" w:cs="Arial" w:eastAsia="Arial" w:hAnsi="Arial"/>
          <w:sz w:val="18"/>
          <w:szCs w:val="18"/>
          <w:color w:val="auto"/>
        </w:rPr>
      </w:pPr>
    </w:p>
    <w:p>
      <w:pPr>
        <w:ind w:right="20" w:firstLine="1953"/>
        <w:spacing w:after="0" w:line="260" w:lineRule="auto"/>
        <w:tabs>
          <w:tab w:leader="none" w:pos="2352"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leases or subleases granted to others that do not materially interfere with the ordinary conduct of business of the Borrower and its Subsidiaries;</w:t>
      </w:r>
    </w:p>
    <w:p>
      <w:pPr>
        <w:spacing w:after="0" w:line="176" w:lineRule="exact"/>
        <w:rPr>
          <w:rFonts w:ascii="Arial" w:cs="Arial" w:eastAsia="Arial" w:hAnsi="Arial"/>
          <w:sz w:val="20"/>
          <w:szCs w:val="20"/>
          <w:color w:val="auto"/>
        </w:rPr>
      </w:pPr>
    </w:p>
    <w:p>
      <w:pPr>
        <w:ind w:firstLine="1953"/>
        <w:spacing w:after="0" w:line="260" w:lineRule="auto"/>
        <w:tabs>
          <w:tab w:leader="none" w:pos="2325"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76" w:lineRule="exact"/>
        <w:rPr>
          <w:rFonts w:ascii="Arial" w:cs="Arial" w:eastAsia="Arial" w:hAnsi="Arial"/>
          <w:sz w:val="20"/>
          <w:szCs w:val="20"/>
          <w:color w:val="auto"/>
        </w:rPr>
      </w:pPr>
    </w:p>
    <w:p>
      <w:pPr>
        <w:jc w:val="both"/>
        <w:ind w:firstLine="1953"/>
        <w:spacing w:after="0" w:line="263" w:lineRule="auto"/>
        <w:tabs>
          <w:tab w:leader="none" w:pos="2355"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76" w:lineRule="exact"/>
        <w:rPr>
          <w:rFonts w:ascii="Arial" w:cs="Arial" w:eastAsia="Arial" w:hAnsi="Arial"/>
          <w:sz w:val="19"/>
          <w:szCs w:val="19"/>
          <w:color w:val="auto"/>
        </w:rPr>
      </w:pPr>
    </w:p>
    <w:p>
      <w:pPr>
        <w:jc w:val="both"/>
        <w:ind w:firstLine="1953"/>
        <w:spacing w:after="0" w:line="244" w:lineRule="auto"/>
        <w:tabs>
          <w:tab w:leader="none" w:pos="24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94" w:lineRule="exact"/>
        <w:rPr>
          <w:rFonts w:ascii="Arial" w:cs="Arial" w:eastAsia="Arial" w:hAnsi="Arial"/>
          <w:sz w:val="20"/>
          <w:szCs w:val="20"/>
          <w:color w:val="auto"/>
        </w:rPr>
      </w:pPr>
    </w:p>
    <w:p>
      <w:pPr>
        <w:jc w:val="both"/>
        <w:ind w:firstLine="1953"/>
        <w:spacing w:after="0" w:line="246" w:lineRule="auto"/>
        <w:tabs>
          <w:tab w:leader="none" w:pos="2411"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191" w:lineRule="exact"/>
        <w:rPr>
          <w:rFonts w:ascii="Arial" w:cs="Arial" w:eastAsia="Arial" w:hAnsi="Arial"/>
          <w:sz w:val="20"/>
          <w:szCs w:val="20"/>
          <w:color w:val="auto"/>
        </w:rPr>
      </w:pPr>
    </w:p>
    <w:p>
      <w:pPr>
        <w:jc w:val="both"/>
        <w:ind w:firstLine="1953"/>
        <w:spacing w:after="0" w:line="269" w:lineRule="auto"/>
        <w:tabs>
          <w:tab w:leader="none" w:pos="2382"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170" w:lineRule="exact"/>
        <w:rPr>
          <w:rFonts w:ascii="Arial" w:cs="Arial" w:eastAsia="Arial" w:hAnsi="Arial"/>
          <w:sz w:val="19"/>
          <w:szCs w:val="19"/>
          <w:color w:val="auto"/>
        </w:rPr>
      </w:pPr>
    </w:p>
    <w:p>
      <w:pPr>
        <w:ind w:left="2360" w:hanging="407"/>
        <w:spacing w:after="0"/>
        <w:tabs>
          <w:tab w:leader="none" w:pos="2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Margin Stock to the extent that a prohibition on such Liens would violate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49" w:name="page150"/>
    <w:bookmarkEnd w:id="149"/>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1953"/>
        <w:spacing w:after="0" w:line="250" w:lineRule="auto"/>
        <w:tabs>
          <w:tab w:leader="none" w:pos="2369" w:val="left"/>
        </w:tabs>
        <w:numPr>
          <w:ilvl w:val="0"/>
          <w:numId w:val="52"/>
        </w:numPr>
        <w:rPr>
          <w:rFonts w:ascii="Arial" w:cs="Arial" w:eastAsia="Arial" w:hAnsi="Arial"/>
          <w:sz w:val="20"/>
          <w:szCs w:val="20"/>
          <w:color w:val="auto"/>
        </w:rPr>
      </w:pPr>
      <w:r>
        <w:rPr>
          <w:rFonts w:ascii="Arial" w:cs="Arial" w:eastAsia="Arial" w:hAnsi="Arial"/>
          <w:sz w:val="20"/>
          <w:szCs w:val="20"/>
          <w:color w:val="auto"/>
        </w:rPr>
        <w:t>Liens on any cash collateral for Letters of Credit issued under (i) the Borrower’s primary revolving credit facility upon the occurrence of an event of default thereunder or to cover an issuing lender’s credit exposure under such facility with respect to a defaulting lender thereunder and (ii) this Agreement or for a Defaulting Lender’s LC Exposure;</w:t>
      </w:r>
    </w:p>
    <w:p>
      <w:pPr>
        <w:spacing w:after="0" w:line="186" w:lineRule="exact"/>
        <w:rPr>
          <w:rFonts w:ascii="Arial" w:cs="Arial" w:eastAsia="Arial" w:hAnsi="Arial"/>
          <w:sz w:val="20"/>
          <w:szCs w:val="20"/>
          <w:color w:val="auto"/>
        </w:rPr>
      </w:pPr>
    </w:p>
    <w:p>
      <w:pPr>
        <w:ind w:firstLine="1953"/>
        <w:spacing w:after="0" w:line="260" w:lineRule="auto"/>
        <w:tabs>
          <w:tab w:leader="none" w:pos="2477" w:val="left"/>
        </w:tabs>
        <w:numPr>
          <w:ilvl w:val="0"/>
          <w:numId w:val="52"/>
        </w:numPr>
        <w:rPr>
          <w:rFonts w:ascii="Arial" w:cs="Arial" w:eastAsia="Arial" w:hAnsi="Arial"/>
          <w:sz w:val="20"/>
          <w:szCs w:val="20"/>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176" w:lineRule="exact"/>
        <w:rPr>
          <w:rFonts w:ascii="Arial" w:cs="Arial" w:eastAsia="Arial" w:hAnsi="Arial"/>
          <w:sz w:val="20"/>
          <w:szCs w:val="20"/>
          <w:color w:val="auto"/>
        </w:rPr>
      </w:pPr>
    </w:p>
    <w:p>
      <w:pPr>
        <w:jc w:val="both"/>
        <w:ind w:firstLine="1953"/>
        <w:spacing w:after="0" w:line="246" w:lineRule="auto"/>
        <w:tabs>
          <w:tab w:leader="none" w:pos="2458" w:val="left"/>
        </w:tabs>
        <w:numPr>
          <w:ilvl w:val="0"/>
          <w:numId w:val="52"/>
        </w:numPr>
        <w:rPr>
          <w:rFonts w:ascii="Arial" w:cs="Arial" w:eastAsia="Arial" w:hAnsi="Arial"/>
          <w:sz w:val="20"/>
          <w:szCs w:val="20"/>
          <w:color w:val="auto"/>
        </w:rPr>
      </w:pPr>
      <w:r>
        <w:rPr>
          <w:rFonts w:ascii="Arial" w:cs="Arial" w:eastAsia="Arial" w:hAnsi="Arial"/>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91" w:lineRule="exact"/>
        <w:rPr>
          <w:rFonts w:ascii="Arial" w:cs="Arial" w:eastAsia="Arial" w:hAnsi="Arial"/>
          <w:sz w:val="20"/>
          <w:szCs w:val="20"/>
          <w:color w:val="auto"/>
        </w:rPr>
      </w:pPr>
    </w:p>
    <w:p>
      <w:pPr>
        <w:jc w:val="both"/>
        <w:ind w:firstLine="1953"/>
        <w:spacing w:after="0" w:line="269" w:lineRule="auto"/>
        <w:tabs>
          <w:tab w:leader="none" w:pos="2333" w:val="left"/>
        </w:tabs>
        <w:numPr>
          <w:ilvl w:val="0"/>
          <w:numId w:val="52"/>
        </w:numPr>
        <w:rPr>
          <w:rFonts w:ascii="Arial" w:cs="Arial" w:eastAsia="Arial" w:hAnsi="Arial"/>
          <w:sz w:val="19"/>
          <w:szCs w:val="19"/>
          <w:color w:val="auto"/>
        </w:rPr>
      </w:pPr>
      <w:r>
        <w:rPr>
          <w:rFonts w:ascii="Arial" w:cs="Arial" w:eastAsia="Arial" w:hAnsi="Arial"/>
          <w:sz w:val="19"/>
          <w:szCs w:val="19"/>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7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Hedge Agreement</w:t>
      </w:r>
      <w:r>
        <w:rPr>
          <w:rFonts w:ascii="Arial" w:cs="Arial" w:eastAsia="Arial" w:hAnsi="Arial"/>
          <w:sz w:val="20"/>
          <w:szCs w:val="20"/>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Regulations</w:t>
      </w:r>
      <w:r>
        <w:rPr>
          <w:rFonts w:ascii="Arial" w:cs="Arial" w:eastAsia="Arial" w:hAnsi="Arial"/>
          <w:sz w:val="20"/>
          <w:szCs w:val="20"/>
          <w:color w:val="auto"/>
        </w:rPr>
        <w:t xml:space="preserve">” means 29 CFR § 2510.3-101 </w:t>
      </w:r>
      <w:r>
        <w:rPr>
          <w:rFonts w:ascii="Arial" w:cs="Arial" w:eastAsia="Arial" w:hAnsi="Arial"/>
          <w:sz w:val="20"/>
          <w:szCs w:val="20"/>
          <w:i w:val="1"/>
          <w:iCs w:val="1"/>
          <w:color w:val="auto"/>
        </w:rPr>
        <w:t>et seq.</w:t>
      </w:r>
      <w:r>
        <w:rPr>
          <w:rFonts w:ascii="Arial" w:cs="Arial" w:eastAsia="Arial" w:hAnsi="Arial"/>
          <w:sz w:val="20"/>
          <w:szCs w:val="20"/>
          <w:color w:val="auto"/>
        </w:rPr>
        <w:t>, as modified by Section 3(42) of ERISA, as amended from time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to time.</w:t>
      </w:r>
    </w:p>
    <w:p>
      <w:pPr>
        <w:spacing w:after="0" w:line="20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xml:space="preserve">” means the rate of interest last quoted by The Wall Street Journal as the “Prime Rate” in the U.S. or, if The Wall Street Journal ceases to quote such rate, the highest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Agencies</w:t>
      </w:r>
      <w:r>
        <w:rPr>
          <w:rFonts w:ascii="Arial" w:cs="Arial" w:eastAsia="Arial" w:hAnsi="Arial"/>
          <w:sz w:val="19"/>
          <w:szCs w:val="19"/>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Bank, as applicable.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6"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10.4(c)</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as from time to time in effect and all official rulings and interpretations thereunder or thereof.</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Board as from time to time in effect and all official rulings and interpretations thereunder or thereof.</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Board as from time to time in effect and all official rulings and interpretations thereunder or thereof.</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Board as from time to time in effect and all official rulings and interpretations thereunder or thereof.</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7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Deposit Amount</w:t>
      </w:r>
      <w:r>
        <w:rPr>
          <w:rFonts w:ascii="Arial" w:cs="Arial" w:eastAsia="Arial" w:hAnsi="Arial"/>
          <w:sz w:val="19"/>
          <w:szCs w:val="19"/>
          <w:color w:val="auto"/>
        </w:rPr>
        <w:t xml:space="preserve">” means in the event that as a result of the deposit of cash collateral with the Administrative Agent pursuant to </w:t>
      </w:r>
      <w:r>
        <w:rPr>
          <w:rFonts w:ascii="Arial" w:cs="Arial" w:eastAsia="Arial" w:hAnsi="Arial"/>
          <w:sz w:val="19"/>
          <w:szCs w:val="19"/>
          <w:u w:val="single" w:color="auto"/>
          <w:color w:val="auto"/>
        </w:rPr>
        <w:t>Section 2.9(i)</w:t>
      </w:r>
      <w:r>
        <w:rPr>
          <w:rFonts w:ascii="Arial" w:cs="Arial" w:eastAsia="Arial" w:hAnsi="Arial"/>
          <w:sz w:val="19"/>
          <w:szCs w:val="19"/>
          <w:color w:val="auto"/>
        </w:rPr>
        <w:t xml:space="preserve"> the Borrower (a) is not required to grant a security interest in such cash collateral to any other Person, an amount equal to the LC Exposure on the date on which cash collateral is required to be deposited, or (b) is required to grant a security interest in such cash collateral to any other Person, an amount equal to the LC Exposure on the date on which cash collateral is required to be deposited multiplied by a fraction, the numerator of which is the sum of the LC Exposure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principal amount of all other obligations to be secured by such cash collateral and the denominator of which is the amount of such LC Exposure.</w:t>
      </w:r>
    </w:p>
    <w:p>
      <w:pPr>
        <w:spacing w:after="0" w:line="17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unused Commitments, LC Exposure and outstanding Loans representing more than 50% of the sum of the unused Commitments, LC Exposure and outstanding Loans of all Lenders.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Standard &amp; Poor’s Financial Services LLC business, or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the functions thereof.</w:t>
      </w:r>
    </w:p>
    <w:p>
      <w:pPr>
        <w:spacing w:after="0" w:line="23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(i) it has assigned to long term unsecured senior debt of the Borrower or (ii) would assign to long term unsecured senior debt of the Borrower were the Borrower to issue or have outstanding any long term unsecured senior debt on such date.</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Sole Lead Arranger and Sole Bookrunner</w:t>
      </w:r>
      <w:r>
        <w:rPr>
          <w:rFonts w:ascii="Arial" w:cs="Arial" w:eastAsia="Arial" w:hAnsi="Arial"/>
          <w:sz w:val="20"/>
          <w:szCs w:val="20"/>
          <w:color w:val="auto"/>
        </w:rPr>
        <w:t>” means J.P. Morgan Chase, in its capacity as Sole Lead Arranger and Sole Bookrunner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if any,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Such reserve percentages shall include those imposed pursuant to Regulation D. Eurodollar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w:t>
      </w:r>
    </w:p>
    <w:p>
      <w:pPr>
        <w:spacing w:after="0" w:line="3" w:lineRule="exact"/>
        <w:rPr>
          <w:sz w:val="20"/>
          <w:szCs w:val="20"/>
          <w:color w:val="auto"/>
        </w:rPr>
      </w:pPr>
    </w:p>
    <w:p>
      <w:pPr>
        <w:jc w:val="both"/>
        <w:ind w:firstLine="8"/>
        <w:spacing w:after="0" w:line="241" w:lineRule="auto"/>
        <w:tabs>
          <w:tab w:leader="none" w:pos="2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9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SWLP Mortgage</w:t>
      </w:r>
      <w:r>
        <w:rPr>
          <w:rFonts w:ascii="Arial" w:cs="Arial" w:eastAsia="Arial" w:hAnsi="Arial"/>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86"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13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Capitalization</w:t>
      </w:r>
      <w:r>
        <w:rPr>
          <w:rFonts w:ascii="Arial" w:cs="Arial" w:eastAsia="Arial" w:hAnsi="Arial"/>
          <w:sz w:val="20"/>
          <w:szCs w:val="20"/>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retained earnings,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(iv) Total Indebtedness, and (b) (i) stock of the Borrower acquired by the Borrower and (ii) stock of a Subsidiary acquired by such Subsidiary, in each case at such time, as applicable, determined on a consolidated basis in accordance with GAAP.</w:t>
      </w:r>
    </w:p>
    <w:p>
      <w:pPr>
        <w:spacing w:after="0" w:line="19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the Subsidiaries, determined on a consolidated basis in accordance with GAAP.</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execution, delivery and performance by the Borrower of each Loan Document to which it is a party, (b) the borrowing of the Loans and the issuance of the Letters of Credit and (c) the use of the proceeds of the Loans and the Letters of Credit.</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when used in reference to any Loan or Borrowing, refers to whether the rate of interest on such Loan, or on the Loans comprising such Borrowing, is determined by reference to (a) the Adjusted LIBO Rate or (b) the Alternate Base Rate. For the avoidance of doubt, a Loan that bears interest at a rate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3.7(f)(ii)(B)(3).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Security</w:t>
      </w:r>
      <w:r>
        <w:rPr>
          <w:rFonts w:ascii="Arial" w:cs="Arial" w:eastAsia="Arial" w:hAnsi="Arial"/>
          <w:sz w:val="16"/>
          <w:szCs w:val="16"/>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8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WPS</w:t>
      </w:r>
      <w:r>
        <w:rPr>
          <w:rFonts w:ascii="Arial" w:cs="Arial" w:eastAsia="Arial" w:hAnsi="Arial"/>
          <w:sz w:val="19"/>
          <w:szCs w:val="19"/>
          <w:color w:val="auto"/>
        </w:rPr>
        <w:t>” means the Public Service Commission of Wisconsin or any Governmental Authority succeeding to the functions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(a) Loans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Eurodollar Loan</w:t>
      </w:r>
      <w:r>
        <w:rPr>
          <w:rFonts w:ascii="Arial" w:cs="Arial" w:eastAsia="Arial" w:hAnsi="Arial"/>
          <w:sz w:val="18"/>
          <w:szCs w:val="18"/>
          <w:color w:val="auto"/>
        </w:rPr>
        <w:t>”) and (b) Borrowings may also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Eurodollar Borrowing</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(b) any definition of or reference to any law shall be construed as referring to such law as from time to time amended and any successor thereto and the rules and regulations promulgated from time to time thereunder, (c) any reference herein to any Person shall be construed to include such Person’s successors and assigns, (d) the words “herein”, “hereof” and “hereunder”, and words of similar import, shall be construed to refer to this Agreement in its entirety and not to any particular provision hereof,</w:t>
      </w:r>
    </w:p>
    <w:p>
      <w:pPr>
        <w:spacing w:after="0" w:line="2" w:lineRule="exact"/>
        <w:rPr>
          <w:sz w:val="20"/>
          <w:szCs w:val="20"/>
          <w:color w:val="auto"/>
        </w:rPr>
      </w:pPr>
    </w:p>
    <w:p>
      <w:pPr>
        <w:jc w:val="both"/>
        <w:ind w:firstLine="8"/>
        <w:spacing w:after="0"/>
        <w:tabs>
          <w:tab w:leader="none" w:pos="281"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references herein to Articles, Sections, Exhibits and Schedules shall be construed to refer to Articles and Sections of, and Exhibits and Schedules to, this Agreement, (f) the words “asset” and “property” shall be construed to have the same meaning and effect and to refer to all tangible and intangible assets and properties, including cash, securities, accounts and contract rights, and (g) any reference to a fiscal quarter or fiscal year means a fiscal quarter or fiscal year of the Borrower. Unless otherwise specified, each reference herein to a time of day shall mean such time in New York, New York.</w:t>
      </w:r>
    </w:p>
    <w:p>
      <w:pPr>
        <w:spacing w:after="0" w:line="19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1" w:lineRule="auto"/>
        <w:tabs>
          <w:tab w:leader="none" w:pos="17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requirement shall continue to be computed in accordance with GAAP prior to such change therein and (ii)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44" w:lineRule="auto"/>
        <w:tabs>
          <w:tab w:leader="none" w:pos="1734"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Section 1.4(a)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Interest Rates; LIBOR Notification</w:t>
      </w:r>
      <w:r>
        <w:rPr>
          <w:rFonts w:ascii="Arial" w:cs="Arial" w:eastAsia="Arial" w:hAnsi="Arial"/>
          <w:sz w:val="18"/>
          <w:szCs w:val="18"/>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of this Agreement, such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provides a mechanism for determining an alternative rate of interest. The Administrative Agent will notify the Borrower,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in advance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w:t>
      </w:r>
      <w:r>
        <w:rPr>
          <w:rFonts w:ascii="Arial" w:cs="Arial" w:eastAsia="Arial" w:hAnsi="Arial"/>
          <w:sz w:val="18"/>
          <w:szCs w:val="18"/>
          <w:u w:val="single" w:color="auto"/>
          <w:color w:val="auto"/>
        </w:rPr>
        <w:t>Section 3.4(b)</w:t>
      </w:r>
      <w:r>
        <w:rPr>
          <w:rFonts w:ascii="Arial" w:cs="Arial" w:eastAsia="Arial" w:hAnsi="Arial"/>
          <w:sz w:val="18"/>
          <w:szCs w:val="18"/>
          <w:color w:val="auto"/>
        </w:rPr>
        <w:t>, will be similar to, or produce the same value or economic equivalence of, the LIBO Rate or have the same volume or liquidity as did the London interbank offered rate prior to its discontinuance or unavailability.</w:t>
      </w:r>
    </w:p>
    <w:p>
      <w:pPr>
        <w:spacing w:after="0" w:line="175"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w:t>
      </w:r>
      <w:r>
        <w:rPr>
          <w:rFonts w:ascii="MS PGothic" w:cs="MS PGothic" w:eastAsia="MS PGothic" w:hAnsi="MS PGothic"/>
          <w:sz w:val="18"/>
          <w:szCs w:val="18"/>
          <w:color w:val="auto"/>
        </w:rPr>
        <w:t>‑</w:t>
      </w:r>
      <w:r>
        <w:rPr>
          <w:rFonts w:ascii="Arial" w:cs="Arial" w:eastAsia="Arial" w:hAnsi="Arial"/>
          <w:sz w:val="18"/>
          <w:szCs w:val="18"/>
          <w:color w:val="auto"/>
        </w:rPr>
        <w:t>up if there is no nearest number).</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Amendment and Restatement</w:t>
      </w:r>
      <w:r>
        <w:rPr>
          <w:rFonts w:ascii="Arial" w:cs="Arial" w:eastAsia="Arial" w:hAnsi="Arial"/>
          <w:sz w:val="20"/>
          <w:szCs w:val="20"/>
          <w:color w:val="auto"/>
        </w:rPr>
        <w:t xml:space="preserve">. The Borrower and the Lenders acknowledge and agree that (a) effective at the time at which all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have been satisfied, this Agreement shall amend and restate in its entirety the Existing Credit Agreement and (b) there are no outstanding Loans under the Existing Credit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CREDITS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hereof, each Lender severally agrees to make Loans to the Borrower in dollars from time to time during the Availability Period in an aggregate principal amount that will not result in such Lender’s Credit Exposure exceeding such Lender’s Commitment. Within the foregoing limits, the Borrower may borrow, prepay and reborrow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6" w:lineRule="auto"/>
        <w:tabs>
          <w:tab w:leader="none" w:pos="1696"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any Loan as required.</w:t>
      </w:r>
    </w:p>
    <w:p>
      <w:pPr>
        <w:spacing w:after="0" w:line="191" w:lineRule="exact"/>
        <w:rPr>
          <w:rFonts w:ascii="Arial" w:cs="Arial" w:eastAsia="Arial" w:hAnsi="Arial"/>
          <w:sz w:val="20"/>
          <w:szCs w:val="20"/>
          <w:color w:val="auto"/>
        </w:rPr>
      </w:pPr>
    </w:p>
    <w:p>
      <w:pPr>
        <w:jc w:val="both"/>
        <w:ind w:firstLine="1305"/>
        <w:spacing w:after="0" w:line="244" w:lineRule="auto"/>
        <w:tabs>
          <w:tab w:leader="none" w:pos="1734"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each Borrowing shall be comprised entirely of ABR Loans or Eurodollar Loans, as applicable, in each case as the Borrower may request in accordance herewith. Each Lender at its option may make any Eurodollar Loan (and any ABR Loan, the interest on which is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94" w:lineRule="exact"/>
        <w:rPr>
          <w:rFonts w:ascii="Arial" w:cs="Arial" w:eastAsia="Arial" w:hAnsi="Arial"/>
          <w:sz w:val="20"/>
          <w:szCs w:val="20"/>
          <w:color w:val="auto"/>
        </w:rPr>
      </w:pPr>
    </w:p>
    <w:p>
      <w:pPr>
        <w:jc w:val="both"/>
        <w:ind w:firstLine="1305"/>
        <w:spacing w:after="0" w:line="276" w:lineRule="auto"/>
        <w:tabs>
          <w:tab w:leader="none" w:pos="17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that is $5,000,000 or a higher integral multiple of $1,000,000. At the time that each ABR Borrowing is made, such Borrowing shall be in an aggregate amount that is $5,000,000 or a higher integral multiple of $1,000,000, provided that an ABR Borrowing may be in an aggregate amount that is equal to the entire unused balance of the total Commitments or in an aggregate amount that is required to finance the reimbursement of an LC Disbursement as contemplated by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Eurodollar Borrowings outstanding.</w:t>
      </w:r>
    </w:p>
    <w:p>
      <w:pPr>
        <w:spacing w:after="0" w:line="165" w:lineRule="exact"/>
        <w:rPr>
          <w:rFonts w:ascii="Arial" w:cs="Arial" w:eastAsia="Arial" w:hAnsi="Arial"/>
          <w:sz w:val="18"/>
          <w:szCs w:val="18"/>
          <w:color w:val="auto"/>
        </w:rPr>
      </w:pPr>
    </w:p>
    <w:p>
      <w:pPr>
        <w:ind w:firstLine="1305"/>
        <w:spacing w:after="0" w:line="287" w:lineRule="auto"/>
        <w:tabs>
          <w:tab w:leader="none" w:pos="1707"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63" w:lineRule="auto"/>
        <w:tabs>
          <w:tab w:leader="none" w:pos="177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To request a Borrowing, the Borrower shall deliver a Credit Request to the Administrative Agent (i) in the case of a Eurodollar Borrowing, not later than 12:30 p.m. three Business Days before the date of the proposed Borrowing or (ii) in the case of an ABR Borrowing, not later than 12:30 p.m. on the date of the proposed Borrowing. Each such Credit Request shall be irrevocable (except as otherwise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shall specify the following information in compliance with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2320" w:hanging="367"/>
        <w:spacing w:after="0"/>
        <w:tabs>
          <w:tab w:leader="none" w:pos="23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Eurodollar Borrowing;</w:t>
      </w:r>
    </w:p>
    <w:p>
      <w:pPr>
        <w:spacing w:after="0" w:line="215" w:lineRule="exact"/>
        <w:rPr>
          <w:rFonts w:ascii="Arial" w:cs="Arial" w:eastAsia="Arial" w:hAnsi="Arial"/>
          <w:sz w:val="20"/>
          <w:szCs w:val="20"/>
          <w:color w:val="auto"/>
        </w:rPr>
      </w:pPr>
    </w:p>
    <w:p>
      <w:pPr>
        <w:ind w:left="1300" w:firstLine="653"/>
        <w:spacing w:after="0" w:line="260" w:lineRule="auto"/>
        <w:tabs>
          <w:tab w:leader="none" w:pos="2427"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 and</w:t>
      </w:r>
    </w:p>
    <w:p>
      <w:pPr>
        <w:spacing w:after="0" w:line="176" w:lineRule="exact"/>
        <w:rPr>
          <w:rFonts w:ascii="Arial" w:cs="Arial" w:eastAsia="Arial" w:hAnsi="Arial"/>
          <w:sz w:val="20"/>
          <w:szCs w:val="20"/>
          <w:color w:val="auto"/>
        </w:rPr>
      </w:pPr>
    </w:p>
    <w:p>
      <w:pPr>
        <w:ind w:left="1300" w:firstLine="653"/>
        <w:spacing w:after="0" w:line="260" w:lineRule="auto"/>
        <w:tabs>
          <w:tab w:leader="none" w:pos="2386"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305"/>
        <w:spacing w:after="0" w:line="282" w:lineRule="auto"/>
        <w:tabs>
          <w:tab w:leader="none" w:pos="17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Credit Request in accordance with this Section, the Administrative Agent shall advise each Lender of the details thereof and of the amount of such Lender’s Loan to be made as part of the requested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845"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Each Lender shall make each Loan to be made by it hereunder on the proposed date thereof by wire transfer of immediately available funds by 2:00 p.m. to the account of the Administrative Agent most recently designated by it for such purpose by notice to the Lenders. Subject to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the Administrative Agent will make such Loans available to the Borrower by promptly crediting or otherwise transferring the amounts so received, in like funds, to an account of the Borrower designated by the Borrower in the applicable Credit Request,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ABR Loans made to finance the reimbursement of an LC Disbursement as provided in </w:t>
      </w:r>
      <w:r>
        <w:rPr>
          <w:rFonts w:ascii="Arial" w:cs="Arial" w:eastAsia="Arial" w:hAnsi="Arial"/>
          <w:sz w:val="20"/>
          <w:szCs w:val="20"/>
          <w:u w:val="single" w:color="auto"/>
          <w:color w:val="auto"/>
        </w:rPr>
        <w:t>Section 2.9(e)</w:t>
      </w:r>
      <w:r>
        <w:rPr>
          <w:rFonts w:ascii="Arial" w:cs="Arial" w:eastAsia="Arial" w:hAnsi="Arial"/>
          <w:sz w:val="20"/>
          <w:szCs w:val="20"/>
          <w:color w:val="auto"/>
        </w:rPr>
        <w:t xml:space="preserve"> shall be remitted by the Administrative Agent to the applicable Issuing Bank.</w:t>
      </w:r>
    </w:p>
    <w:p>
      <w:pPr>
        <w:spacing w:after="0" w:line="196" w:lineRule="exact"/>
        <w:rPr>
          <w:rFonts w:ascii="Arial" w:cs="Arial" w:eastAsia="Arial" w:hAnsi="Arial"/>
          <w:sz w:val="20"/>
          <w:szCs w:val="20"/>
          <w:color w:val="auto"/>
        </w:rPr>
      </w:pPr>
    </w:p>
    <w:p>
      <w:pPr>
        <w:jc w:val="both"/>
        <w:ind w:firstLine="1305"/>
        <w:spacing w:after="0" w:line="254" w:lineRule="auto"/>
        <w:tabs>
          <w:tab w:leader="none" w:pos="1707"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(or purchase of participations pursuant to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that such Lender will not make available to the Administrative Agent such Lender’s share of such Borrowing (or the amount of its participation), the Administrative Agent may assume that such Lender has made such share available on such date in accordance with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and may, in reliance upon such assumption, make available to the Borrower or the applicable Issuing Bank, as applicable, a corresponding amount. In such event, if a Lender has not in fact made its share of the applicable Borrowing available to the Administrative Agent, then the applicable Lender and the Borrower (and, if applicable, the applicable Issuing Bank) severally agree to pay to the Administrative Agent forthwith on demand such corresponding amount with interest thereon, for each day from and including the date such amount is made available to the Borrower or such Issuing Bank, as applicable, to but excluding the date of payment to the Administrative Agent, at (i) in the case of such Lender or an Issuing Bank, the greater of the Federal Funds Effective Rate and a rate determined by the Administrative Agent in accordance with banking industry rules on interbank compensation or (ii) in the case of the Borrower, the interest rate that would be otherwise applicable to such Borrowing (or such participating interest). Any payment by the Borrower or an Issuing Bank, however, shall be without prejudice to its rights against the applicable Lender. If such Lender pays such amount to the Administrative Agent, then such amount shall constitute such Lender’s Loan included in such Borrowing (or participation in the applicable LC Disbursement).</w:t>
      </w:r>
    </w:p>
    <w:p>
      <w:pPr>
        <w:spacing w:after="0" w:line="19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u w:val="single" w:color="auto"/>
          <w:color w:val="auto"/>
        </w:rPr>
        <w:t>Termination, Reduction and Increase of Commitments</w:t>
      </w:r>
      <w:r>
        <w:rPr>
          <w:rFonts w:ascii="Arial" w:cs="Arial" w:eastAsia="Arial" w:hAnsi="Arial"/>
          <w:sz w:val="16"/>
          <w:szCs w:val="16"/>
          <w:color w:val="auto"/>
        </w:rPr>
        <w:t>.</w:t>
      </w:r>
    </w:p>
    <w:p>
      <w:pPr>
        <w:spacing w:after="0" w:line="216" w:lineRule="exact"/>
        <w:rPr>
          <w:sz w:val="20"/>
          <w:szCs w:val="20"/>
          <w:color w:val="auto"/>
        </w:rPr>
      </w:pPr>
    </w:p>
    <w:p>
      <w:pPr>
        <w:ind w:left="1700" w:hanging="395"/>
        <w:spacing w:after="0"/>
        <w:tabs>
          <w:tab w:leader="none" w:pos="17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Unless previously terminated, the Commitments shall terminate on the Maturity Date.</w:t>
      </w:r>
    </w:p>
    <w:p>
      <w:pPr>
        <w:spacing w:after="0" w:line="215" w:lineRule="exact"/>
        <w:rPr>
          <w:rFonts w:ascii="Arial" w:cs="Arial" w:eastAsia="Arial" w:hAnsi="Arial"/>
          <w:sz w:val="20"/>
          <w:szCs w:val="20"/>
          <w:color w:val="auto"/>
        </w:rPr>
      </w:pPr>
    </w:p>
    <w:p>
      <w:pPr>
        <w:jc w:val="both"/>
        <w:ind w:firstLine="1305"/>
        <w:spacing w:after="0" w:line="246" w:lineRule="auto"/>
        <w:tabs>
          <w:tab w:leader="none" w:pos="17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The Borrower may at any time terminate, or from time to time reduce, the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Borrower shall not terminate or reduce the Commitments if, after giving effect to any concurrent prepayment or repayment of the Loans in accordance with </w:t>
      </w:r>
      <w:r>
        <w:rPr>
          <w:rFonts w:ascii="Arial" w:cs="Arial" w:eastAsia="Arial" w:hAnsi="Arial"/>
          <w:sz w:val="20"/>
          <w:szCs w:val="20"/>
          <w:u w:val="single" w:color="auto"/>
          <w:color w:val="auto"/>
        </w:rPr>
        <w:t>Section 2.7</w:t>
      </w:r>
      <w:r>
        <w:rPr>
          <w:rFonts w:ascii="Arial" w:cs="Arial" w:eastAsia="Arial" w:hAnsi="Arial"/>
          <w:sz w:val="20"/>
          <w:szCs w:val="20"/>
          <w:color w:val="auto"/>
        </w:rPr>
        <w:t>, the sum of the Credit Exposures would exceed the total Commitments and (ii) each such reduction of the Commitments shall be in the amount of $5,000,000 or a higher integral multiple of $1,000,000.</w:t>
      </w:r>
    </w:p>
    <w:p>
      <w:pPr>
        <w:spacing w:after="0" w:line="191" w:lineRule="exact"/>
        <w:rPr>
          <w:rFonts w:ascii="Arial" w:cs="Arial" w:eastAsia="Arial" w:hAnsi="Arial"/>
          <w:sz w:val="20"/>
          <w:szCs w:val="20"/>
          <w:color w:val="auto"/>
        </w:rPr>
      </w:pPr>
    </w:p>
    <w:p>
      <w:pPr>
        <w:jc w:val="both"/>
        <w:ind w:firstLine="1305"/>
        <w:spacing w:after="0" w:line="257" w:lineRule="auto"/>
        <w:tabs>
          <w:tab w:leader="none" w:pos="18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and any termination, of the Commitments shall be permanent and each reduction of the Commitments shall be made ratably among the Lenders in accordance with their respective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6" w:right="239" w:bottom="1440" w:gutter="0" w:footer="0" w:header="0"/>
        </w:sectPr>
      </w:pPr>
    </w:p>
    <w:bookmarkStart w:id="156" w:name="page157"/>
    <w:bookmarkEnd w:id="156"/>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ind w:firstLine="1305"/>
        <w:spacing w:after="0" w:line="270" w:lineRule="auto"/>
        <w:tabs>
          <w:tab w:leader="none" w:pos="17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Borrower may at any time and from time to time prior to the Maturity Date, at its sole cost, expense and effort, request any one or more of the Lenders to increase its Commitment (the decision to increase the Commitment of a Lender to be within the sole and absolute discretion of such Lender), or any other Person reasonably satisfactory to the Administrative Agent and the Issuing Banks to provide a new Commitment, by submitting to the Administrative Agent and the Issuing Banks an Increase Supplement duly executed by the Borrower and each such Lender or other Person, as the case may be, together with such other documentation and deliveries as the Administrative Agent shall reasonably require (which may include copies of resolutions authorizing such increase and/or opinion of counsel). If such Increase Supplement is in all respects reasonably satisfactory to the Administrative Agent and the Issuing Banks, the Administrative Agent shall execute such Increase Supplement and the Administrative Agent shall deliver a copy thereof to the Borrower and each such Lender or other Person, as the case may be. Upon execution and delivery of such Increase Supplement by the Administrative Agent and the Issuing Banks, (i) in the case of each such Lender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its Commitment shall be increased to the amount set forth in such Increase Supplement, (ii) in the case of each such other Person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such New Lender shall become a party hereto and have the rights and obligations of a Lender under the Loan Documents and its Commitment shall be as set forth in such Increase Supplement;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6" w:lineRule="exact"/>
        <w:rPr>
          <w:rFonts w:ascii="Arial" w:cs="Arial" w:eastAsia="Arial" w:hAnsi="Arial"/>
          <w:sz w:val="18"/>
          <w:szCs w:val="18"/>
          <w:color w:val="auto"/>
        </w:rPr>
      </w:pPr>
    </w:p>
    <w:p>
      <w:pPr>
        <w:jc w:val="both"/>
        <w:ind w:left="1300" w:firstLine="653"/>
        <w:spacing w:after="0" w:line="246" w:lineRule="auto"/>
        <w:tabs>
          <w:tab w:leader="none" w:pos="2551"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immediately after giving effect thereto, the sum of all increases (other than any increase in any Lender’s Commitment in order to replace another Lender pursuant to </w:t>
      </w:r>
      <w:r>
        <w:rPr>
          <w:rFonts w:ascii="Arial" w:cs="Arial" w:eastAsia="Arial" w:hAnsi="Arial"/>
          <w:sz w:val="20"/>
          <w:szCs w:val="20"/>
          <w:u w:val="single" w:color="auto"/>
          <w:color w:val="auto"/>
        </w:rPr>
        <w:t>Section 3.8(b)</w:t>
      </w:r>
      <w:r>
        <w:rPr>
          <w:rFonts w:ascii="Arial" w:cs="Arial" w:eastAsia="Arial" w:hAnsi="Arial"/>
          <w:sz w:val="20"/>
          <w:szCs w:val="20"/>
          <w:color w:val="auto"/>
        </w:rPr>
        <w:t xml:space="preserve">) in the aggregate Commitments made pursuant to this </w:t>
      </w:r>
      <w:r>
        <w:rPr>
          <w:rFonts w:ascii="Arial" w:cs="Arial" w:eastAsia="Arial" w:hAnsi="Arial"/>
          <w:sz w:val="20"/>
          <w:szCs w:val="20"/>
          <w:u w:val="single" w:color="auto"/>
          <w:color w:val="auto"/>
        </w:rPr>
        <w:t>Section 2.5(d)</w:t>
      </w:r>
      <w:r>
        <w:rPr>
          <w:rFonts w:ascii="Arial" w:cs="Arial" w:eastAsia="Arial" w:hAnsi="Arial"/>
          <w:sz w:val="20"/>
          <w:szCs w:val="20"/>
          <w:color w:val="auto"/>
        </w:rPr>
        <w:t xml:space="preserve"> shall not exceed the sum of (x) $150,000,000 plus (y) the amount of the Commitment of each Lender that becomes a Defaulting Lender;</w:t>
      </w:r>
    </w:p>
    <w:p>
      <w:pPr>
        <w:spacing w:after="0" w:line="191" w:lineRule="exact"/>
        <w:rPr>
          <w:rFonts w:ascii="Arial" w:cs="Arial" w:eastAsia="Arial" w:hAnsi="Arial"/>
          <w:sz w:val="20"/>
          <w:szCs w:val="20"/>
          <w:color w:val="auto"/>
        </w:rPr>
      </w:pPr>
    </w:p>
    <w:p>
      <w:pPr>
        <w:ind w:left="1300" w:firstLine="653"/>
        <w:spacing w:after="0" w:line="260" w:lineRule="auto"/>
        <w:tabs>
          <w:tab w:leader="none" w:pos="2446" w:val="left"/>
        </w:tabs>
        <w:numPr>
          <w:ilvl w:val="1"/>
          <w:numId w:val="61"/>
        </w:numPr>
        <w:rPr>
          <w:rFonts w:ascii="Arial" w:cs="Arial" w:eastAsia="Arial" w:hAnsi="Arial"/>
          <w:sz w:val="20"/>
          <w:szCs w:val="20"/>
          <w:color w:val="auto"/>
        </w:rPr>
      </w:pPr>
      <w:r>
        <w:rPr>
          <w:rFonts w:ascii="Arial" w:cs="Arial" w:eastAsia="Arial" w:hAnsi="Arial"/>
          <w:sz w:val="20"/>
          <w:szCs w:val="20"/>
          <w:color w:val="auto"/>
        </w:rPr>
        <w:t>each such increase of the aggregate Commitments shall be in an amount not less than $10,000,000 or a higher integral multiple of $5,000,000;</w:t>
      </w:r>
    </w:p>
    <w:p>
      <w:pPr>
        <w:spacing w:after="0" w:line="176" w:lineRule="exact"/>
        <w:rPr>
          <w:rFonts w:ascii="Arial" w:cs="Arial" w:eastAsia="Arial" w:hAnsi="Arial"/>
          <w:sz w:val="20"/>
          <w:szCs w:val="20"/>
          <w:color w:val="auto"/>
        </w:rPr>
      </w:pPr>
    </w:p>
    <w:p>
      <w:pPr>
        <w:jc w:val="both"/>
        <w:ind w:left="1300" w:firstLine="653"/>
        <w:spacing w:after="0" w:line="256" w:lineRule="auto"/>
        <w:tabs>
          <w:tab w:leader="none" w:pos="2459"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if Loans would be outstanding immediately after giving effect to any such increase, then simultaneously with such increase (1) each such Increasing Lender, each New Lender and each other Lender shall be deemed to have entered into an Assignment and Assumption, pursuant to which each such other Lender shall have assigned to each such Increasing Lender and each such New Lender a portion of its Commitment, Loans and LC Exposure necessary to reflect proportionately the Commitments as adjusted in accordance with this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and (2) in connection with such assignment, each such Increasing Lender and each such New Lender shall pay to the Administrative Agent, for the account of each such other Lender, such amount as shall be necessary to reflect the assignment to it of Loans, and in connection with such master assignment each such other Lender may treat the assignment of Eurodollar Borrowings as a prepayment of such Eurodollar Borrowings for purposes of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300" w:firstLine="653"/>
        <w:spacing w:after="0" w:line="260" w:lineRule="auto"/>
        <w:tabs>
          <w:tab w:leader="none" w:pos="2430"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each such other Person shall have delivered to the Administrative Agent and the Borrower all forms, if any, that are required to be delivered by such other Person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1300" w:firstLine="653"/>
        <w:spacing w:after="0" w:line="246" w:lineRule="auto"/>
        <w:tabs>
          <w:tab w:leader="none" w:pos="2381"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sufficient copies for each Lender of a certificate of a Financial Officer demonstrating pro forma compliance with the terms of this Agreement through the Maturity Date and the Administrative Agent shall have received such certificates and other items as it shall reasonably request in connection with such increase.</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16" w:lineRule="exact"/>
        <w:rPr>
          <w:sz w:val="20"/>
          <w:szCs w:val="20"/>
          <w:color w:val="auto"/>
        </w:rPr>
      </w:pPr>
    </w:p>
    <w:p>
      <w:pPr>
        <w:ind w:firstLine="1305"/>
        <w:spacing w:after="0" w:line="260" w:lineRule="auto"/>
        <w:tabs>
          <w:tab w:leader="none" w:pos="176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to the Administrative Agent for the account of each Lender the then unpaid principal amount of each Loan on the Maturity Date.</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15"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46" w:lineRule="auto"/>
        <w:tabs>
          <w:tab w:leader="none" w:pos="1737"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721"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shall be prima facie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91" w:lineRule="exact"/>
        <w:rPr>
          <w:rFonts w:ascii="Arial" w:cs="Arial" w:eastAsia="Arial" w:hAnsi="Arial"/>
          <w:sz w:val="20"/>
          <w:szCs w:val="20"/>
          <w:color w:val="auto"/>
        </w:rPr>
      </w:pPr>
    </w:p>
    <w:p>
      <w:pPr>
        <w:jc w:val="both"/>
        <w:ind w:firstLine="1305"/>
        <w:spacing w:after="0" w:line="278" w:lineRule="auto"/>
        <w:tabs>
          <w:tab w:leader="none" w:pos="17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Lender may request that its Loans be evidenced by a Note. In such event, the Borrower shall prepare, execute and deliver to such Lender a Note payable to the order of such Lender. Thereafter, the Loans evidenced by such Note and interest thereon shall at all times (including after any assignment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be represented by a Note payable to the order of the payee named therein or any Eligible Assignee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except to the extent that any such Lender or Eligible Assignee subsequently returns any such Note for cancellation and requests that such Loans once again be evidenced as described in </w:t>
      </w:r>
      <w:r>
        <w:rPr>
          <w:rFonts w:ascii="Arial" w:cs="Arial" w:eastAsia="Arial" w:hAnsi="Arial"/>
          <w:sz w:val="18"/>
          <w:szCs w:val="18"/>
          <w:u w:val="single" w:color="auto"/>
          <w:color w:val="auto"/>
        </w:rPr>
        <w:t>paragraphs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6" w:lineRule="exact"/>
        <w:rPr>
          <w:sz w:val="20"/>
          <w:szCs w:val="20"/>
          <w:color w:val="auto"/>
        </w:rPr>
      </w:pPr>
    </w:p>
    <w:p>
      <w:pPr>
        <w:ind w:firstLine="1305"/>
        <w:spacing w:after="0" w:line="260" w:lineRule="auto"/>
        <w:tabs>
          <w:tab w:leader="none" w:pos="171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Voluntary Prepayments</w:t>
      </w:r>
      <w:r>
        <w:rPr>
          <w:rFonts w:ascii="Arial" w:cs="Arial" w:eastAsia="Arial" w:hAnsi="Arial"/>
          <w:sz w:val="20"/>
          <w:szCs w:val="20"/>
          <w:color w:val="auto"/>
        </w:rPr>
        <w:t>. The Borrower shall have the right at any time and from time to time to prepay any Borrowing in whole or in part, subject to the requirements of this Section.</w:t>
      </w:r>
    </w:p>
    <w:p>
      <w:pPr>
        <w:spacing w:after="0" w:line="176" w:lineRule="exact"/>
        <w:rPr>
          <w:rFonts w:ascii="Arial" w:cs="Arial" w:eastAsia="Arial" w:hAnsi="Arial"/>
          <w:sz w:val="20"/>
          <w:szCs w:val="20"/>
          <w:color w:val="auto"/>
        </w:rPr>
      </w:pPr>
    </w:p>
    <w:p>
      <w:pPr>
        <w:jc w:val="both"/>
        <w:ind w:firstLine="1305"/>
        <w:spacing w:after="0" w:line="244" w:lineRule="auto"/>
        <w:tabs>
          <w:tab w:leader="none" w:pos="1707"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Prepayments Resulting from the Reduction of the Total Commitments</w:t>
      </w:r>
      <w:r>
        <w:rPr>
          <w:rFonts w:ascii="Arial" w:cs="Arial" w:eastAsia="Arial" w:hAnsi="Arial"/>
          <w:sz w:val="20"/>
          <w:szCs w:val="20"/>
          <w:color w:val="auto"/>
        </w:rPr>
        <w:t>. In the event of any partial reduction or termination of the Commitments, then (i) at or prior to the date of such reduction or termination, the Administrative Agent shall notify the Borrower and the Lenders of the sum of the Credit Exposures after giving effect thereto and (ii) if such sum would exceed the total Commitments after giving effect to such reduction or termination, then the Borrower shall, on the date of such reduction or termination, prepay Borrowings in an amount sufficient to eliminate such excess.</w:t>
      </w:r>
    </w:p>
    <w:p>
      <w:pPr>
        <w:spacing w:after="0" w:line="194" w:lineRule="exact"/>
        <w:rPr>
          <w:rFonts w:ascii="Arial" w:cs="Arial" w:eastAsia="Arial" w:hAnsi="Arial"/>
          <w:sz w:val="20"/>
          <w:szCs w:val="20"/>
          <w:color w:val="auto"/>
        </w:rPr>
      </w:pPr>
    </w:p>
    <w:p>
      <w:pPr>
        <w:jc w:val="both"/>
        <w:ind w:firstLine="1305"/>
        <w:spacing w:after="0" w:line="269" w:lineRule="auto"/>
        <w:tabs>
          <w:tab w:leader="none" w:pos="177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 of Prepayment; Application of Prepayments</w:t>
      </w:r>
      <w:r>
        <w:rPr>
          <w:rFonts w:ascii="Arial" w:cs="Arial" w:eastAsia="Arial" w:hAnsi="Arial"/>
          <w:sz w:val="18"/>
          <w:szCs w:val="18"/>
          <w:color w:val="auto"/>
        </w:rPr>
        <w:t xml:space="preserve">. The Borrower shall notify the Administrative Agent by telephone (confirmed by facsimile) of any prepayment hereunder, (i) in the case of a prepayment of a Eurodollar Borrowing, not later than 11:30 a.m. three Business Days before the date of prepayment or (ii) in the case of prepayment of an ABR Borrowing, not later than 11:30 a.m. on the date of the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then such notice of prepayment may be revoked if such notice of termination is revoked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Promptly following receipt of any such notice relating to a Borrowing, the Administrative Agent shall advise the Lenders of the contents thereof. Each partial prepayment of any Borrowing shall be in an integral multiple of $1,000,000 and not less than $5,000,000 (or, if the outstanding principal balance of the applicable Borrowing is less than such minimum amount, then such lesser outstanding principal balance);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a result of any ABR Borrowing to reimburse an LC Disbursement pursuant to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the aggregate principal amount of all ABR Borrowings is not an integral multiple of $1,000,000, then any prepayment of ABR Borrowings shall be in an amount that will cause the aggregate principal amount of all ABR Borrowings to be an integral multiple of $1,000,000. Each prepayment of a Borrowing shall be applied ratably to the Loans included in the prepaid Borrowing. Prepayments shall be accompanied by accrued interest to the extent required by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if applicable, shall be subject to the provisions of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to the contrary, if any Lender becomes a Defaulting Lender, then the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 for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After the first anniversary of the Effective Date, the Borrower may, on two occasions during the term of this Agreement (but not more frequently than once in any consecutive twelve- month period), request an extension of the Maturity Date for an additional one-year period by submitting a request for extension (an “</w:t>
      </w:r>
      <w:r>
        <w:rPr>
          <w:rFonts w:ascii="Arial" w:cs="Arial" w:eastAsia="Arial" w:hAnsi="Arial"/>
          <w:sz w:val="18"/>
          <w:szCs w:val="18"/>
          <w:u w:val="single" w:color="auto"/>
          <w:color w:val="auto"/>
        </w:rPr>
        <w:t>Extension Request</w:t>
      </w:r>
      <w:r>
        <w:rPr>
          <w:rFonts w:ascii="Arial" w:cs="Arial" w:eastAsia="Arial" w:hAnsi="Arial"/>
          <w:sz w:val="18"/>
          <w:szCs w:val="18"/>
          <w:color w:val="auto"/>
        </w:rPr>
        <w:t>”) to the Administrative Agent (which shall promptly advise each Lender) not more than 75 days or less than 30 days prior to the effective date of the proposed extension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In response to such request, each Lender shall, not later than 20 days prior to the applicable Extension Effective Date, notify the Administrative Agent whether it is willing (in its sole and complete discretion) to extend the scheduled Maturity Date for an additional one-year period (and any Lender that fails to give such notice to the Administrative Agent shall be deemed to have elected not to extend the scheduled Maturity Date). The Administrative Agent will notify the Borrower of the Lenders’ decisions no later than 15 days prior to such Extension Effective Date. If Lenders holding more than 50% of the Commitments elect to extend the scheduled Maturity Date, then on such Extension Effective Date the Commitments of such Lenders shall be extended for an additional one-year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exists on such Extension Effective Date and (ii) all representations and warranties are true and correct on such Extension Effective Date, as though made as of such Extension Effective Date (or, if any such representation or warranty is expressly stated to have been made as of a specific date, as of such specific date). No Lender shall be required to consent to any Extension Request and any Lender that elects, or is deemed to have elected, not to extend the scheduled Maturity Date (a “</w:t>
      </w:r>
      <w:r>
        <w:rPr>
          <w:rFonts w:ascii="Arial" w:cs="Arial" w:eastAsia="Arial" w:hAnsi="Arial"/>
          <w:sz w:val="18"/>
          <w:szCs w:val="18"/>
          <w:u w:val="single" w:color="auto"/>
          <w:color w:val="auto"/>
        </w:rPr>
        <w:t>Declining Lender</w:t>
      </w:r>
      <w:r>
        <w:rPr>
          <w:rFonts w:ascii="Arial" w:cs="Arial" w:eastAsia="Arial" w:hAnsi="Arial"/>
          <w:sz w:val="18"/>
          <w:szCs w:val="18"/>
          <w:color w:val="auto"/>
        </w:rPr>
        <w:t>”) will have its Commitment terminated on the then existing scheduled Maturity Date (without regard to any extension by other Lenders). The Borrower may, at its sole expense and effort, upon notice to any Declining Lender and the Administrative Agent, require any Declining Lender to assign and delegate its rights and obligations under this Agreement to an Eligible Assignee selected by the Borrower and willing to accept such assignment (in accordance with, and subject to, the restrictions and consents otherwise required for assignments generally).</w:t>
      </w:r>
    </w:p>
    <w:p>
      <w:pPr>
        <w:spacing w:after="0" w:line="17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2" w:lineRule="auto"/>
        <w:tabs>
          <w:tab w:leader="none" w:pos="172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the Borrower may request the issuance of Letters of Credit denominated in dollars as the applicant thereof for the support of its or its Subsidiaries’ obligations, in a form acceptable to the Administrative Agent and the applicable Issuing Bank, at any time and from time to time during the period from the Effective Date to the tenth Business Day preceding the last day of the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of the Credit Exposure of all Lenders shall not exceed the total Commitments and (ii) the aggregate amount of all LC Exposure shall not at any time exceed $60,000,000.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As of the Effective Date, all Existing Letters of Credit shall be deemed to have been issued hereunder and shall be subject to and governed by the terms and conditions hereof.</w:t>
      </w:r>
    </w:p>
    <w:p>
      <w:pPr>
        <w:spacing w:after="0" w:line="171" w:lineRule="exact"/>
        <w:rPr>
          <w:rFonts w:ascii="Arial" w:cs="Arial" w:eastAsia="Arial" w:hAnsi="Arial"/>
          <w:sz w:val="18"/>
          <w:szCs w:val="18"/>
          <w:color w:val="auto"/>
        </w:rPr>
      </w:pPr>
    </w:p>
    <w:p>
      <w:pPr>
        <w:jc w:val="both"/>
        <w:ind w:firstLine="1305"/>
        <w:spacing w:after="0" w:line="308" w:lineRule="auto"/>
        <w:tabs>
          <w:tab w:leader="none" w:pos="1707"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facsimile (or transmit by electronic communication, pursuant to arrangements for doing so approved by the applicable Issuing Bank) to the applicable Issuing Bank and the Administrative Agent (not later than three Business Days before the requested date of issuance, amendment, renewal or extension) a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the amount of such Letter of Credit,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w:t>
      </w:r>
    </w:p>
    <w:p>
      <w:pPr>
        <w:spacing w:after="0" w:line="180" w:lineRule="exact"/>
        <w:rPr>
          <w:rFonts w:ascii="Arial" w:cs="Arial" w:eastAsia="Arial" w:hAnsi="Arial"/>
          <w:sz w:val="16"/>
          <w:szCs w:val="16"/>
          <w:color w:val="auto"/>
        </w:rPr>
      </w:pPr>
    </w:p>
    <w:p>
      <w:pPr>
        <w:jc w:val="both"/>
        <w:ind w:firstLine="8"/>
        <w:spacing w:after="0" w:line="241" w:lineRule="auto"/>
        <w:tabs>
          <w:tab w:leader="none" w:pos="239" w:val="left"/>
        </w:tabs>
        <w:numPr>
          <w:ilvl w:val="0"/>
          <w:numId w:val="66"/>
        </w:numPr>
        <w:rPr>
          <w:rFonts w:ascii="Arial" w:cs="Arial" w:eastAsia="Arial" w:hAnsi="Arial"/>
          <w:sz w:val="20"/>
          <w:szCs w:val="20"/>
          <w:color w:val="auto"/>
        </w:rPr>
      </w:pPr>
      <w:r>
        <w:rPr>
          <w:rFonts w:ascii="Arial" w:cs="Arial" w:eastAsia="Arial" w:hAnsi="Arial"/>
          <w:sz w:val="20"/>
          <w:szCs w:val="20"/>
          <w:color w:val="auto"/>
        </w:rPr>
        <w:t>(x) the aggregate undrawn amount of all outstanding Letters of Credit issued by the Issuing Bank at such time plus (y) the aggregate amount of all LC Disbursements made by the Issuing Bank that have not yet been reimbursed by or on behalf of the Borrower at such time shall not exceed its Letter of Credit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6" w:right="239" w:bottom="1440" w:gutter="0" w:footer="0" w:header="0"/>
        </w:sectPr>
      </w:pPr>
    </w:p>
    <w:bookmarkStart w:id="159" w:name="page160"/>
    <w:bookmarkEnd w:id="159"/>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Commitment, (ii) the LC Exposure shall not exceed the total Letter of Credit Commitments, (iii) the total Credit Exposures shall not exceed the total Commitments. The Borrower may, at any time and from time to time, reduce the Letter of Credit Commitment of any Issuing Bank with the consent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reduce the Letter of Credit Commitment of any Issuing Bank if, after giving effect of such reduction, the conditions set forth in clauses (i) and (ii) above shall not be satisfied.</w:t>
      </w:r>
    </w:p>
    <w:p>
      <w:pPr>
        <w:spacing w:after="0" w:line="177" w:lineRule="exact"/>
        <w:rPr>
          <w:sz w:val="20"/>
          <w:szCs w:val="20"/>
          <w:color w:val="auto"/>
        </w:rPr>
      </w:pPr>
    </w:p>
    <w:p>
      <w:pPr>
        <w:jc w:val="both"/>
        <w:ind w:firstLine="1305"/>
        <w:spacing w:after="0" w:line="276" w:lineRule="auto"/>
        <w:tabs>
          <w:tab w:leader="none" w:pos="172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ten Business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the automatic renewal thereof for any period (unless the applicable Issuing Bank elects not to extend) so long as such period ends (x) at least ten Business Days prior to the Maturity Date or (y) if the Borrower shall have deposited cash collateral with the Administrative Agent to the extent required by </w:t>
      </w:r>
      <w:r>
        <w:rPr>
          <w:rFonts w:ascii="Arial" w:cs="Arial" w:eastAsia="Arial" w:hAnsi="Arial"/>
          <w:sz w:val="18"/>
          <w:szCs w:val="18"/>
          <w:u w:val="single" w:color="auto"/>
          <w:color w:val="auto"/>
        </w:rPr>
        <w:t>Section 2.9(j)</w:t>
      </w:r>
      <w:r>
        <w:rPr>
          <w:rFonts w:ascii="Arial" w:cs="Arial" w:eastAsia="Arial" w:hAnsi="Arial"/>
          <w:sz w:val="18"/>
          <w:szCs w:val="18"/>
          <w:color w:val="auto"/>
        </w:rPr>
        <w:t xml:space="preserve"> for such Letter of Credit, not later than the first anniversary of the Maturity Date.</w:t>
      </w:r>
    </w:p>
    <w:p>
      <w:pPr>
        <w:spacing w:after="0" w:line="165" w:lineRule="exact"/>
        <w:rPr>
          <w:rFonts w:ascii="Arial" w:cs="Arial" w:eastAsia="Arial" w:hAnsi="Arial"/>
          <w:sz w:val="18"/>
          <w:szCs w:val="18"/>
          <w:color w:val="auto"/>
        </w:rPr>
      </w:pPr>
    </w:p>
    <w:p>
      <w:pPr>
        <w:jc w:val="both"/>
        <w:ind w:firstLine="1305"/>
        <w:spacing w:after="0" w:line="271" w:lineRule="auto"/>
        <w:tabs>
          <w:tab w:leader="none" w:pos="170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such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or of any reimbursement payment required to be refunded to the Borrower for any reason. Each such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0" w:lineRule="exact"/>
        <w:rPr>
          <w:rFonts w:ascii="Arial" w:cs="Arial" w:eastAsia="Arial" w:hAnsi="Arial"/>
          <w:sz w:val="18"/>
          <w:szCs w:val="18"/>
          <w:color w:val="auto"/>
        </w:rPr>
      </w:pPr>
    </w:p>
    <w:p>
      <w:pPr>
        <w:jc w:val="both"/>
        <w:ind w:firstLine="1305"/>
        <w:spacing w:after="0" w:line="268" w:lineRule="auto"/>
        <w:tabs>
          <w:tab w:leader="none" w:pos="17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If any Issuing Bank shall make an LC Disbursement in respect of a Letter of Credit, then such Issuing Bank shall promptly notify the Borrower of such LC Disbursement and the Borrower shall reimburse such LC Disbursement by paying to the Administrative Agent, for the account of such Issuing Bank, an amount equal to such LC Disbursement and any accrued interest thereon (collectively,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by not later than (i) if the Borrower shall have received notice of such LC Disbursement prior to 11:00 a.m. on such date, 2:00 p.m. on such date, or (ii) otherwise, 2:00 p.m. on the Business Day immediately following the day that the Borrower receives such notice. If the Borrower fails to reimburse an Issuing Bank in full for an LC Disbursement prior to the time required pursuant to the preceding sentence, then such Issuing Bank may (and the Borrower authorizes such Issuing Bank to) request, on behalf of the Borrower by notice to the Administrative Agent (which shall promptly advise each Lender), that the Lenders fund an ABR Borrowing in an amount equal to the Unreimbursed Amount, without regard to the minimum and integral multiple requirements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and each Lender shall make its Loan as part of such ABR Borrowing (by wire transfer of immediately available funds to the account most recently designated by the Administrative Agent for such purpose by notice to the Lenders) not later than (x) if such Lender shall have received notice of such Borrowing from the Administrative Agent prior to 12:00 noon on such date, 2:00 p.m. on such date or (y) otherwise, 2:00 p.m. on the Business Day immediately following the day that such Lender receives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conditions precedent to a Borrowing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not satisfied, then the request by the Issuing Bank shall be deemed to be a request for the funding of the Lenders’ participations in such Unreimbursed Amount and the amounts made available by the Lenders to the Administrative Agent as provided above shall constitute the Lenders’ funding of their respective participations in such Unreimbursed Amount. The Administrative Agent will make the proceeds of such Loans or participations, as applicable, available to the applicable Issuing Bank by promptly crediting or otherwise transferring the amounts so received, in like funds, to such Issuing Bank for the purpose of repaying in full the LC Disbursement and all accrued interest thereon. Any Lender that fails to make the proceeds of its Loan or its participation available to the Administrative Agent in accordance with the provisions of this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shall pay interest thereon, for the account of the applicable Issuing Bank, for each day from and including the date such amount is due to but excluding the date such amount is received by the Administrative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160" w:name="page161"/>
    <w:bookmarkEnd w:id="160"/>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Agent, at the greater of the Federal Funds Effective Rate and a rate determined by the Administrative Agent in accordance with banking industry rules on interbank compensation.</w:t>
      </w:r>
    </w:p>
    <w:p>
      <w:pPr>
        <w:spacing w:after="0" w:line="177" w:lineRule="exact"/>
        <w:rPr>
          <w:sz w:val="20"/>
          <w:szCs w:val="20"/>
          <w:color w:val="auto"/>
        </w:rPr>
      </w:pPr>
    </w:p>
    <w:p>
      <w:pPr>
        <w:jc w:val="both"/>
        <w:ind w:firstLine="1305"/>
        <w:spacing w:after="0" w:line="231" w:lineRule="exact"/>
        <w:tabs>
          <w:tab w:leader="none" w:pos="174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obligations to reimburse LC Disbursements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Loan Document, or any term or provision therein, (ii) any draft or other document presented under a Letter of Credit proving to be forged, fraudulent, insufficient or invalid in any respect or any statement therein being untrue or inaccurate in any respect, (iii) payment by any Issuing Bank under a Letter of Credit against presentation of a draft or other document that does not comply with the terms of such Letter of Credit, (iv) any amendment or waiver of or any consent to departure from all or any of the provisions of any Letter of Credit or any Loan Document, (v) the existence of any claim, set</w:t>
      </w:r>
      <w:r>
        <w:rPr>
          <w:rFonts w:ascii="MS PGothic" w:cs="MS PGothic" w:eastAsia="MS PGothic" w:hAnsi="MS PGothic"/>
          <w:sz w:val="18"/>
          <w:szCs w:val="18"/>
          <w:color w:val="auto"/>
        </w:rPr>
        <w:t>‑</w:t>
      </w:r>
      <w:r>
        <w:rPr>
          <w:rFonts w:ascii="Arial" w:cs="Arial" w:eastAsia="Arial" w:hAnsi="Arial"/>
          <w:sz w:val="18"/>
          <w:szCs w:val="18"/>
          <w:color w:val="auto"/>
        </w:rPr>
        <w:t>off, defense or other right that the Borrower, any other party guaranteeing, or otherwise obligated with, such Borrower, any Subsidiary or other Affiliate thereof or any other Person may at any time have against the beneficiary under any Letter of Credit, any Credit Party or any other Person, whether in connection with this Agreement, any other Loan Document or any other related or unrelated agreement or transaction, or (vi) any other act or omission to act or delay of any kind of any Credit Party or any other Person or any other event or circumstance whatsoever, whether or not similar to any of the foregoing, that might, but for the provisions of this Section, constitute a legal or equitable discharge of, or provide a right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against, the Borrower’s obligations hereunder. Neither any Credit Party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an Issuing Bank from liability to the Borrower to the extent of any direct damages (as opposed to consequential damages, claims in respect of which are hereby waived by the Borrower to the extent permitted by applicable law) suffered by the Borrower that are caused by any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7" w:lineRule="exact"/>
        <w:rPr>
          <w:rFonts w:ascii="Arial" w:cs="Arial" w:eastAsia="Arial" w:hAnsi="Arial"/>
          <w:sz w:val="18"/>
          <w:szCs w:val="18"/>
          <w:color w:val="auto"/>
        </w:rPr>
      </w:pPr>
    </w:p>
    <w:p>
      <w:pPr>
        <w:jc w:val="both"/>
        <w:ind w:firstLine="1305"/>
        <w:spacing w:after="0" w:line="260" w:lineRule="auto"/>
        <w:tabs>
          <w:tab w:leader="none" w:pos="185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Each Issuing Bank shall promptly notify the Administrative Agent and the Borrower by telephone (confirmed by telecopy or electronic mail) of such demand for payment and whether the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the applicable Issuing Bank and the Lenders with respect to any such LC Disbursement.</w:t>
      </w:r>
    </w:p>
    <w:p>
      <w:pPr>
        <w:spacing w:after="0" w:line="180" w:lineRule="exact"/>
        <w:rPr>
          <w:rFonts w:ascii="Arial" w:cs="Arial" w:eastAsia="Arial" w:hAnsi="Arial"/>
          <w:sz w:val="19"/>
          <w:szCs w:val="19"/>
          <w:color w:val="auto"/>
        </w:rPr>
      </w:pPr>
    </w:p>
    <w:p>
      <w:pPr>
        <w:jc w:val="both"/>
        <w:ind w:firstLine="1305"/>
        <w:spacing w:after="0" w:line="274" w:lineRule="auto"/>
        <w:tabs>
          <w:tab w:leader="none" w:pos="170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then applicable to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to reimburse the applicable Issuing Bank shall be for the account of such Lender to the extent of such payment.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161" w:name="page162"/>
    <w:bookmarkEnd w:id="161"/>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ind w:firstLine="1305"/>
        <w:spacing w:after="0" w:line="256" w:lineRule="auto"/>
        <w:tabs>
          <w:tab w:leader="none" w:pos="169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Replacement and Resignation of an Issuing Bank</w:t>
      </w:r>
      <w:r>
        <w:rPr>
          <w:rFonts w:ascii="Arial" w:cs="Arial" w:eastAsia="Arial" w:hAnsi="Arial"/>
          <w:sz w:val="19"/>
          <w:szCs w:val="19"/>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9"/>
          <w:szCs w:val="19"/>
          <w:u w:val="single" w:color="auto"/>
          <w:color w:val="auto"/>
        </w:rPr>
        <w:t>Section 3.3(b)</w:t>
      </w:r>
      <w:r>
        <w:rPr>
          <w:rFonts w:ascii="Arial" w:cs="Arial" w:eastAsia="Arial" w:hAnsi="Arial"/>
          <w:sz w:val="19"/>
          <w:szCs w:val="19"/>
          <w:color w:val="auto"/>
        </w:rPr>
        <w:t>. From and after the effective date of any such replacement, (x) the successor Issuing Bank shall have all the rights and obligations of Issuing Banks under this Agreement with respect to Letters of Credit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1" w:lineRule="exact"/>
        <w:rPr>
          <w:rFonts w:ascii="Arial" w:cs="Arial" w:eastAsia="Arial" w:hAnsi="Arial"/>
          <w:sz w:val="19"/>
          <w:szCs w:val="19"/>
          <w:color w:val="auto"/>
        </w:rPr>
      </w:pPr>
    </w:p>
    <w:p>
      <w:pPr>
        <w:jc w:val="both"/>
        <w:ind w:left="660" w:firstLine="645"/>
        <w:spacing w:after="0" w:line="250" w:lineRule="auto"/>
        <w:tabs>
          <w:tab w:leader="none" w:pos="1602"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Subject to the appointment and acceptance of a successor Issuing Bank, any Issuing Bank may resign as an Issuing Bank at any time upon 30 days’ prior written notice to the Administrative Agent, the Borrower and the Lenders, in which case, such resigning Issuing Bank shall be replaced in accordance with Section 2.9(i) above.</w:t>
      </w:r>
    </w:p>
    <w:p>
      <w:pPr>
        <w:spacing w:after="0" w:line="186" w:lineRule="exact"/>
        <w:rPr>
          <w:sz w:val="20"/>
          <w:szCs w:val="20"/>
          <w:color w:val="auto"/>
        </w:rPr>
      </w:pPr>
    </w:p>
    <w:p>
      <w:pPr>
        <w:jc w:val="both"/>
        <w:ind w:firstLine="1305"/>
        <w:spacing w:after="0" w:line="268" w:lineRule="auto"/>
        <w:tabs>
          <w:tab w:leader="none" w:pos="16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In the event that (i) an Event of Default shall occur and be continuing or (ii) any Letter of Credit has an expiry date on or after the tenth Business Day prior to the Maturity Date (or any LC Disbursements remain unreimbursed on or after such date), the Borrower shall deposit with the Administrative Agent in immediately available funds on the Business Day on which it receives notice from the Administrative Agent or Required Lenders demanding the deposit of cash collateral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no later than the tenth Business Day prior to the Maturity Date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an amount equal to the Required Deposit Amount, which amount shall be held by the Administrative Agent for the benefit of the Lenders as cash collateral pursuant to a cash collateral agreement in form and substance satisfactory to the Administrative Agent and the applicable Issuing Banks to secure the Borrower’s reimbursement obligations with respect to LC Disbursements; provided that the obligation to deposit such cash collateral shall become effective immediately, and such deposit shall become immediately due and payable, without demand or other notice of any kind, upon the occurrence of any Event of Default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Such deposit shall not bear interest, nor shall the Administrative Agent be under any obligation whatsoever to invest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request of the Borrower, such deposit shall be invested by the Administrative Agent in direct short term obligations of, or short term obligations the principal of and interest on which are unconditionally guaranteed by, the United States of America, in each case maturing no later than the expiry date of the Letter of Credit giving rise to the relevant LC Exposure.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Required Lenders),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cash collateral hereunder as a result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sentence of this paragraph, the amount thereof (to the extent not applied as aforesaid) shall be returned to the Borrower when the LC Exposure is zero and all applicable Letters of Credit shall have been returned to the applicable Issuing Banks and shall have been cancelled.</w:t>
      </w:r>
    </w:p>
    <w:p>
      <w:pPr>
        <w:spacing w:after="0" w:line="179" w:lineRule="exact"/>
        <w:rPr>
          <w:rFonts w:ascii="Arial" w:cs="Arial" w:eastAsia="Arial" w:hAnsi="Arial"/>
          <w:sz w:val="18"/>
          <w:szCs w:val="18"/>
          <w:color w:val="auto"/>
        </w:rPr>
      </w:pPr>
    </w:p>
    <w:p>
      <w:pPr>
        <w:ind w:firstLine="1305"/>
        <w:spacing w:after="0" w:line="260" w:lineRule="auto"/>
        <w:tabs>
          <w:tab w:leader="none" w:pos="1761"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Notwithstanding any provision of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to the contrary, if any Lender becomes a Defaulting Lender, then the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apply for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6"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ind w:left="660"/>
        <w:spacing w:after="0" w:line="230" w:lineRule="exact"/>
        <w:tabs>
          <w:tab w:leader="none" w:pos="186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Payments Generally; Pro Rata Treatment; Sharing of Set</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offs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32" w:lineRule="exact"/>
        <w:tabs>
          <w:tab w:leader="none" w:pos="171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or under any other Loan Document (whether of principal of Loans, LC Disbursements, interest or fees, or of amounts payable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or otherwise) prior to 1:00 p.m. on the date when due, in immediately available funds, without set</w:t>
      </w:r>
      <w:r>
        <w:rPr>
          <w:rFonts w:ascii="MS PGothic" w:cs="MS PGothic" w:eastAsia="MS PGothic" w:hAnsi="MS PGothic"/>
          <w:sz w:val="18"/>
          <w:szCs w:val="18"/>
          <w:color w:val="auto"/>
        </w:rPr>
        <w:t>‑</w:t>
      </w:r>
      <w:r>
        <w:rPr>
          <w:rFonts w:ascii="Arial" w:cs="Arial" w:eastAsia="Arial" w:hAnsi="Arial"/>
          <w:sz w:val="18"/>
          <w:szCs w:val="18"/>
          <w:color w:val="auto"/>
        </w:rPr>
        <w:t xml:space="preserve">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 the Administrative Agent may notify the other parties hereto, except that payments pursuant to </w:t>
      </w:r>
      <w:r>
        <w:rPr>
          <w:rFonts w:ascii="Arial" w:cs="Arial" w:eastAsia="Arial" w:hAnsi="Arial"/>
          <w:sz w:val="18"/>
          <w:szCs w:val="18"/>
          <w:u w:val="single" w:color="auto"/>
          <w:color w:val="auto"/>
        </w:rPr>
        <w:t>Sections 3.3(b)</w:t>
      </w:r>
      <w:r>
        <w:rPr>
          <w:rFonts w:ascii="Arial" w:cs="Arial" w:eastAsia="Arial" w:hAnsi="Arial"/>
          <w:sz w:val="18"/>
          <w:szCs w:val="18"/>
          <w:color w:val="auto"/>
        </w:rPr>
        <w:t xml:space="preserve"> (with respect to the fronting fee and other amounts payable to the Issuing Banks), </w:t>
      </w:r>
      <w:r>
        <w:rPr>
          <w:rFonts w:ascii="Arial" w:cs="Arial" w:eastAsia="Arial" w:hAnsi="Arial"/>
          <w:sz w:val="18"/>
          <w:szCs w:val="18"/>
          <w:u w:val="single" w:color="auto"/>
          <w:color w:val="auto"/>
        </w:rPr>
        <w:t>3.3(c)</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9" w:lineRule="exact"/>
        <w:rPr>
          <w:rFonts w:ascii="Arial" w:cs="Arial" w:eastAsia="Arial" w:hAnsi="Arial"/>
          <w:sz w:val="18"/>
          <w:szCs w:val="18"/>
          <w:color w:val="auto"/>
        </w:rPr>
      </w:pPr>
    </w:p>
    <w:p>
      <w:pPr>
        <w:jc w:val="both"/>
        <w:ind w:firstLine="1305"/>
        <w:spacing w:after="0" w:line="271" w:lineRule="auto"/>
        <w:tabs>
          <w:tab w:leader="none" w:pos="17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Borrowing, each payment or prepayment of principal of any Borrowing, each payment of interest on the Loans, each payment of fees, each reduction of the Commitments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 If at any time insufficient funds are received by and available to the Administrative Agent to pay fully all amounts of principal of Loans, unreimbursed LC Disbursements, interest, fees and commissions then due hereunder, such funds shall be applied (i) first, towards payment of interest, fees and commissions then due hereunder, ratably among the parties entitled thereto in accordance with the amounts of interest, fees and commissions then due to such parties and (ii) second, towards payment of principal of Loans and unreimbursed LC Disbursements then due hereunder, ratably among the parties entitled thereto in accordance with the amounts of principal of Loans and unreimbursed LC Disbursements then due to such parties.</w:t>
      </w:r>
    </w:p>
    <w:p>
      <w:pPr>
        <w:spacing w:after="0" w:line="170" w:lineRule="exact"/>
        <w:rPr>
          <w:rFonts w:ascii="Arial" w:cs="Arial" w:eastAsia="Arial" w:hAnsi="Arial"/>
          <w:sz w:val="18"/>
          <w:szCs w:val="18"/>
          <w:color w:val="auto"/>
        </w:rPr>
      </w:pPr>
    </w:p>
    <w:p>
      <w:pPr>
        <w:jc w:val="both"/>
        <w:ind w:firstLine="1305"/>
        <w:spacing w:after="0" w:line="232" w:lineRule="exact"/>
        <w:tabs>
          <w:tab w:leader="none" w:pos="17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any Lender shall, by exercising any right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3" w:lineRule="exact"/>
        <w:rPr>
          <w:rFonts w:ascii="Arial" w:cs="Arial" w:eastAsia="Arial" w:hAnsi="Arial"/>
          <w:sz w:val="18"/>
          <w:szCs w:val="18"/>
          <w:color w:val="auto"/>
        </w:rPr>
      </w:pPr>
    </w:p>
    <w:p>
      <w:pPr>
        <w:jc w:val="both"/>
        <w:ind w:firstLine="8"/>
        <w:spacing w:after="0" w:line="230" w:lineRule="exact"/>
        <w:tabs>
          <w:tab w:leader="none" w:pos="30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w:t>
      </w:r>
      <w:r>
        <w:rPr>
          <w:rFonts w:ascii="MS PGothic" w:cs="MS PGothic" w:eastAsia="MS PGothic" w:hAnsi="MS PGothic"/>
          <w:sz w:val="20"/>
          <w:szCs w:val="20"/>
          <w:color w:val="auto"/>
        </w:rPr>
        <w:t>‑</w:t>
      </w:r>
      <w:r>
        <w:rPr>
          <w:rFonts w:ascii="Arial" w:cs="Arial" w:eastAsia="Arial" w:hAnsi="Arial"/>
          <w:sz w:val="20"/>
          <w:szCs w:val="20"/>
          <w:color w:val="auto"/>
        </w:rPr>
        <w: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57" w:lineRule="auto"/>
        <w:tabs>
          <w:tab w:leader="none" w:pos="1721" w:val="left"/>
        </w:tabs>
        <w:numPr>
          <w:ilvl w:val="0"/>
          <w:numId w:val="7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applicable Credit Parties hereunder that the Borrower will not make such payment, the Administrative Agent may assume that the Borrower has made such payment on such date in accordance herewith and may, in reliance upon such assumption, distribute to such Credit Parties the amount due. In such event, if the Borrower has not in fact made such payment, then each such Credit Party severally agrees to repay to the Administrative Agent forthwith on demand the amount so distributed to such Credit Party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1" w:lineRule="exact"/>
        <w:rPr>
          <w:rFonts w:ascii="Arial" w:cs="Arial" w:eastAsia="Arial" w:hAnsi="Arial"/>
          <w:sz w:val="19"/>
          <w:szCs w:val="19"/>
          <w:color w:val="auto"/>
        </w:rPr>
      </w:pPr>
    </w:p>
    <w:p>
      <w:pPr>
        <w:jc w:val="both"/>
        <w:ind w:firstLine="1305"/>
        <w:spacing w:after="0" w:line="258" w:lineRule="auto"/>
        <w:tabs>
          <w:tab w:leader="none" w:pos="169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If any Credit Party shall fail to make any payment required to be made by it pursuant to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2.10(d)</w:t>
      </w:r>
      <w:r>
        <w:rPr>
          <w:rFonts w:ascii="Arial" w:cs="Arial" w:eastAsia="Arial" w:hAnsi="Arial"/>
          <w:sz w:val="19"/>
          <w:szCs w:val="19"/>
          <w:color w:val="auto"/>
        </w:rPr>
        <w:t xml:space="preserve">, then the Administrative Agent may, in its discretion (notwithstanding any contrary provision hereof), (i) apply any amounts thereafter received by the Administrative Agent for the account of such Credit Party to satisfy such Credit Party’s obligations under such Sections until all such unsatisfied obligations are fully paid and (ii) hold any such amounts in a segregated account as cash collateral for, and application to, any future funding obligations of such Lender under such Sections; in the case of each of (i) and (ii) above, in any order as determined by the Administrative Agent in its discretion. Notwithstanding any provision of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the contrary, if any Lender becomes a Defaulting Lender, then the provisions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apply for so long as such Lender is a Defaulting Lender.</w:t>
      </w:r>
    </w:p>
    <w:p>
      <w:pPr>
        <w:spacing w:after="0" w:line="17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200"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(a)</w:t>
        <w:tab/>
        <w:t xml:space="preserve">Fees pursuant to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cease to accrue on the unfunded portion of the Commitment of such Defaulting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ind w:left="1720" w:hanging="415"/>
        <w:spacing w:after="0"/>
        <w:tabs>
          <w:tab w:leader="none" w:pos="17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any LC Exposure exists at the time a Lender becomes a Defaulting Lender then:</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355"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All or any part of such LC Exposure shall be reallocated among the non-Defaulting Lenders in accordance with their respective Applicable Percentages but only to the extent (x) the sum of all non-Defaulting Lenders’ Credit Exposures plus such Defaulting Lender’s LC Exposure does not exceed the total of all non-Defaulting Lenders’ Commitments and (y) the conditions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are satisfied at such time;</w:t>
      </w:r>
    </w:p>
    <w:p>
      <w:pPr>
        <w:spacing w:after="0" w:line="191" w:lineRule="exact"/>
        <w:rPr>
          <w:rFonts w:ascii="Arial" w:cs="Arial" w:eastAsia="Arial" w:hAnsi="Arial"/>
          <w:sz w:val="20"/>
          <w:szCs w:val="20"/>
          <w:color w:val="auto"/>
        </w:rPr>
      </w:pPr>
    </w:p>
    <w:p>
      <w:pPr>
        <w:jc w:val="both"/>
        <w:ind w:left="1300" w:firstLine="653"/>
        <w:spacing w:after="0" w:line="246" w:lineRule="auto"/>
        <w:tabs>
          <w:tab w:leader="none" w:pos="2464"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cannot, or can only partially, be effected, the Borrower shall within two Business Days following notice by the Administrative Agent cash collateralize such Defaulting Lender’s LC Exposure (after giving effect to any partial reallocation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in accordance with the procedures set forth in </w:t>
      </w:r>
      <w:r>
        <w:rPr>
          <w:rFonts w:ascii="Arial" w:cs="Arial" w:eastAsia="Arial" w:hAnsi="Arial"/>
          <w:sz w:val="20"/>
          <w:szCs w:val="20"/>
          <w:u w:val="single" w:color="auto"/>
          <w:color w:val="auto"/>
        </w:rPr>
        <w:t>Section 2.9(j)</w:t>
      </w:r>
      <w:r>
        <w:rPr>
          <w:rFonts w:ascii="Arial" w:cs="Arial" w:eastAsia="Arial" w:hAnsi="Arial"/>
          <w:sz w:val="20"/>
          <w:szCs w:val="20"/>
          <w:color w:val="auto"/>
        </w:rPr>
        <w:t xml:space="preserve"> for so long as such LC Exposure is outstanding;</w:t>
      </w:r>
    </w:p>
    <w:p>
      <w:pPr>
        <w:spacing w:after="0" w:line="191" w:lineRule="exact"/>
        <w:rPr>
          <w:rFonts w:ascii="Arial" w:cs="Arial" w:eastAsia="Arial" w:hAnsi="Arial"/>
          <w:sz w:val="20"/>
          <w:szCs w:val="20"/>
          <w:color w:val="auto"/>
        </w:rPr>
      </w:pPr>
    </w:p>
    <w:p>
      <w:pPr>
        <w:jc w:val="both"/>
        <w:ind w:left="1300" w:firstLine="653"/>
        <w:spacing w:after="0" w:line="291" w:lineRule="auto"/>
        <w:tabs>
          <w:tab w:leader="none" w:pos="24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If the Borrower cash collateralizes any portion of such Defaulting Lender’s LC Exposure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w:t>
      </w:r>
      <w:r>
        <w:rPr>
          <w:rFonts w:ascii="Arial" w:cs="Arial" w:eastAsia="Arial" w:hAnsi="Arial"/>
          <w:sz w:val="18"/>
          <w:szCs w:val="18"/>
          <w:color w:val="auto"/>
        </w:rPr>
        <w:t xml:space="preserve">, the Borrower shall not be required to pay any fees to such Defaulting Lender pursuant to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151" w:lineRule="exact"/>
        <w:rPr>
          <w:rFonts w:ascii="Arial" w:cs="Arial" w:eastAsia="Arial" w:hAnsi="Arial"/>
          <w:sz w:val="18"/>
          <w:szCs w:val="18"/>
          <w:color w:val="auto"/>
        </w:rPr>
      </w:pPr>
    </w:p>
    <w:p>
      <w:pPr>
        <w:jc w:val="both"/>
        <w:ind w:left="1300" w:right="20" w:firstLine="653"/>
        <w:spacing w:after="0" w:line="250" w:lineRule="auto"/>
        <w:tabs>
          <w:tab w:leader="none" w:pos="2468"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If the LC Exposure of the non-Defaulting Lenders is reallocated pursuant to this </w:t>
      </w:r>
      <w:r>
        <w:rPr>
          <w:rFonts w:ascii="Arial" w:cs="Arial" w:eastAsia="Arial" w:hAnsi="Arial"/>
          <w:sz w:val="20"/>
          <w:szCs w:val="20"/>
          <w:u w:val="single" w:color="auto"/>
          <w:color w:val="auto"/>
        </w:rPr>
        <w:t>Section 2.11(b)</w:t>
      </w:r>
      <w:r>
        <w:rPr>
          <w:rFonts w:ascii="Arial" w:cs="Arial" w:eastAsia="Arial" w:hAnsi="Arial"/>
          <w:sz w:val="20"/>
          <w:szCs w:val="20"/>
          <w:color w:val="auto"/>
        </w:rPr>
        <w:t xml:space="preserve">, then the fees payable to the Lenders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3.3(b)</w:t>
      </w:r>
      <w:r>
        <w:rPr>
          <w:rFonts w:ascii="Arial" w:cs="Arial" w:eastAsia="Arial" w:hAnsi="Arial"/>
          <w:sz w:val="20"/>
          <w:szCs w:val="20"/>
          <w:color w:val="auto"/>
        </w:rPr>
        <w:t xml:space="preserve"> shall be adjusted in accordance with such non-Defaulting Lenders’ Applicable Percentages;</w:t>
      </w:r>
    </w:p>
    <w:p>
      <w:pPr>
        <w:spacing w:after="0" w:line="186" w:lineRule="exact"/>
        <w:rPr>
          <w:rFonts w:ascii="Arial" w:cs="Arial" w:eastAsia="Arial" w:hAnsi="Arial"/>
          <w:sz w:val="20"/>
          <w:szCs w:val="20"/>
          <w:color w:val="auto"/>
        </w:rPr>
      </w:pPr>
    </w:p>
    <w:p>
      <w:pPr>
        <w:jc w:val="both"/>
        <w:ind w:left="1300" w:firstLine="653"/>
        <w:spacing w:after="0" w:line="246" w:lineRule="auto"/>
        <w:tabs>
          <w:tab w:leader="none" w:pos="24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If any Defaulting Lender’s LC Exposure is neither cash collateralized nor reallocated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2.11(b)</w:t>
      </w:r>
      <w:r>
        <w:rPr>
          <w:rFonts w:ascii="Arial" w:cs="Arial" w:eastAsia="Arial" w:hAnsi="Arial"/>
          <w:sz w:val="20"/>
          <w:szCs w:val="20"/>
          <w:color w:val="auto"/>
        </w:rPr>
        <w:t xml:space="preserve">, then, without prejudice to any rights or remedies of the Issuing Banks or any Lender hereunder, all letter of credit fees payable under </w:t>
      </w:r>
      <w:r>
        <w:rPr>
          <w:rFonts w:ascii="Arial" w:cs="Arial" w:eastAsia="Arial" w:hAnsi="Arial"/>
          <w:sz w:val="20"/>
          <w:szCs w:val="20"/>
          <w:u w:val="single" w:color="auto"/>
          <w:color w:val="auto"/>
        </w:rPr>
        <w:t>Section 3.3(b)</w:t>
      </w:r>
      <w:r>
        <w:rPr>
          <w:rFonts w:ascii="Arial" w:cs="Arial" w:eastAsia="Arial" w:hAnsi="Arial"/>
          <w:sz w:val="20"/>
          <w:szCs w:val="20"/>
          <w:color w:val="auto"/>
        </w:rPr>
        <w:t xml:space="preserve"> with respect to such Defaulting Lender’s LC Exposure shall be payable to the applicable Issuing Banks until such LC Exposure is cash collateralized and/or reallocated;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300" w:firstLine="653"/>
        <w:spacing w:after="0" w:line="260" w:lineRule="auto"/>
        <w:tabs>
          <w:tab w:leader="none" w:pos="2522"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and so long as any Lender is a Defaulting Lender, no Issuing Bank shall be required to issue, amend or increase any Letter of Credit, unless it is satisfied that the related exposure will be 100% covered by the Commitments of the non-Defaulting Lenders or cash collateral will be provided by the Borrower in accordance with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and participating interests in any such newly issued or increased Letter of Credit shall be allocated among non-Defaulting Lenders in a manner consistent with </w:t>
      </w:r>
      <w:r>
        <w:rPr>
          <w:rFonts w:ascii="Arial" w:cs="Arial" w:eastAsia="Arial" w:hAnsi="Arial"/>
          <w:sz w:val="19"/>
          <w:szCs w:val="19"/>
          <w:u w:val="single" w:color="auto"/>
          <w:color w:val="auto"/>
        </w:rPr>
        <w:t>Section 2.11(b)(i)</w:t>
      </w:r>
      <w:r>
        <w:rPr>
          <w:rFonts w:ascii="Arial" w:cs="Arial" w:eastAsia="Arial" w:hAnsi="Arial"/>
          <w:sz w:val="19"/>
          <w:szCs w:val="19"/>
          <w:color w:val="auto"/>
        </w:rPr>
        <w:t xml:space="preserve"> (and Defaulting Lenders shall not participate therein).</w:t>
      </w:r>
    </w:p>
    <w:p>
      <w:pPr>
        <w:spacing w:after="0" w:line="180" w:lineRule="exact"/>
        <w:rPr>
          <w:rFonts w:ascii="Arial" w:cs="Arial" w:eastAsia="Arial" w:hAnsi="Arial"/>
          <w:sz w:val="19"/>
          <w:szCs w:val="19"/>
          <w:color w:val="auto"/>
        </w:rPr>
      </w:pPr>
    </w:p>
    <w:p>
      <w:pPr>
        <w:jc w:val="both"/>
        <w:ind w:firstLine="1305"/>
        <w:spacing w:after="0" w:line="276" w:lineRule="auto"/>
        <w:tabs>
          <w:tab w:leader="none" w:pos="18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Commitments and Credit Exposure of such Defaulting Lender shall not be included in determining whether all Lenders or the Required Lenders have voted or taken or may take any action hereunder (including any consent to any amendment, modification or waiver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waiver, amendment or modification requiring the consent of all Lenders or each affected Lender which affects such Defaulting Lender differently than other affected Lenders shall require the consent of such Defaulting Lender and (ii) 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165" w:lineRule="exact"/>
        <w:rPr>
          <w:rFonts w:ascii="Arial" w:cs="Arial" w:eastAsia="Arial" w:hAnsi="Arial"/>
          <w:sz w:val="18"/>
          <w:szCs w:val="18"/>
          <w:color w:val="auto"/>
        </w:rPr>
      </w:pPr>
    </w:p>
    <w:p>
      <w:pPr>
        <w:jc w:val="both"/>
        <w:ind w:firstLine="1305"/>
        <w:spacing w:after="0" w:line="243" w:lineRule="auto"/>
        <w:tabs>
          <w:tab w:leader="none" w:pos="1815"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the event that the Administrative Agent, the Borrower and each Issuing Bank agree that a Defaulting Lender has adequately remedied all matters that caused such Lender to be a Defaulting Lender, then the LC Exposure of the Lenders shall be readjusted to reflect the inclusion of such Lender’s Commitments and on such date such Lender shall purchase at par such of the Loans of the other Lenders as the Administrative Agent shall determine may be necessary in order for such Lender to hold such Loans in accordance with its Applicable Percentage, and all cash collateral and accrued interest thereon held by the Administrative Agent or the applicable Issuing Banks shall be returned to the Borrower forthwith.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INTEREST, FEES, YIELD PROTECTION, ETC.</w:t>
      </w:r>
    </w:p>
    <w:p>
      <w:pPr>
        <w:spacing w:after="0" w:line="21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0" w:lineRule="auto"/>
        <w:tabs>
          <w:tab w:leader="none" w:pos="1750"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The Loans comprising each ABR Borrowing shall bear interest at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The Loans comprising each Eurodollar Borrowing shall bear interest at the Adjusted LIBO Rate for the Interest Period in effect for such Borrowing plus the Applicable Margin.</w:t>
      </w:r>
    </w:p>
    <w:p>
      <w:pPr>
        <w:spacing w:after="0" w:line="186" w:lineRule="exact"/>
        <w:rPr>
          <w:rFonts w:ascii="Arial" w:cs="Arial" w:eastAsia="Arial" w:hAnsi="Arial"/>
          <w:sz w:val="20"/>
          <w:szCs w:val="20"/>
          <w:color w:val="auto"/>
        </w:rPr>
      </w:pPr>
    </w:p>
    <w:p>
      <w:pPr>
        <w:jc w:val="both"/>
        <w:ind w:firstLine="1305"/>
        <w:spacing w:after="0" w:line="304" w:lineRule="auto"/>
        <w:tabs>
          <w:tab w:leader="none" w:pos="1707"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any reimbursement obligation in respect of any LC Disbursement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(i) in the case of overdue principal of any Loan, 2% plus the rate otherwise applicable to such Loan as provided in the preceding paragraph of this Section or</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 the case of any other amount,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ABR Borrowings as provided in the preceding paragraph of this Section.</w:t>
      </w:r>
    </w:p>
    <w:p>
      <w:pPr>
        <w:spacing w:after="0" w:line="222" w:lineRule="exact"/>
        <w:rPr>
          <w:rFonts w:ascii="Arial" w:cs="Arial" w:eastAsia="Arial" w:hAnsi="Arial"/>
          <w:sz w:val="18"/>
          <w:szCs w:val="18"/>
          <w:color w:val="auto"/>
        </w:rPr>
      </w:pPr>
    </w:p>
    <w:p>
      <w:pPr>
        <w:jc w:val="both"/>
        <w:ind w:firstLine="1305"/>
        <w:spacing w:after="0" w:line="244" w:lineRule="auto"/>
        <w:tabs>
          <w:tab w:leader="none" w:pos="1723"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Accrued interest on each Loan shall be payable in arrears on each Interest Payment Date for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74" w:lineRule="auto"/>
        <w:tabs>
          <w:tab w:leader="none" w:pos="17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clearly demonstrable error. The Administrative Agent shall, as soon as practicable, notify the Borrower and the Lenders of the effective date and the amount of each change in the Prime Rate or ABR, but any failure to so notify shall not in any manner affect the obligation of the Borrower to pay interest on the Loans in the amounts and on the dates required.</w:t>
      </w:r>
    </w:p>
    <w:p>
      <w:pPr>
        <w:spacing w:after="0" w:line="16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Interest Elections Relating to Borrowings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737"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Borrowing initially shall be of the Type specified in the applicable Credit Request and, in the case of a Eurodollar Borrowing, shall have an initial Interest Period as specified in such Credit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6" w:lineRule="exact"/>
        <w:rPr>
          <w:rFonts w:ascii="Arial" w:cs="Arial" w:eastAsia="Arial" w:hAnsi="Arial"/>
          <w:sz w:val="20"/>
          <w:szCs w:val="20"/>
          <w:color w:val="auto"/>
        </w:rPr>
      </w:pPr>
    </w:p>
    <w:p>
      <w:pPr>
        <w:jc w:val="both"/>
        <w:ind w:firstLine="1305"/>
        <w:spacing w:after="0" w:line="291" w:lineRule="auto"/>
        <w:tabs>
          <w:tab w:leader="none" w:pos="17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to the Administrative Agent a signed Interest Election Request in a form approved by the Administrative Agent by the time that a Credit Request would be required under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if the Borrower were requesting a Borrowing of the Type resulting from such election to be made on the effective date of such election.</w:t>
      </w:r>
    </w:p>
    <w:p>
      <w:pPr>
        <w:spacing w:after="0" w:line="151" w:lineRule="exact"/>
        <w:rPr>
          <w:rFonts w:ascii="Arial" w:cs="Arial" w:eastAsia="Arial" w:hAnsi="Arial"/>
          <w:sz w:val="18"/>
          <w:szCs w:val="18"/>
          <w:color w:val="auto"/>
        </w:rPr>
      </w:pPr>
    </w:p>
    <w:p>
      <w:pPr>
        <w:ind w:firstLine="1305"/>
        <w:spacing w:after="0" w:line="260" w:lineRule="auto"/>
        <w:tabs>
          <w:tab w:leader="none" w:pos="1737"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Each such Interest Election Request shall be irrevocable (except as otherwise provided in </w:t>
      </w:r>
      <w:r>
        <w:rPr>
          <w:rFonts w:ascii="Arial" w:cs="Arial" w:eastAsia="Arial" w:hAnsi="Arial"/>
          <w:sz w:val="20"/>
          <w:szCs w:val="20"/>
          <w:u w:val="single" w:color="auto"/>
          <w:color w:val="auto"/>
        </w:rPr>
        <w:t>Section 3.4</w:t>
      </w:r>
      <w:r>
        <w:rPr>
          <w:rFonts w:ascii="Arial" w:cs="Arial" w:eastAsia="Arial" w:hAnsi="Arial"/>
          <w:sz w:val="20"/>
          <w:szCs w:val="20"/>
          <w:color w:val="auto"/>
        </w:rPr>
        <w:t>) and shall specify the following information:</w:t>
      </w:r>
    </w:p>
    <w:p>
      <w:pPr>
        <w:spacing w:after="0" w:line="176" w:lineRule="exact"/>
        <w:rPr>
          <w:rFonts w:ascii="Arial" w:cs="Arial" w:eastAsia="Arial" w:hAnsi="Arial"/>
          <w:sz w:val="20"/>
          <w:szCs w:val="20"/>
          <w:color w:val="auto"/>
        </w:rPr>
      </w:pPr>
    </w:p>
    <w:p>
      <w:pPr>
        <w:jc w:val="both"/>
        <w:ind w:left="1300" w:firstLine="653"/>
        <w:spacing w:after="0" w:line="291" w:lineRule="auto"/>
        <w:tabs>
          <w:tab w:leader="none" w:pos="2396"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151" w:lineRule="exact"/>
        <w:rPr>
          <w:rFonts w:ascii="Arial" w:cs="Arial" w:eastAsia="Arial" w:hAnsi="Arial"/>
          <w:sz w:val="18"/>
          <w:szCs w:val="18"/>
          <w:color w:val="auto"/>
        </w:rPr>
      </w:pPr>
    </w:p>
    <w:p>
      <w:pPr>
        <w:ind w:left="2380" w:hanging="427"/>
        <w:spacing w:after="0"/>
        <w:tabs>
          <w:tab w:leader="none" w:pos="23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261" w:lineRule="exact"/>
        <w:rPr>
          <w:rFonts w:ascii="Arial" w:cs="Arial" w:eastAsia="Arial" w:hAnsi="Arial"/>
          <w:sz w:val="16"/>
          <w:szCs w:val="16"/>
          <w:color w:val="auto"/>
        </w:rPr>
      </w:pPr>
    </w:p>
    <w:p>
      <w:pPr>
        <w:ind w:left="2420" w:hanging="467"/>
        <w:spacing w:after="0"/>
        <w:tabs>
          <w:tab w:leader="none" w:pos="2420" w:val="left"/>
        </w:tabs>
        <w:numPr>
          <w:ilvl w:val="1"/>
          <w:numId w:val="80"/>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15" w:lineRule="exact"/>
        <w:rPr>
          <w:rFonts w:ascii="Arial" w:cs="Arial" w:eastAsia="Arial" w:hAnsi="Arial"/>
          <w:sz w:val="20"/>
          <w:szCs w:val="20"/>
          <w:color w:val="auto"/>
        </w:rPr>
      </w:pPr>
    </w:p>
    <w:p>
      <w:pPr>
        <w:ind w:left="1300" w:firstLine="653"/>
        <w:spacing w:after="0" w:line="260" w:lineRule="auto"/>
        <w:tabs>
          <w:tab w:leader="none" w:pos="2481" w:val="left"/>
        </w:tabs>
        <w:numPr>
          <w:ilvl w:val="1"/>
          <w:numId w:val="80"/>
        </w:numPr>
        <w:rPr>
          <w:rFonts w:ascii="Arial" w:cs="Arial" w:eastAsia="Arial" w:hAnsi="Arial"/>
          <w:sz w:val="20"/>
          <w:szCs w:val="20"/>
          <w:color w:val="auto"/>
        </w:rPr>
      </w:pPr>
      <w:r>
        <w:rPr>
          <w:rFonts w:ascii="Arial" w:cs="Arial" w:eastAsia="Arial" w:hAnsi="Arial"/>
          <w:sz w:val="20"/>
          <w:szCs w:val="20"/>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77" w:lineRule="exact"/>
        <w:rPr>
          <w:sz w:val="20"/>
          <w:szCs w:val="20"/>
          <w:color w:val="auto"/>
        </w:rPr>
      </w:pPr>
    </w:p>
    <w:p>
      <w:pPr>
        <w:ind w:firstLine="1305"/>
        <w:spacing w:after="0" w:line="260" w:lineRule="auto"/>
        <w:tabs>
          <w:tab w:leader="none" w:pos="1788" w:val="left"/>
        </w:tabs>
        <w:numPr>
          <w:ilvl w:val="0"/>
          <w:numId w:val="8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59" w:lineRule="auto"/>
        <w:tabs>
          <w:tab w:leader="none" w:pos="1696"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7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jc w:val="both"/>
        <w:ind w:firstLine="1305"/>
        <w:spacing w:after="0" w:line="271" w:lineRule="auto"/>
        <w:tabs>
          <w:tab w:leader="none" w:pos="17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for the account of each Lender, a facility fee, which shall accrue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Applicable Margin on the daily amount of the Commitment of such Lender (regardless of usage) during the period from and including the date on which this Agreement becomes effective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to but excluding the date on which such Commitment terminates;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Lender continues to have any Credit Exposure after its Commitment terminates, then such facility fee shall continue to accrue on the daily amount of such Lender’s Credit Exposure from and including the date on which such Lender’s Commitment terminates to but excluding the date on which such Lender ceases to have any Credit Exposure. Accrued facility fees shall be payable in arrears on the last day of March, June, September and December of each year, each date on which the Commitments are permanently reduced and on the date on which the Commitments terminate,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unpaid facility fees shall be payable on the date on which the Commitments terminate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facility fees which accrue after the Commitments terminate shall be payable on demand. All facility fees shall be computed on the basis of a year of 360 days and shall be payable for the actual number of days elapsed (including the first day but excluding the last day).</w:t>
      </w:r>
    </w:p>
    <w:p>
      <w:pPr>
        <w:spacing w:after="0" w:line="170" w:lineRule="exact"/>
        <w:rPr>
          <w:rFonts w:ascii="Arial" w:cs="Arial" w:eastAsia="Arial" w:hAnsi="Arial"/>
          <w:sz w:val="18"/>
          <w:szCs w:val="18"/>
          <w:color w:val="auto"/>
        </w:rPr>
      </w:pPr>
    </w:p>
    <w:p>
      <w:pPr>
        <w:jc w:val="both"/>
        <w:ind w:firstLine="1305"/>
        <w:spacing w:after="0" w:line="254" w:lineRule="auto"/>
        <w:tabs>
          <w:tab w:leader="none" w:pos="1707"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Lender a participation fee with respect to its participations in Letters of Credit, which shall accrue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Applicable Margin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or rates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separately agreed upon between the Borrower and each Issuing Bank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Accrued participation fees and fronting fees shall be payable in arrears on the last day of March, June, September and December of each year,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days after demand. All participation fees and fronting fees shall be computed on the basis of a year of 360 days and shall be payable for the actual number of days elapsed (including the first day but excluding the last day).</w:t>
      </w:r>
    </w:p>
    <w:p>
      <w:pPr>
        <w:spacing w:after="0" w:line="191" w:lineRule="exact"/>
        <w:rPr>
          <w:rFonts w:ascii="Arial" w:cs="Arial" w:eastAsia="Arial" w:hAnsi="Arial"/>
          <w:sz w:val="19"/>
          <w:szCs w:val="19"/>
          <w:color w:val="auto"/>
        </w:rPr>
      </w:pPr>
    </w:p>
    <w:p>
      <w:pPr>
        <w:ind w:firstLine="1305"/>
        <w:spacing w:after="0" w:line="260" w:lineRule="auto"/>
        <w:tabs>
          <w:tab w:leader="none" w:pos="171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Borrower agrees to pay to each Credit Party, for its own account, fees and other amounts payable in the amounts and at the times separately agreed upon in writing between the Borrower and such Credit Party.</w:t>
      </w:r>
    </w:p>
    <w:p>
      <w:pPr>
        <w:spacing w:after="0" w:line="176" w:lineRule="exact"/>
        <w:rPr>
          <w:rFonts w:ascii="Arial" w:cs="Arial" w:eastAsia="Arial" w:hAnsi="Arial"/>
          <w:sz w:val="20"/>
          <w:szCs w:val="20"/>
          <w:color w:val="auto"/>
        </w:rPr>
      </w:pPr>
    </w:p>
    <w:p>
      <w:pPr>
        <w:ind w:firstLine="1305"/>
        <w:spacing w:after="0" w:line="260" w:lineRule="auto"/>
        <w:tabs>
          <w:tab w:leader="none" w:pos="1761"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fees and other amounts payable hereunder shall be paid on the dates due, in immediately available funds. Fees and other amounts paid shall not be refundable under any circumstances other than clearly demonstrable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6"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16" w:lineRule="exact"/>
        <w:rPr>
          <w:sz w:val="20"/>
          <w:szCs w:val="20"/>
          <w:color w:val="auto"/>
        </w:rPr>
      </w:pPr>
    </w:p>
    <w:p>
      <w:pPr>
        <w:ind w:left="1700" w:hanging="395"/>
        <w:spacing w:after="0"/>
        <w:tabs>
          <w:tab w:leader="none" w:pos="17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 Eurodollar Borrowing:</w:t>
      </w:r>
    </w:p>
    <w:p>
      <w:pPr>
        <w:spacing w:after="0" w:line="229" w:lineRule="exact"/>
        <w:rPr>
          <w:rFonts w:ascii="Arial" w:cs="Arial" w:eastAsia="Arial" w:hAnsi="Arial"/>
          <w:sz w:val="20"/>
          <w:szCs w:val="20"/>
          <w:color w:val="auto"/>
        </w:rPr>
      </w:pPr>
    </w:p>
    <w:p>
      <w:pPr>
        <w:jc w:val="both"/>
        <w:ind w:left="1300" w:firstLine="653"/>
        <w:spacing w:after="0" w:line="299" w:lineRule="auto"/>
        <w:tabs>
          <w:tab w:leader="none" w:pos="2491"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or</w:t>
      </w:r>
    </w:p>
    <w:p>
      <w:pPr>
        <w:spacing w:after="0" w:line="155" w:lineRule="exact"/>
        <w:rPr>
          <w:rFonts w:ascii="Arial" w:cs="Arial" w:eastAsia="Arial" w:hAnsi="Arial"/>
          <w:sz w:val="19"/>
          <w:szCs w:val="19"/>
          <w:color w:val="auto"/>
        </w:rPr>
      </w:pPr>
    </w:p>
    <w:p>
      <w:pPr>
        <w:jc w:val="both"/>
        <w:ind w:left="1300" w:firstLine="653"/>
        <w:spacing w:after="0" w:line="250" w:lineRule="auto"/>
        <w:tabs>
          <w:tab w:leader="none" w:pos="2397"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Credit Request requests a Eurodollar Borrowing, such Borrowing shall be made as an ABR Borrowing. Notwithstanding the foregoing, if the Borrower shall have submitted a Credit Request with respect to a Eurodollar Borrowing and the Administrative Agent shall have notified the Borrower in accordance with the preceding sentence that such Borrowing will be made as an ABR Borrowing, the Borrower shall have the right, prior to the time by which it would have had to submit a Credit Request for an ABR Borrowing to be made on the same date, to withdraw such Credit Request.</w:t>
      </w:r>
    </w:p>
    <w:p>
      <w:pPr>
        <w:spacing w:after="0" w:line="169" w:lineRule="exact"/>
        <w:rPr>
          <w:sz w:val="20"/>
          <w:szCs w:val="20"/>
          <w:color w:val="auto"/>
        </w:rPr>
      </w:pPr>
    </w:p>
    <w:p>
      <w:pPr>
        <w:ind w:left="1760" w:hanging="455"/>
        <w:spacing w:after="0"/>
        <w:tabs>
          <w:tab w:leader="none" w:pos="1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at any time the Administrative Agent determines (which determination shall be conclusive absent manifest error) that</w:t>
      </w:r>
    </w:p>
    <w:p>
      <w:pPr>
        <w:spacing w:after="0" w:line="38" w:lineRule="exact"/>
        <w:rPr>
          <w:rFonts w:ascii="Arial" w:cs="Arial" w:eastAsia="Arial" w:hAnsi="Arial"/>
          <w:sz w:val="18"/>
          <w:szCs w:val="18"/>
          <w:color w:val="auto"/>
        </w:rPr>
      </w:pPr>
    </w:p>
    <w:p>
      <w:pPr>
        <w:jc w:val="both"/>
        <w:ind w:firstLine="8"/>
        <w:spacing w:after="0" w:line="267" w:lineRule="auto"/>
        <w:tabs>
          <w:tab w:leader="none" w:pos="2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circumstances set forth in clause (a)(i) have arisen and such circumstances are unlikely to be temporary or (ii) the circumstances set forth in clause (a)(i)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 supervisor for the administrator of the LIBO Screen Rate or a Governmental Authority having jurisdiction over the Administrative Agent has made a public statement identifying a specific date after which the LIBO Screen Rate may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and describing in detail the basis for such objection. Until an alternate rate of interest shall be determined in accordance with this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(but, in the case of the circumstances described in clause (ii)(w), clause (ii)(x) or clause (ii)(y) of the first sentence of this </w:t>
      </w:r>
      <w:r>
        <w:rPr>
          <w:rFonts w:ascii="Arial" w:cs="Arial" w:eastAsia="Arial" w:hAnsi="Arial"/>
          <w:sz w:val="18"/>
          <w:szCs w:val="18"/>
          <w:u w:val="single" w:color="auto"/>
          <w:color w:val="auto"/>
        </w:rPr>
        <w:t>Section 3.4(b)</w:t>
      </w:r>
      <w:r>
        <w:rPr>
          <w:rFonts w:ascii="Arial" w:cs="Arial" w:eastAsia="Arial" w:hAnsi="Arial"/>
          <w:sz w:val="18"/>
          <w:szCs w:val="18"/>
          <w:color w:val="auto"/>
        </w:rPr>
        <w:t>, only to the extent the LIBO Screen Rate for such Interest Period is not available or published at such time on a current basis), (y) any Interest Election Request that requests the conversion of any ABR Borrowing to, or continuation of any Eurodollar Borrowing as, a Eurodollar Borrowing shall be ineffective and (z) if any Credit Request requests a Eurodollar Borrowing, such Borrowing shall be made as an ABR Borrowing.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Increased Costs; Illegality</w:t>
      </w:r>
      <w:r>
        <w:rPr>
          <w:rFonts w:ascii="Arial" w:cs="Arial" w:eastAsia="Arial" w:hAnsi="Arial"/>
          <w:sz w:val="18"/>
          <w:szCs w:val="18"/>
          <w:color w:val="auto"/>
        </w:rPr>
        <w:t>.</w:t>
      </w:r>
    </w:p>
    <w:p>
      <w:pPr>
        <w:spacing w:after="0" w:line="216" w:lineRule="exact"/>
        <w:rPr>
          <w:sz w:val="20"/>
          <w:szCs w:val="20"/>
          <w:color w:val="auto"/>
        </w:rPr>
      </w:pPr>
    </w:p>
    <w:p>
      <w:pPr>
        <w:ind w:left="1700" w:hanging="395"/>
        <w:spacing w:after="0"/>
        <w:tabs>
          <w:tab w:leader="none" w:pos="17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328" w:val="left"/>
        </w:tabs>
        <w:numPr>
          <w:ilvl w:val="1"/>
          <w:numId w:val="87"/>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against assets of, deposits with or for the account of, or credit extended by, any Credit Party (except any such reserve requirement reflected in the Adjusted LIBO Rate);</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64"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subject any Recipient to any Taxes with respect to this Agreement or on its Loans, loan principal, Letters of Credit, Commitments, or other obligations, or its deposits, reserves, other liabilities or capital attributable thereto in respect thereof (other than (A) Indemnified Taxes and (B) Excluded Taxes); or</w:t>
      </w:r>
    </w:p>
    <w:p>
      <w:pPr>
        <w:spacing w:after="0" w:line="186" w:lineRule="exact"/>
        <w:rPr>
          <w:rFonts w:ascii="Arial" w:cs="Arial" w:eastAsia="Arial" w:hAnsi="Arial"/>
          <w:sz w:val="20"/>
          <w:szCs w:val="20"/>
          <w:color w:val="auto"/>
        </w:rPr>
      </w:pPr>
    </w:p>
    <w:p>
      <w:pPr>
        <w:ind w:left="1300" w:firstLine="653"/>
        <w:spacing w:after="0" w:line="316" w:lineRule="auto"/>
        <w:tabs>
          <w:tab w:leader="none" w:pos="2479" w:val="left"/>
        </w:tabs>
        <w:numPr>
          <w:ilvl w:val="1"/>
          <w:numId w:val="87"/>
        </w:numPr>
        <w:rPr>
          <w:rFonts w:ascii="Arial" w:cs="Arial" w:eastAsia="Arial" w:hAnsi="Arial"/>
          <w:sz w:val="18"/>
          <w:szCs w:val="18"/>
          <w:color w:val="auto"/>
        </w:rPr>
      </w:pPr>
      <w:r>
        <w:rPr>
          <w:rFonts w:ascii="Arial" w:cs="Arial" w:eastAsia="Arial" w:hAnsi="Arial"/>
          <w:sz w:val="18"/>
          <w:szCs w:val="18"/>
          <w:color w:val="auto"/>
        </w:rPr>
        <w:t>impose on any Credit Party or the London interbank market any other condition affecting this Agreement, any Eurodollar Loans made by such Credit Party or any participation therein or any Letter of Credit or participation therein;</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and the result of any of the foregoing shall be to increase the cost to such Credit Party of making, continuing, converting or maintaining any Eurodollar Loan or the cost to such Credit Party of issuing, participating in or maintaining any Letter of Credit hereunder or to increase the cost to such Credit Party or 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95" w:lineRule="exact"/>
        <w:rPr>
          <w:sz w:val="20"/>
          <w:szCs w:val="20"/>
          <w:color w:val="auto"/>
        </w:rPr>
      </w:pPr>
    </w:p>
    <w:p>
      <w:pPr>
        <w:jc w:val="both"/>
        <w:ind w:firstLine="1305"/>
        <w:spacing w:after="0" w:line="258" w:lineRule="auto"/>
        <w:tabs>
          <w:tab w:leader="none" w:pos="173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the Loans made, the Letters of Credit issued or the participations therein held, by such Credit Party to a level below that which such Credit Party or such Credit Party’s holding company could have achieved but for such Change in Law (taking into consideration such Credit Party’s policies and the policies of such Credit Party’s holding company with respect to capital adequacy), then from time to time the Borrower will pay to such Credit Party such additional amount or amounts as will compensate such Credit Party or such Credit Party’s holding company for any such reduction suffered.</w:t>
      </w:r>
    </w:p>
    <w:p>
      <w:pPr>
        <w:spacing w:after="0" w:line="179" w:lineRule="exact"/>
        <w:rPr>
          <w:rFonts w:ascii="Arial" w:cs="Arial" w:eastAsia="Arial" w:hAnsi="Arial"/>
          <w:sz w:val="19"/>
          <w:szCs w:val="19"/>
          <w:color w:val="auto"/>
        </w:rPr>
      </w:pPr>
    </w:p>
    <w:p>
      <w:pPr>
        <w:jc w:val="both"/>
        <w:ind w:firstLine="1305"/>
        <w:spacing w:after="0" w:line="246" w:lineRule="auto"/>
        <w:tabs>
          <w:tab w:leader="none" w:pos="1791"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A certificate of a Credit Party setting forth the amount or amounts necessary to compensate such Credit Party or its holding company, as applicable,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191" w:lineRule="exact"/>
        <w:rPr>
          <w:rFonts w:ascii="Arial" w:cs="Arial" w:eastAsia="Arial" w:hAnsi="Arial"/>
          <w:sz w:val="20"/>
          <w:szCs w:val="20"/>
          <w:color w:val="auto"/>
        </w:rPr>
      </w:pPr>
    </w:p>
    <w:p>
      <w:pPr>
        <w:jc w:val="both"/>
        <w:ind w:firstLine="1305"/>
        <w:spacing w:after="0" w:line="276" w:lineRule="auto"/>
        <w:tabs>
          <w:tab w:leader="none" w:pos="17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Credit Party to demand compensation pursuant to this Section shall not constitute a waiver of such Credit Party’s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65" w:lineRule="exact"/>
        <w:rPr>
          <w:rFonts w:ascii="Arial" w:cs="Arial" w:eastAsia="Arial" w:hAnsi="Arial"/>
          <w:sz w:val="18"/>
          <w:szCs w:val="18"/>
          <w:color w:val="auto"/>
        </w:rPr>
      </w:pPr>
    </w:p>
    <w:p>
      <w:pPr>
        <w:jc w:val="both"/>
        <w:ind w:firstLine="1305"/>
        <w:spacing w:after="0" w:line="250" w:lineRule="auto"/>
        <w:tabs>
          <w:tab w:leader="none" w:pos="1737"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if any Change in Law shall make it unlawful for any Lender to make or maintain any Eurodollar Loan or to give effect to its obligations as contemplated hereby with respect to any Eurodollar Loan, then, by written notice to the Borrower and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300" w:firstLine="653"/>
        <w:spacing w:after="0" w:line="243" w:lineRule="auto"/>
        <w:tabs>
          <w:tab w:leader="none" w:pos="2315" w:val="left"/>
        </w:tabs>
        <w:numPr>
          <w:ilvl w:val="0"/>
          <w:numId w:val="89"/>
        </w:numPr>
        <w:rPr>
          <w:rFonts w:ascii="Arial" w:cs="Arial" w:eastAsia="Arial" w:hAnsi="Arial"/>
          <w:sz w:val="20"/>
          <w:szCs w:val="20"/>
          <w:color w:val="auto"/>
        </w:rPr>
      </w:pPr>
      <w:r>
        <w:rPr>
          <w:rFonts w:ascii="Arial" w:cs="Arial" w:eastAsia="Arial" w:hAnsi="Arial"/>
          <w:sz w:val="20"/>
          <w:szCs w:val="20"/>
          <w:color w:val="auto"/>
        </w:rPr>
        <w:t>such Lender may declare that Eurodollar Loans will not thereafter (for the duration of such unlawfulness) be made by such Lender hereunder (or be continued for additional Interest Periods) and ABR Loans will not thereafter (for such duration) be converted into Eurodollar Loans, whereupon any request for a Eurodollar Borrowing or to convert an ABR Borrowing to a Eurodollar Borrowing or to continue a Eurodollar Borrowing, as applicable, for an additional Interest Period shall, as to such Lender only, be deemed a request for an ABR Loan (or a request to continue an ABR Loan as such for an additional Interest Period or to convert a Eurodollar Loan into an ABR Loan, as applicable), unless such declaration shall be subsequently withdrawn; and</w:t>
      </w:r>
    </w:p>
    <w:p>
      <w:pPr>
        <w:spacing w:after="0" w:line="193" w:lineRule="exact"/>
        <w:rPr>
          <w:rFonts w:ascii="Arial" w:cs="Arial" w:eastAsia="Arial" w:hAnsi="Arial"/>
          <w:sz w:val="20"/>
          <w:szCs w:val="20"/>
          <w:color w:val="auto"/>
        </w:rPr>
      </w:pPr>
    </w:p>
    <w:p>
      <w:pPr>
        <w:jc w:val="both"/>
        <w:ind w:left="1300" w:firstLine="653"/>
        <w:spacing w:after="0" w:line="250" w:lineRule="auto"/>
        <w:tabs>
          <w:tab w:leader="none" w:pos="2383" w:val="left"/>
        </w:tabs>
        <w:numPr>
          <w:ilvl w:val="0"/>
          <w:numId w:val="89"/>
        </w:numPr>
        <w:rPr>
          <w:rFonts w:ascii="Arial" w:cs="Arial" w:eastAsia="Arial" w:hAnsi="Arial"/>
          <w:sz w:val="20"/>
          <w:szCs w:val="20"/>
          <w:color w:val="auto"/>
        </w:rPr>
      </w:pPr>
      <w:r>
        <w:rPr>
          <w:rFonts w:ascii="Arial" w:cs="Arial" w:eastAsia="Arial" w:hAnsi="Arial"/>
          <w:sz w:val="20"/>
          <w:szCs w:val="20"/>
          <w:color w:val="auto"/>
        </w:rPr>
        <w:t>such Lender may require that all outstanding Eurodollar Loans made by it be converted to ABR Loans, in which event all such Eurodollar Loans shall be automatically converted to ABR Loans, as of the effective date of such notice as provided in the last sentence of this paragraph.</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In the event any Lender shall exercise its rights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paragraph, all payments and prepayments of principal that would otherwise have been applied to repay the Eurodollar Loans that would have been made by such Lender or the converted Eurodollar Loans of such Lender shall instead be applied to repay the ABR Loans made by such Lender in lieu of, or resulting from the conversion of, such Eurodollar Loans, as applicable. For purposes of this paragraph, a notice to the Borrower by any Lender shall be effective as to each Eurodollar Loan made by such Lender, if lawful, on the last day of the Interest Period currently applicable to such Eurodollar Loan; in all other cases such notice shall be effective on the date of receipt by the Borrower.</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or prepayment (voluntary or otherwise)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and is revoked in accordance therewith), or (d) the assignment of any Eurodollar Loan other than on the last day of the Interest Period or maturity date applicable thereto as a result of a request by the Borrower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u w:val="single" w:color="auto"/>
          <w:color w:val="auto"/>
        </w:rPr>
        <w:t>Withholding of Taxes; Gross-Up.</w:t>
      </w:r>
    </w:p>
    <w:p>
      <w:pPr>
        <w:spacing w:after="0" w:line="216" w:lineRule="exact"/>
        <w:rPr>
          <w:sz w:val="20"/>
          <w:szCs w:val="20"/>
          <w:color w:val="auto"/>
        </w:rPr>
      </w:pPr>
    </w:p>
    <w:p>
      <w:pPr>
        <w:jc w:val="both"/>
        <w:ind w:firstLine="1305"/>
        <w:spacing w:after="0" w:line="257" w:lineRule="auto"/>
        <w:tabs>
          <w:tab w:leader="none" w:pos="169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Payments to be Free and Clear</w:t>
      </w:r>
      <w:r>
        <w:rPr>
          <w:rFonts w:ascii="Arial" w:cs="Arial" w:eastAsia="Arial" w:hAnsi="Arial"/>
          <w:sz w:val="19"/>
          <w:szCs w:val="19"/>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ind w:firstLine="1305"/>
        <w:spacing w:after="0" w:line="260" w:lineRule="auto"/>
        <w:tabs>
          <w:tab w:leader="none" w:pos="1802"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Other Taxes.</w:t>
      </w:r>
    </w:p>
    <w:p>
      <w:pPr>
        <w:spacing w:after="0" w:line="176" w:lineRule="exact"/>
        <w:rPr>
          <w:rFonts w:ascii="Arial" w:cs="Arial" w:eastAsia="Arial" w:hAnsi="Arial"/>
          <w:sz w:val="20"/>
          <w:szCs w:val="20"/>
          <w:color w:val="auto"/>
        </w:rPr>
      </w:pPr>
    </w:p>
    <w:p>
      <w:pPr>
        <w:jc w:val="both"/>
        <w:ind w:firstLine="1305"/>
        <w:spacing w:after="0" w:line="246" w:lineRule="auto"/>
        <w:tabs>
          <w:tab w:leader="none" w:pos="1723"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48"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3" w:lineRule="exact"/>
        <w:rPr>
          <w:rFonts w:ascii="Arial" w:cs="Arial" w:eastAsia="Arial" w:hAnsi="Arial"/>
          <w:sz w:val="20"/>
          <w:szCs w:val="20"/>
          <w:color w:val="auto"/>
        </w:rPr>
      </w:pPr>
    </w:p>
    <w:p>
      <w:pPr>
        <w:jc w:val="both"/>
        <w:ind w:firstLine="1305"/>
        <w:spacing w:after="0" w:line="258" w:lineRule="auto"/>
        <w:tabs>
          <w:tab w:leader="none" w:pos="176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2" w:lineRule="exact"/>
        <w:rPr>
          <w:sz w:val="20"/>
          <w:szCs w:val="20"/>
          <w:color w:val="auto"/>
        </w:rPr>
      </w:pPr>
    </w:p>
    <w:p>
      <w:pPr>
        <w:ind w:left="1680" w:hanging="375"/>
        <w:spacing w:after="0"/>
        <w:tabs>
          <w:tab w:leader="none" w:pos="168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70" w:lineRule="auto"/>
        <w:tabs>
          <w:tab w:leader="none" w:pos="232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rFonts w:ascii="Arial" w:cs="Arial" w:eastAsia="Arial" w:hAnsi="Arial"/>
          <w:sz w:val="18"/>
          <w:szCs w:val="18"/>
          <w:color w:val="auto"/>
        </w:rPr>
      </w:pPr>
    </w:p>
    <w:p>
      <w:pPr>
        <w:ind w:left="2380" w:hanging="427"/>
        <w:spacing w:after="0"/>
        <w:tabs>
          <w:tab w:leader="none" w:pos="23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00" w:firstLine="653"/>
        <w:spacing w:after="0" w:line="246" w:lineRule="auto"/>
        <w:tabs>
          <w:tab w:leader="none" w:pos="1257"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100" w:firstLine="653"/>
        <w:spacing w:after="0" w:line="246" w:lineRule="auto"/>
        <w:tabs>
          <w:tab w:leader="none" w:pos="1381"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760" w:firstLine="641"/>
        <w:spacing w:after="0" w:line="276" w:lineRule="auto"/>
        <w:tabs>
          <w:tab w:leader="none" w:pos="17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65" w:lineRule="exact"/>
        <w:rPr>
          <w:rFonts w:ascii="Arial" w:cs="Arial" w:eastAsia="Arial" w:hAnsi="Arial"/>
          <w:sz w:val="18"/>
          <w:szCs w:val="18"/>
          <w:color w:val="auto"/>
        </w:rPr>
      </w:pPr>
    </w:p>
    <w:p>
      <w:pPr>
        <w:ind w:left="760" w:firstLine="641"/>
        <w:spacing w:after="0" w:line="260" w:lineRule="auto"/>
        <w:tabs>
          <w:tab w:leader="none" w:pos="1899" w:val="left"/>
        </w:tabs>
        <w:numPr>
          <w:ilvl w:val="1"/>
          <w:numId w:val="93"/>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w:t>
      </w:r>
    </w:p>
    <w:p>
      <w:pPr>
        <w:spacing w:after="0" w:line="176" w:lineRule="exact"/>
        <w:rPr>
          <w:rFonts w:ascii="Arial" w:cs="Arial" w:eastAsia="Arial" w:hAnsi="Arial"/>
          <w:sz w:val="20"/>
          <w:szCs w:val="20"/>
          <w:color w:val="auto"/>
        </w:rPr>
      </w:pPr>
    </w:p>
    <w:p>
      <w:pPr>
        <w:ind w:left="760" w:firstLine="641"/>
        <w:spacing w:after="0" w:line="260" w:lineRule="auto"/>
        <w:tabs>
          <w:tab w:leader="none" w:pos="175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 certificate substantially in the form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760"/>
        <w:spacing w:after="0" w:line="263" w:lineRule="auto"/>
        <w:rPr>
          <w:sz w:val="20"/>
          <w:szCs w:val="20"/>
          <w:color w:val="auto"/>
        </w:rPr>
      </w:pPr>
      <w:r>
        <w:rPr>
          <w:rFonts w:ascii="Arial" w:cs="Arial" w:eastAsia="Arial" w:hAnsi="Arial"/>
          <w:sz w:val="19"/>
          <w:szCs w:val="19"/>
          <w:color w:val="auto"/>
        </w:rPr>
        <w:t>of Exhibit F-1 to the effect that such Foreign Lender is not a “bank” within the meaning of Section 881(c)(3)(A) of the Code, a “10 percent shareholder” of the Borrower within the meaning of Section 881(h)(3)(B)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an executed copy of IRS Form W-8BEN-E or IRS Form W-8BEN; or</w:t>
      </w:r>
    </w:p>
    <w:p>
      <w:pPr>
        <w:spacing w:after="0" w:line="177" w:lineRule="exact"/>
        <w:rPr>
          <w:sz w:val="20"/>
          <w:szCs w:val="20"/>
          <w:color w:val="auto"/>
        </w:rPr>
      </w:pPr>
    </w:p>
    <w:p>
      <w:pPr>
        <w:jc w:val="both"/>
        <w:ind w:left="760" w:firstLine="641"/>
        <w:spacing w:after="0" w:line="276" w:lineRule="auto"/>
        <w:tabs>
          <w:tab w:leader="none" w:pos="184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accompanied by IRS Form W-8ECI, IRS Form W-8BEN-E, IRS Form W-8BEN, a U.S. Tax Compliance Certificate substantially in the form of Exhibit F-2 or Exhibit F-3,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65" w:lineRule="exact"/>
        <w:rPr>
          <w:rFonts w:ascii="Arial" w:cs="Arial" w:eastAsia="Arial" w:hAnsi="Arial"/>
          <w:sz w:val="18"/>
          <w:szCs w:val="18"/>
          <w:color w:val="auto"/>
        </w:rPr>
      </w:pPr>
    </w:p>
    <w:p>
      <w:pPr>
        <w:jc w:val="both"/>
        <w:ind w:left="100" w:firstLine="653"/>
        <w:spacing w:after="0" w:line="243" w:lineRule="auto"/>
        <w:tabs>
          <w:tab w:leader="none" w:pos="1381"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20"/>
          </w:cols>
          <w:pgMar w:left="1440" w:top="11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300" w:firstLine="653"/>
        <w:spacing w:after="0" w:line="269" w:lineRule="auto"/>
        <w:tabs>
          <w:tab w:leader="none" w:pos="2484"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Arial" w:cs="Arial" w:eastAsia="Arial" w:hAnsi="Arial"/>
          <w:sz w:val="18"/>
          <w:szCs w:val="18"/>
          <w:color w:val="auto"/>
        </w:rPr>
      </w:pPr>
    </w:p>
    <w:p>
      <w:pPr>
        <w:jc w:val="both"/>
        <w:ind w:left="1300" w:firstLine="5"/>
        <w:spacing w:after="0"/>
        <w:tabs>
          <w:tab w:leader="none" w:pos="1543" w:val="left"/>
        </w:tabs>
        <w:numPr>
          <w:ilvl w:val="0"/>
          <w:numId w:val="97"/>
        </w:numPr>
        <w:rPr>
          <w:rFonts w:ascii="Arial" w:cs="Arial" w:eastAsia="Arial" w:hAnsi="Arial"/>
          <w:sz w:val="20"/>
          <w:szCs w:val="20"/>
          <w:color w:val="auto"/>
        </w:rPr>
      </w:pPr>
      <w:r>
        <w:rPr>
          <w:rFonts w:ascii="Arial" w:cs="Arial" w:eastAsia="Arial" w:hAnsi="Arial"/>
          <w:sz w:val="20"/>
          <w:szCs w:val="20"/>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12"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17" w:lineRule="exact"/>
        <w:rPr>
          <w:sz w:val="20"/>
          <w:szCs w:val="20"/>
          <w:color w:val="auto"/>
        </w:rPr>
      </w:pPr>
    </w:p>
    <w:p>
      <w:pPr>
        <w:jc w:val="both"/>
        <w:ind w:firstLine="1305"/>
        <w:spacing w:after="0" w:line="254" w:lineRule="auto"/>
        <w:tabs>
          <w:tab w:leader="none" w:pos="172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3" w:lineRule="exact"/>
        <w:rPr>
          <w:rFonts w:ascii="Arial" w:cs="Arial" w:eastAsia="Arial" w:hAnsi="Arial"/>
          <w:sz w:val="19"/>
          <w:szCs w:val="19"/>
          <w:color w:val="auto"/>
        </w:rPr>
      </w:pPr>
    </w:p>
    <w:p>
      <w:pPr>
        <w:jc w:val="both"/>
        <w:ind w:firstLine="1305"/>
        <w:spacing w:after="0" w:line="250" w:lineRule="auto"/>
        <w:tabs>
          <w:tab w:leader="none" w:pos="1761"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w:t>
      </w:r>
      <w:r>
        <w:rPr>
          <w:rFonts w:ascii="Arial" w:cs="Arial" w:eastAsia="Arial" w:hAnsi="Arial"/>
          <w:sz w:val="18"/>
          <w:szCs w:val="18"/>
          <w:u w:val="single" w:color="auto"/>
          <w:color w:val="auto"/>
        </w:rPr>
        <w:t>Lender</w:t>
      </w:r>
      <w:r>
        <w:rPr>
          <w:rFonts w:ascii="Arial" w:cs="Arial" w:eastAsia="Arial" w:hAnsi="Arial"/>
          <w:sz w:val="18"/>
          <w:szCs w:val="18"/>
          <w:color w:val="auto"/>
        </w:rPr>
        <w:t>” includes any Issuing Bank and the term “</w:t>
      </w: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includes FATCA.</w:t>
      </w:r>
    </w:p>
    <w:p>
      <w:pPr>
        <w:spacing w:after="0" w:line="20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0" w:lineRule="auto"/>
        <w:tabs>
          <w:tab w:leader="none" w:pos="1696"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Arial" w:cs="Arial" w:eastAsia="Arial" w:hAnsi="Arial"/>
          <w:sz w:val="18"/>
          <w:szCs w:val="18"/>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as the case may be, in the future, and</w:t>
      </w:r>
    </w:p>
    <w:p>
      <w:pPr>
        <w:spacing w:after="0" w:line="22" w:lineRule="exact"/>
        <w:rPr>
          <w:rFonts w:ascii="Arial" w:cs="Arial" w:eastAsia="Arial" w:hAnsi="Arial"/>
          <w:sz w:val="18"/>
          <w:szCs w:val="18"/>
          <w:color w:val="auto"/>
        </w:rPr>
      </w:pPr>
    </w:p>
    <w:p>
      <w:pPr>
        <w:jc w:val="both"/>
        <w:ind w:firstLine="8"/>
        <w:spacing w:after="0" w:line="241" w:lineRule="auto"/>
        <w:tabs>
          <w:tab w:leader="none" w:pos="31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69" w:lineRule="auto"/>
        <w:tabs>
          <w:tab w:leader="none" w:pos="174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In the event that (i)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(ii) any Lender becomes a Defaulting Lender, or (iii) if any Lender has failed to consent to a proposed amendment, waiver, discharge or termination that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default or action or inaction by such Lender, as the case may be, and subject to and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the Borrower obligated to pay any applicable processing and recordation fee), designate an Eligible Assignee (acceptable to the Administrative Agent and the Issuing Banks)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accrued but unpaid facility fees and letter of credit fees in respect of such Lender’s Commitment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to be a waiver of any right that the Borrower, the Administrative Agent, the Issuing Banks or any other Lender may have against such Defaulting Lender. The Borrower shall execute and deliver to such Eligible Assignee a Note. Notwithstanding anything herein to the contrary, in the event that a Lender is replaced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as a result of the Borrower becoming obligated to pay additional amounts to such Lender (or to any Governmental Authority for the account of any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such Lender shall be entitled to receive such additional amounts as if it had not been so replaced,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if such Lender becomes a Defaulting Lender.</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The Borrower is not an EEA Financial Institution.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None of the Borrower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Credit Parties that: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each Subsidiary is duly organized or formed, validly 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corporate powers of the Borrower and have been duly 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4" w:lineRule="auto"/>
        <w:tabs>
          <w:tab w:leader="none" w:pos="169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execution, delivery and performance by the Borrower of the Loan Documents and the borrowing of the Loans and the issuance of the Letters of Credit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94" w:lineRule="exact"/>
        <w:rPr>
          <w:rFonts w:ascii="Arial" w:cs="Arial" w:eastAsia="Arial" w:hAnsi="Arial"/>
          <w:sz w:val="20"/>
          <w:szCs w:val="20"/>
          <w:color w:val="auto"/>
        </w:rPr>
      </w:pPr>
    </w:p>
    <w:p>
      <w:pPr>
        <w:jc w:val="both"/>
        <w:ind w:firstLine="1305"/>
        <w:spacing w:after="0" w:line="263" w:lineRule="auto"/>
        <w:tabs>
          <w:tab w:leader="none" w:pos="174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32" w:lineRule="exact"/>
        <w:tabs>
          <w:tab w:leader="none" w:pos="183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Borrower has previously delivered to the Credit Parties copies of (i) its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December 31, 2017, containing the audited consolidated balance sheet of the Borrower and its Subsidiaries and the related audited consolidated statements of operations, comprehensive income, changes in stockholders’ equity and cash flows for the fiscal year ending December 31, 2017 (including with the applicable related notes and schedules, the “</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and (ii) the unaudited consolidated balance sheet of the Borrower and its Subsidiaries and the related unaudited consolidated statements of income, equity and cash flows for the fiscal quarter ended September 30, 2018. All such financial statements have been prepared in accordance with GAAP and fairly present in all material respects the consolidated financial condition and results of the operations of the Borrower and its Subsidiaries as of the dates and for the periods indicated therein (subject, in the case of unaudited financial statements, to the absence of footnotes and to normal, year end audit adjustments).</w:t>
      </w:r>
    </w:p>
    <w:p>
      <w:pPr>
        <w:spacing w:after="0" w:line="195" w:lineRule="exact"/>
        <w:rPr>
          <w:rFonts w:ascii="Arial" w:cs="Arial" w:eastAsia="Arial" w:hAnsi="Arial"/>
          <w:sz w:val="20"/>
          <w:szCs w:val="20"/>
          <w:color w:val="auto"/>
        </w:rPr>
      </w:pPr>
    </w:p>
    <w:p>
      <w:pPr>
        <w:ind w:left="1720" w:hanging="415"/>
        <w:spacing w:after="0"/>
        <w:tabs>
          <w:tab w:leader="none" w:pos="1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Since December 31, 2017, there has been no Material Adverse Change.</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for the Disclosed Matters, the Borrower and its Subsidiaries (a) are in compliance with Environmental Law,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Subsidiary is an “investment company” or a company “controlled” by an “investment company” as defined in, or is otherwise subject to regulation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175" w:name="page176"/>
    <w:bookmarkEnd w:id="175"/>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ERISA</w:t>
      </w:r>
      <w:r>
        <w:rPr>
          <w:rFonts w:ascii="Arial" w:cs="Arial" w:eastAsia="Arial" w:hAnsi="Arial"/>
          <w:sz w:val="20"/>
          <w:szCs w:val="20"/>
          <w:color w:val="auto"/>
        </w:rPr>
        <w:t>. Each of the Borrower and each of its ERISA Affiliates is in compliance in all material respects with the 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9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2" w:lineRule="auto"/>
        <w:tabs>
          <w:tab w:leader="none" w:pos="17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reports, financial statements, certificates or other information furnished by or on behalf of the Borrower or any Subsidiary to any Credit Party in connection with the negotiation of, or delivered under any Loan Document when taken as a whole (as modified or supplemented by other information so furnished, including the information contained in the Borrower’s most recent annual report on Form 10-K and in the Borrower’s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171" w:lineRule="exact"/>
        <w:rPr>
          <w:rFonts w:ascii="Arial" w:cs="Arial" w:eastAsia="Arial" w:hAnsi="Arial"/>
          <w:sz w:val="18"/>
          <w:szCs w:val="18"/>
          <w:color w:val="auto"/>
        </w:rPr>
      </w:pPr>
    </w:p>
    <w:p>
      <w:pPr>
        <w:ind w:firstLine="1305"/>
        <w:spacing w:after="0" w:line="316" w:lineRule="auto"/>
        <w:tabs>
          <w:tab w:leader="none" w:pos="176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As of the date hereof, the Borrower has only the Subsidiaries set forth on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 assessable and are owned free and clear of any Liens, other than Liens permitted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9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4.11.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216" w:lineRule="exact"/>
        <w:rPr>
          <w:sz w:val="20"/>
          <w:szCs w:val="20"/>
          <w:color w:val="auto"/>
        </w:rPr>
      </w:pPr>
    </w:p>
    <w:p>
      <w:pPr>
        <w:ind w:right="20" w:firstLine="1305"/>
        <w:spacing w:after="0" w:line="260" w:lineRule="auto"/>
        <w:tabs>
          <w:tab w:leader="none" w:pos="17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proceeds of the Loans and the Letters of Credit will be used for general corporate purposes not inconsistent with the terms hereof, including liquidity support for the Borrower’s commercial paper program.</w:t>
      </w:r>
    </w:p>
    <w:p>
      <w:pPr>
        <w:spacing w:after="0" w:line="176" w:lineRule="exact"/>
        <w:rPr>
          <w:rFonts w:ascii="Arial" w:cs="Arial" w:eastAsia="Arial" w:hAnsi="Arial"/>
          <w:sz w:val="20"/>
          <w:szCs w:val="20"/>
          <w:color w:val="auto"/>
        </w:rPr>
      </w:pPr>
    </w:p>
    <w:p>
      <w:pPr>
        <w:jc w:val="both"/>
        <w:ind w:firstLine="1305"/>
        <w:spacing w:after="0" w:line="246" w:lineRule="auto"/>
        <w:tabs>
          <w:tab w:leader="none" w:pos="173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Neither the Borrower nor any Subsidiary is engaged principally, or as one of their important activities, in the business of extending credit for the purpose of buying or carrying Margin Stock. Immediately before and after giving effect to the making of each Loan and the issuance of each Letter of Credit, Margin Stock will constitute less than 25% of the Borrower’s assets as determined in accordance with Regulation U.</w:t>
      </w:r>
    </w:p>
    <w:p>
      <w:pPr>
        <w:spacing w:after="0" w:line="191" w:lineRule="exact"/>
        <w:rPr>
          <w:rFonts w:ascii="Arial" w:cs="Arial" w:eastAsia="Arial" w:hAnsi="Arial"/>
          <w:sz w:val="20"/>
          <w:szCs w:val="20"/>
          <w:color w:val="auto"/>
        </w:rPr>
      </w:pPr>
    </w:p>
    <w:p>
      <w:pPr>
        <w:jc w:val="both"/>
        <w:ind w:firstLine="1305"/>
        <w:spacing w:after="0" w:line="244" w:lineRule="auto"/>
        <w:tabs>
          <w:tab w:leader="none" w:pos="177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No part of the proceeds of any Loan or any Letter of Credit will be used, whether directly or indirectly, and whether immediately, incidentally or ultimately, (i)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(ii) to fund a personal loan to or for the benefit of a director or executive officer of the Borrower or any Subsidiary.</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4.12. </w:t>
      </w:r>
      <w:r>
        <w:rPr>
          <w:rFonts w:ascii="Arial" w:cs="Arial" w:eastAsia="Arial" w:hAnsi="Arial"/>
          <w:sz w:val="20"/>
          <w:szCs w:val="20"/>
          <w:u w:val="single" w:color="auto"/>
          <w:color w:val="auto"/>
        </w:rPr>
        <w:t>Anti-Money Laundering and Anti-Terrorism Finance Laws</w:t>
      </w:r>
      <w:r>
        <w:rPr>
          <w:rFonts w:ascii="Arial" w:cs="Arial" w:eastAsia="Arial" w:hAnsi="Arial"/>
          <w:sz w:val="20"/>
          <w:szCs w:val="20"/>
          <w:color w:val="auto"/>
        </w:rPr>
        <w:t>. The Borrower has implemented and maintains in effect policies and procedures designed to ensure compliance by the Borrower, its Subsidiaries and their respective directors, officers, employees and agents with Anti-Corruption Laws. To the extent applicable, Borrower is in compliance, in all material respects, with Anti-Corruption Laws, anti-money laundering laws and anti-terrorism finance laws including the Bank Secrecy Act and the PATRIOT Act (the “</w:t>
      </w:r>
      <w:r>
        <w:rPr>
          <w:rFonts w:ascii="Arial" w:cs="Arial" w:eastAsia="Arial" w:hAnsi="Arial"/>
          <w:sz w:val="20"/>
          <w:szCs w:val="20"/>
          <w:u w:val="single" w:color="auto"/>
          <w:color w:val="auto"/>
        </w:rPr>
        <w:t>Anti-Terrorism</w:t>
      </w:r>
      <w:r>
        <w:rPr>
          <w:rFonts w:ascii="Arial" w:cs="Arial" w:eastAsia="Arial" w:hAnsi="Arial"/>
          <w:sz w:val="20"/>
          <w:szCs w:val="20"/>
          <w:color w:val="auto"/>
        </w:rPr>
        <w:t xml:space="preserve"> </w:t>
      </w:r>
      <w:r>
        <w:rPr>
          <w:rFonts w:ascii="Arial" w:cs="Arial" w:eastAsia="Arial" w:hAnsi="Arial"/>
          <w:sz w:val="20"/>
          <w:szCs w:val="20"/>
          <w:u w:val="single" w:color="auto"/>
          <w:color w:val="auto"/>
        </w:rPr>
        <w:t>Laws</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No part of the proceeds of the Loans or Letters of Credit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u w:val="single" w:color="auto"/>
          <w:color w:val="auto"/>
        </w:rPr>
        <w:t>Sanctions Laws</w:t>
      </w:r>
      <w:r>
        <w:rPr>
          <w:rFonts w:ascii="Arial" w:cs="Arial" w:eastAsia="Arial" w:hAnsi="Arial"/>
          <w:sz w:val="19"/>
          <w:szCs w:val="19"/>
          <w:color w:val="auto"/>
        </w:rPr>
        <w:t>. Neither the Borrower nor, to the knowledge of the Borrower, any Affiliate or broker or other agent of the Borrower acting or benefiting in any capacity in connection with the Loans or Letters of Credit, is any of the following (a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(i) a Person that is listed in the annex to, or is otherwise subject to the provisions of, Executive Order No. 13224 on Terrorist Financing, effective September 24, 2001; (ii) a Person that is named as a “specially designated national and blocked person” on the most current list published by the U.S. Treasury Department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Loans or Letters of Credit shall be used to finance any operations, investments or activities in, or make any payments to, any such country, agency, organization or Person subject to OFAC sanctions.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Effectiveness</w:t>
      </w:r>
      <w:r>
        <w:rPr>
          <w:rFonts w:ascii="Arial" w:cs="Arial" w:eastAsia="Arial" w:hAnsi="Arial"/>
          <w:sz w:val="20"/>
          <w:szCs w:val="20"/>
          <w:color w:val="auto"/>
        </w:rPr>
        <w:t xml:space="preserve">. The obligations of the Lenders to make Loans and of the Issuing Banks to issue Letters of Credit hereunder are subject to the satisfaction (or waiver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 of the following conditions precedent:</w:t>
      </w:r>
    </w:p>
    <w:p>
      <w:pPr>
        <w:spacing w:after="0" w:line="177" w:lineRule="exact"/>
        <w:rPr>
          <w:sz w:val="20"/>
          <w:szCs w:val="20"/>
          <w:color w:val="auto"/>
        </w:rPr>
      </w:pPr>
    </w:p>
    <w:p>
      <w:pPr>
        <w:jc w:val="both"/>
        <w:ind w:firstLine="1305"/>
        <w:spacing w:after="0" w:line="291" w:lineRule="auto"/>
        <w:tabs>
          <w:tab w:leader="none" w:pos="180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The Administrative Agent (or its counsel) shall have received from each party hereto either (i) a counterpart of this Agreement signed on behalf of such party or (ii) written evidence satisfactory to the Administrative Agent (which may include facsimile transmission of a signed signature page of this Agreement) that such party has signed a counterpart of this Agreement.</w:t>
      </w:r>
    </w:p>
    <w:p>
      <w:pPr>
        <w:spacing w:after="0" w:line="151" w:lineRule="exact"/>
        <w:rPr>
          <w:rFonts w:ascii="Arial" w:cs="Arial" w:eastAsia="Arial" w:hAnsi="Arial"/>
          <w:sz w:val="18"/>
          <w:szCs w:val="18"/>
          <w:color w:val="auto"/>
        </w:rPr>
      </w:pPr>
    </w:p>
    <w:p>
      <w:pPr>
        <w:ind w:firstLine="1305"/>
        <w:spacing w:after="0" w:line="260" w:lineRule="auto"/>
        <w:tabs>
          <w:tab w:leader="none" w:pos="1734"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Administrative Agent shall have received any Note requested by a Lender pursuant to </w:t>
      </w:r>
      <w:r>
        <w:rPr>
          <w:rFonts w:ascii="Arial" w:cs="Arial" w:eastAsia="Arial" w:hAnsi="Arial"/>
          <w:sz w:val="20"/>
          <w:szCs w:val="20"/>
          <w:u w:val="single" w:color="auto"/>
          <w:color w:val="auto"/>
        </w:rPr>
        <w:t>Section 2.6(e)</w:t>
      </w:r>
      <w:r>
        <w:rPr>
          <w:rFonts w:ascii="Arial" w:cs="Arial" w:eastAsia="Arial" w:hAnsi="Arial"/>
          <w:sz w:val="20"/>
          <w:szCs w:val="20"/>
          <w:color w:val="auto"/>
        </w:rPr>
        <w:t xml:space="preserve"> payable to the order of such requesting Lender.</w:t>
      </w:r>
    </w:p>
    <w:p>
      <w:pPr>
        <w:spacing w:after="0" w:line="176" w:lineRule="exact"/>
        <w:rPr>
          <w:rFonts w:ascii="Arial" w:cs="Arial" w:eastAsia="Arial" w:hAnsi="Arial"/>
          <w:sz w:val="20"/>
          <w:szCs w:val="20"/>
          <w:color w:val="auto"/>
        </w:rPr>
      </w:pPr>
    </w:p>
    <w:p>
      <w:pPr>
        <w:jc w:val="both"/>
        <w:ind w:firstLine="1305"/>
        <w:spacing w:after="0" w:line="244" w:lineRule="auto"/>
        <w:tabs>
          <w:tab w:leader="none" w:pos="171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favorable written opinions (addressed to the Credit Parties and dated on or prior to the Effective Date) from Bethany M. Owen, Senior Vice President, Chief Legal and Administrative Officer and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73" w:lineRule="auto"/>
        <w:tabs>
          <w:tab w:leader="none" w:pos="180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etc</w:t>
      </w:r>
      <w:r>
        <w:rPr>
          <w:rFonts w:ascii="Arial" w:cs="Arial" w:eastAsia="Arial" w:hAnsi="Arial"/>
          <w:sz w:val="18"/>
          <w:szCs w:val="18"/>
          <w:color w:val="auto"/>
        </w:rPr>
        <w:t>. The Administrative Agent shall have received such documents and certificates as the Administrative Agent or its counsel may reasonably request relating to (i)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 for the Borrower, certified as of a recent date prior to the Effective Date, by the Secretaries of State (or comparable official) of the jurisdiction of its incorporation and each other jurisdiction in which it is qualified to do business, (ii) the authorization of the Transactions, (iii) the incumbency of its officer or officers who may sign the Loan Documents, including therein a signature specimen of such officer or officers, and (iv) any other legal matters relating to the Borrower, the Loan Documents or the Transactions, all in form and substance reasonably satisfactory to the Administrative Agent and its counsel.</w:t>
      </w:r>
    </w:p>
    <w:p>
      <w:pPr>
        <w:spacing w:after="0" w:line="169" w:lineRule="exact"/>
        <w:rPr>
          <w:rFonts w:ascii="Arial" w:cs="Arial" w:eastAsia="Arial" w:hAnsi="Arial"/>
          <w:sz w:val="18"/>
          <w:szCs w:val="18"/>
          <w:color w:val="auto"/>
        </w:rPr>
      </w:pPr>
    </w:p>
    <w:p>
      <w:pPr>
        <w:jc w:val="both"/>
        <w:ind w:firstLine="1305"/>
        <w:spacing w:after="0" w:line="250" w:lineRule="auto"/>
        <w:tabs>
          <w:tab w:leader="none" w:pos="1764"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Fees etc.</w:t>
      </w:r>
      <w:r>
        <w:rPr>
          <w:rFonts w:ascii="Arial" w:cs="Arial" w:eastAsia="Arial" w:hAnsi="Arial"/>
          <w:sz w:val="20"/>
          <w:szCs w:val="20"/>
          <w:color w:val="auto"/>
        </w:rPr>
        <w:t xml:space="preserve"> The Administrative Agent shall have received all fees and other amounts due and payable on or prior to the Effective Date, including, to the extent invoiced, reimbursement or payment of all reasonable out-of-pocket expenses required to be reimbursed or paid by the Borrower hereunder.</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688"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Administrative Agent shall have received a certificate, in form and substance satisfactory to the Administrative Agent, dated on or prior to the Effective Date and signed by the chief executive officer or the chief financial officer of the Borrower (or other Financial Officer acceptable to the Administrative Agent), confirming that (i) the representations and warranties of the Borrower set forth in this Agreement are true and correct and (ii) no Default exists.</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748"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 Administrative Agent shall have received a certificate of a Financial Officer, in form and substance satisfactory to the Administrative Agent, dated the Effective Date, to the effect that since December 31, 2017, no Material Adverse Change has occurred, except as has been previously disclosed by the Borrower in documents filed with the SEC prior to the Effective Date.</w:t>
      </w:r>
    </w:p>
    <w:p>
      <w:pPr>
        <w:spacing w:after="0" w:line="191" w:lineRule="exact"/>
        <w:rPr>
          <w:rFonts w:ascii="Arial" w:cs="Arial" w:eastAsia="Arial" w:hAnsi="Arial"/>
          <w:sz w:val="20"/>
          <w:szCs w:val="20"/>
          <w:color w:val="auto"/>
        </w:rPr>
      </w:pPr>
    </w:p>
    <w:p>
      <w:pPr>
        <w:jc w:val="both"/>
        <w:ind w:firstLine="1305"/>
        <w:spacing w:after="0" w:line="272" w:lineRule="auto"/>
        <w:tabs>
          <w:tab w:leader="none" w:pos="1748"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KYC</w:t>
      </w:r>
      <w:r>
        <w:rPr>
          <w:rFonts w:ascii="Arial" w:cs="Arial" w:eastAsia="Arial" w:hAnsi="Arial"/>
          <w:sz w:val="18"/>
          <w:szCs w:val="18"/>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w:t>
      </w:r>
    </w:p>
    <w:p>
      <w:pPr>
        <w:spacing w:after="0" w:line="1" w:lineRule="exact"/>
        <w:rPr>
          <w:rFonts w:ascii="Arial" w:cs="Arial" w:eastAsia="Arial" w:hAnsi="Arial"/>
          <w:sz w:val="18"/>
          <w:szCs w:val="18"/>
          <w:color w:val="auto"/>
        </w:rPr>
      </w:pPr>
    </w:p>
    <w:p>
      <w:pPr>
        <w:jc w:val="both"/>
        <w:ind w:firstLine="8"/>
        <w:spacing w:after="0"/>
        <w:tabs>
          <w:tab w:leader="none" w:pos="30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98" w:lineRule="exact"/>
        <w:rPr>
          <w:rFonts w:ascii="Arial" w:cs="Arial" w:eastAsia="Arial" w:hAnsi="Arial"/>
          <w:sz w:val="20"/>
          <w:szCs w:val="20"/>
          <w:color w:val="auto"/>
        </w:rPr>
      </w:pPr>
    </w:p>
    <w:p>
      <w:pPr>
        <w:jc w:val="both"/>
        <w:ind w:firstLine="1305"/>
        <w:spacing w:after="0" w:line="250" w:lineRule="auto"/>
        <w:tabs>
          <w:tab w:leader="none" w:pos="1798"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All governmental and third party approvals necessary or, in the discretion of the Administrative Agent, advisable in connection with the financing and the continuing operations of the Borrower and its subsidiaries shall have been obtained and be in full force.</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Such other documents as any Lender or its counsel may have reasonably requested.</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 and the Credit Parties when the conditions set forth above have been satisfied or waived, and such notice shall be conclusive and binding.</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 Loan on the occasion of any Borrowing, and of the Issuing Banks to issue, increase, amend, renew or extend a Letter of Credit, is subject to the satisfaction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44" w:lineRule="auto"/>
        <w:tabs>
          <w:tab w:leader="none" w:pos="173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set forth in the Loan Documents (other than the representations and warranties in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of this Agreement) shall be true and correct on and as of the date of such Borrowing or the date of such issuance, increase, amendment, renewal or extension, as applicable, except to the extent such representations and warranties specifically relate to an earlier date, in which case such representations and warranties shall have been true and correct on and as of such earlier date.</w:t>
      </w:r>
    </w:p>
    <w:p>
      <w:pPr>
        <w:spacing w:after="0" w:line="194" w:lineRule="exact"/>
        <w:rPr>
          <w:rFonts w:ascii="Arial" w:cs="Arial" w:eastAsia="Arial" w:hAnsi="Arial"/>
          <w:sz w:val="20"/>
          <w:szCs w:val="20"/>
          <w:color w:val="auto"/>
        </w:rPr>
      </w:pPr>
    </w:p>
    <w:p>
      <w:pPr>
        <w:ind w:firstLine="1305"/>
        <w:spacing w:after="0" w:line="260" w:lineRule="auto"/>
        <w:tabs>
          <w:tab w:leader="none" w:pos="173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such issuance, increase, amendment, renewal or extension, as applicable, no Default shall have occurred and be continuing.</w:t>
      </w:r>
    </w:p>
    <w:p>
      <w:pPr>
        <w:spacing w:after="0" w:line="176" w:lineRule="exact"/>
        <w:rPr>
          <w:rFonts w:ascii="Arial" w:cs="Arial" w:eastAsia="Arial" w:hAnsi="Arial"/>
          <w:sz w:val="20"/>
          <w:szCs w:val="20"/>
          <w:color w:val="auto"/>
        </w:rPr>
      </w:pPr>
    </w:p>
    <w:p>
      <w:pPr>
        <w:ind w:firstLine="1305"/>
        <w:spacing w:after="0" w:line="260" w:lineRule="auto"/>
        <w:tabs>
          <w:tab w:leader="none" w:pos="17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Administrative Agent shall have received a Credit Request and such other documentation and assurances as shall be reasonably required by it in connection herewith.</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Loan or Letter of Credit shall not be prohibited by any applicable law, rule or regulation.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Each Borrowing and each issuance, increase, amendment, renewal or extension of a Letter of Credit shall be deemed to constitute a representation and warranty by the Borrower on the date thereof as to the matters specified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and other amounts payable under the Loan Documents shall have been paid in full and all Letters of Credit have expired or terminated and all LC Disbursements have been reimbursed, the Borrower covenants and agrees with the Credit Parties that:</w:t>
      </w:r>
    </w:p>
    <w:p>
      <w:pPr>
        <w:spacing w:after="0" w:line="18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and each Lender:</w:t>
      </w:r>
    </w:p>
    <w:p>
      <w:pPr>
        <w:spacing w:after="0" w:line="216" w:lineRule="exact"/>
        <w:rPr>
          <w:sz w:val="20"/>
          <w:szCs w:val="20"/>
          <w:color w:val="auto"/>
        </w:rPr>
      </w:pPr>
    </w:p>
    <w:p>
      <w:pPr>
        <w:jc w:val="both"/>
        <w:ind w:firstLine="1305"/>
        <w:spacing w:after="0" w:line="233" w:lineRule="exact"/>
        <w:tabs>
          <w:tab w:leader="none" w:pos="177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As soon as available, but in any event within 120 days after the end of each fiscal year, (i) a copy of the Borrower’s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in respect of such fiscal year required to be filed by the Borrower with the SEC, together with the financial statements attached thereto, and (ii)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195" w:lineRule="exact"/>
        <w:rPr>
          <w:rFonts w:ascii="Arial" w:cs="Arial" w:eastAsia="Arial" w:hAnsi="Arial"/>
          <w:sz w:val="19"/>
          <w:szCs w:val="19"/>
          <w:color w:val="auto"/>
        </w:rPr>
      </w:pPr>
    </w:p>
    <w:p>
      <w:pPr>
        <w:jc w:val="both"/>
        <w:ind w:firstLine="1305"/>
        <w:spacing w:after="0" w:line="232" w:lineRule="exact"/>
        <w:tabs>
          <w:tab w:leader="none" w:pos="173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(i) a copy of the Borrower’s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in respect of such fiscal quarter required to be filed by the Borrower with the SEC, together with the financial statements attached thereto, and (ii)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63" w:lineRule="auto"/>
        <w:tabs>
          <w:tab w:leader="none" w:pos="173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 compliance, as of such fiscal quarter ending date, with </w:t>
      </w:r>
      <w:r>
        <w:rPr>
          <w:rFonts w:ascii="Arial" w:cs="Arial" w:eastAsia="Arial" w:hAnsi="Arial"/>
          <w:sz w:val="19"/>
          <w:szCs w:val="19"/>
          <w:u w:val="single" w:color="auto"/>
          <w:color w:val="auto"/>
        </w:rPr>
        <w:t>Section 7.5</w:t>
      </w:r>
      <w:r>
        <w:rPr>
          <w:rFonts w:ascii="Arial" w:cs="Arial" w:eastAsia="Arial" w:hAnsi="Arial"/>
          <w:sz w:val="19"/>
          <w:szCs w:val="19"/>
          <w:color w:val="auto"/>
        </w:rPr>
        <w:t>, and as to the absence of any Default as of such fiscal quarter ending date and the date of such certificate (or if a Default existed or exists, the nature thereof); and</w:t>
      </w:r>
    </w:p>
    <w:p>
      <w:pPr>
        <w:spacing w:after="0" w:line="176" w:lineRule="exact"/>
        <w:rPr>
          <w:rFonts w:ascii="Arial" w:cs="Arial" w:eastAsia="Arial" w:hAnsi="Arial"/>
          <w:sz w:val="19"/>
          <w:szCs w:val="19"/>
          <w:color w:val="auto"/>
        </w:rPr>
      </w:pPr>
    </w:p>
    <w:p>
      <w:pPr>
        <w:jc w:val="both"/>
        <w:ind w:firstLine="1305"/>
        <w:spacing w:after="0" w:line="244" w:lineRule="auto"/>
        <w:tabs>
          <w:tab w:leader="none" w:pos="170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promptly following any request therefor, (i) such other information regarding the operations, business affairs and financial condition of the Borrower or any Subsidiary, or compliance with the terms of the Loan Documents, as any Credit Party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9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Administrative Agent and each Lender:</w:t>
      </w:r>
    </w:p>
    <w:p>
      <w:pPr>
        <w:spacing w:after="0" w:line="216" w:lineRule="exact"/>
        <w:rPr>
          <w:sz w:val="20"/>
          <w:szCs w:val="20"/>
          <w:color w:val="auto"/>
        </w:rPr>
      </w:pPr>
    </w:p>
    <w:p>
      <w:pPr>
        <w:ind w:firstLine="1305"/>
        <w:spacing w:after="0" w:line="260" w:lineRule="auto"/>
        <w:tabs>
          <w:tab w:leader="none" w:pos="171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76" w:lineRule="exact"/>
        <w:rPr>
          <w:rFonts w:ascii="Arial" w:cs="Arial" w:eastAsia="Arial" w:hAnsi="Arial"/>
          <w:sz w:val="20"/>
          <w:szCs w:val="20"/>
          <w:color w:val="auto"/>
        </w:rPr>
      </w:pPr>
    </w:p>
    <w:p>
      <w:pPr>
        <w:jc w:val="both"/>
        <w:ind w:firstLine="1305"/>
        <w:spacing w:after="0" w:line="260" w:lineRule="auto"/>
        <w:tabs>
          <w:tab w:leader="none" w:pos="180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180" w:lineRule="exact"/>
        <w:rPr>
          <w:rFonts w:ascii="Arial" w:cs="Arial" w:eastAsia="Arial" w:hAnsi="Arial"/>
          <w:sz w:val="19"/>
          <w:szCs w:val="19"/>
          <w:color w:val="auto"/>
        </w:rPr>
      </w:pPr>
    </w:p>
    <w:p>
      <w:pPr>
        <w:jc w:val="both"/>
        <w:ind w:firstLine="1305"/>
        <w:spacing w:after="0" w:line="276" w:lineRule="auto"/>
        <w:tabs>
          <w:tab w:leader="none" w:pos="17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 (ii) 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foregoing set forth in this paragraph would, individually or in the aggregate, reasonably be expected to have a Material Adverse Effect;</w:t>
      </w:r>
    </w:p>
    <w:p>
      <w:pPr>
        <w:spacing w:after="0" w:line="165" w:lineRule="exact"/>
        <w:rPr>
          <w:rFonts w:ascii="Arial" w:cs="Arial" w:eastAsia="Arial" w:hAnsi="Arial"/>
          <w:sz w:val="18"/>
          <w:szCs w:val="18"/>
          <w:color w:val="auto"/>
        </w:rPr>
      </w:pPr>
    </w:p>
    <w:p>
      <w:pPr>
        <w:ind w:left="1720" w:hanging="415"/>
        <w:spacing w:after="0"/>
        <w:tabs>
          <w:tab w:leader="none" w:pos="17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prompt written notice of any change by any Rating Agency in a Senior Debt Rating; and</w:t>
      </w:r>
    </w:p>
    <w:p>
      <w:pPr>
        <w:spacing w:after="0" w:line="215" w:lineRule="exact"/>
        <w:rPr>
          <w:rFonts w:ascii="Arial" w:cs="Arial" w:eastAsia="Arial" w:hAnsi="Arial"/>
          <w:sz w:val="20"/>
          <w:szCs w:val="20"/>
          <w:color w:val="auto"/>
        </w:rPr>
      </w:pPr>
    </w:p>
    <w:p>
      <w:pPr>
        <w:ind w:firstLine="1305"/>
        <w:spacing w:after="0" w:line="260" w:lineRule="auto"/>
        <w:tabs>
          <w:tab w:leader="none" w:pos="176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Arial" w:cs="Arial" w:eastAsia="Arial" w:hAnsi="Arial"/>
          <w:sz w:val="19"/>
          <w:szCs w:val="19"/>
          <w:u w:val="single" w:color="auto"/>
          <w:color w:val="auto"/>
        </w:rPr>
        <w:t>Section 10.1</w:t>
      </w:r>
      <w:r>
        <w:rPr>
          <w:rFonts w:ascii="Arial" w:cs="Arial" w:eastAsia="Arial" w:hAnsi="Arial"/>
          <w:sz w:val="19"/>
          <w:szCs w:val="19"/>
          <w:color w:val="auto"/>
        </w:rPr>
        <w:t>; or (b) on which such documents are posted on the Borrower’s behalf on an Internet or intranet website, if any, to which each Lender and the Administrative have access (whether a commercial, third</w:t>
      </w:r>
      <w:r>
        <w:rPr>
          <w:rFonts w:ascii="MS PGothic" w:cs="MS PGothic" w:eastAsia="MS PGothic" w:hAnsi="MS PGothic"/>
          <w:sz w:val="19"/>
          <w:szCs w:val="19"/>
          <w:color w:val="auto"/>
        </w:rPr>
        <w:t>‑</w:t>
      </w:r>
      <w:r>
        <w:rPr>
          <w:rFonts w:ascii="Arial" w:cs="Arial" w:eastAsia="Arial" w:hAnsi="Arial"/>
          <w:sz w:val="19"/>
          <w:szCs w:val="19"/>
          <w:color w:val="auto"/>
        </w:rPr>
        <w:t xml:space="preserve">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Except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Legal Existence</w:t>
      </w:r>
      <w:r>
        <w:rPr>
          <w:rFonts w:ascii="Arial" w:cs="Arial" w:eastAsia="Arial" w:hAnsi="Arial"/>
          <w:sz w:val="18"/>
          <w:szCs w:val="18"/>
          <w:color w:val="auto"/>
        </w:rPr>
        <w:t xml:space="preserve">. Except as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the Borrower shall maintain its legal existence in 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The Borrower shall pay and discharge when due, and cause each of the Subsidiaries so to do, all Taxes imposed 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Borrower shall maintain, and cause each of its Subsidiaries to maintain, with financially sound and 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Condition of Property</w:t>
      </w:r>
      <w:r>
        <w:rPr>
          <w:rFonts w:ascii="Arial" w:cs="Arial" w:eastAsia="Arial" w:hAnsi="Arial"/>
          <w:sz w:val="19"/>
          <w:szCs w:val="19"/>
          <w:color w:val="auto"/>
        </w:rPr>
        <w:t xml:space="preserve">. The Borrower shall at all times maintain, protect and keep in good repair, working order and 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 only to working order and condition of such property in accordance with prudent industry practices and shall not be construed as a covenant not to dispose of property.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u w:val="single" w:color="auto"/>
          <w:color w:val="auto"/>
        </w:rPr>
        <w:t>Observance of Legal Requirements</w:t>
      </w:r>
      <w:r>
        <w:rPr>
          <w:rFonts w:ascii="Arial" w:cs="Arial" w:eastAsia="Arial" w:hAnsi="Arial"/>
          <w:sz w:val="20"/>
          <w:szCs w:val="20"/>
          <w:color w:val="auto"/>
        </w:rPr>
        <w:t>. The Borrower shall observe and comply in all material respects, and 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xml:space="preserve">. The Borrower shall keep proper books of record and account in conformity with GAAP and all requirements of law. The Borrower shall permit representatives of the Administrative Agent and any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 Borrower and its Subsidiaries with the officers thereof and the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Administrative Agent, its agents, its representatives or the Lenders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of such litigation;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case of any discussion with the Accountants, the Borrower shall have been given the opportunity to participate in such discussion and, unless a Default exists, the Lender or Lenders requesting such discussion shall pay any fees and expenses of the Accountant in connection therewith.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and other amounts payable under the Loan Documents shall have been paid in full and all Letters of Credit have expired and all LC Disbursements have been reimbursed, the Borrower covenants and agrees with the Credit Parties that: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Liens</w:t>
      </w:r>
      <w:r>
        <w:rPr>
          <w:rFonts w:ascii="Arial" w:cs="Arial" w:eastAsia="Arial" w:hAnsi="Arial"/>
          <w:sz w:val="20"/>
          <w:szCs w:val="20"/>
          <w:color w:val="auto"/>
        </w:rPr>
        <w:t>. The Borrower shall not, and shall not permit any Subsidiary to, create, incur, assume or suffer to exist any Lien upon any of its property, whether now owned or hereafter acquired by it, except:</w:t>
      </w:r>
    </w:p>
    <w:p>
      <w:pPr>
        <w:spacing w:after="0" w:line="177" w:lineRule="exact"/>
        <w:rPr>
          <w:sz w:val="20"/>
          <w:szCs w:val="20"/>
          <w:color w:val="auto"/>
        </w:rPr>
      </w:pPr>
    </w:p>
    <w:p>
      <w:pPr>
        <w:ind w:left="1700" w:hanging="395"/>
        <w:spacing w:after="0"/>
        <w:tabs>
          <w:tab w:leader="none" w:pos="1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Liens now existing or hereafter arising in favor of the Administrative Agent or the Lenders under the Loan Documents;</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firstLine="1305"/>
        <w:spacing w:after="0" w:line="258" w:lineRule="auto"/>
        <w:tabs>
          <w:tab w:leader="none" w:pos="173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179" w:lineRule="exact"/>
        <w:rPr>
          <w:rFonts w:ascii="Arial" w:cs="Arial" w:eastAsia="Arial" w:hAnsi="Arial"/>
          <w:sz w:val="19"/>
          <w:szCs w:val="19"/>
          <w:color w:val="auto"/>
        </w:rPr>
      </w:pPr>
    </w:p>
    <w:p>
      <w:pPr>
        <w:jc w:val="both"/>
        <w:ind w:firstLine="1305"/>
        <w:spacing w:after="0" w:line="255" w:lineRule="auto"/>
        <w:tabs>
          <w:tab w:leader="none" w:pos="176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(and in the case of construction or improvement, any theretofore unimproved real property on which the property so constructed or the improvement is located) and </w:t>
      </w:r>
      <w:r>
        <w:rPr>
          <w:rFonts w:ascii="Arial" w:cs="Arial" w:eastAsia="Arial" w:hAnsi="Arial"/>
          <w:sz w:val="19"/>
          <w:szCs w:val="19"/>
          <w:u w:val="single" w:color="auto"/>
          <w:color w:val="auto"/>
        </w:rPr>
        <w:t>paragraph (f)</w:t>
      </w:r>
      <w:r>
        <w:rPr>
          <w:rFonts w:ascii="Arial" w:cs="Arial" w:eastAsia="Arial" w:hAnsi="Arial"/>
          <w:sz w:val="19"/>
          <w:szCs w:val="19"/>
          <w:color w:val="auto"/>
        </w:rPr>
        <w:t>, as applicable, of the Borrower or any Subsidiary;</w:t>
      </w:r>
    </w:p>
    <w:p>
      <w:pPr>
        <w:spacing w:after="0" w:line="185" w:lineRule="exact"/>
        <w:rPr>
          <w:rFonts w:ascii="Arial" w:cs="Arial" w:eastAsia="Arial" w:hAnsi="Arial"/>
          <w:sz w:val="19"/>
          <w:szCs w:val="19"/>
          <w:color w:val="auto"/>
        </w:rPr>
      </w:pPr>
    </w:p>
    <w:p>
      <w:pPr>
        <w:ind w:left="1700" w:hanging="395"/>
        <w:spacing w:after="0"/>
        <w:tabs>
          <w:tab w:leader="none" w:pos="17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Liens created under or in connection with the Mortgage and the SWLP Mortgage;</w:t>
      </w:r>
    </w:p>
    <w:p>
      <w:pPr>
        <w:spacing w:after="0" w:line="215" w:lineRule="exact"/>
        <w:rPr>
          <w:rFonts w:ascii="Arial" w:cs="Arial" w:eastAsia="Arial" w:hAnsi="Arial"/>
          <w:sz w:val="20"/>
          <w:szCs w:val="20"/>
          <w:color w:val="auto"/>
        </w:rPr>
      </w:pPr>
    </w:p>
    <w:p>
      <w:pPr>
        <w:jc w:val="both"/>
        <w:ind w:firstLine="1305"/>
        <w:spacing w:after="0" w:line="291" w:lineRule="auto"/>
        <w:tabs>
          <w:tab w:leader="none" w:pos="17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18"/>
          <w:szCs w:val="18"/>
          <w:u w:val="single" w:color="auto"/>
          <w:color w:val="auto"/>
        </w:rPr>
        <w:t>paragraph (d)</w:t>
      </w:r>
      <w:r>
        <w:rPr>
          <w:rFonts w:ascii="Arial" w:cs="Arial" w:eastAsia="Arial" w:hAnsi="Arial"/>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1720" w:hanging="415"/>
        <w:spacing w:after="0"/>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created to secure Indebtedness of any Subsidiary to the Borrower or to any other Subsidiary;</w:t>
      </w:r>
    </w:p>
    <w:p>
      <w:pPr>
        <w:spacing w:after="0" w:line="215" w:lineRule="exact"/>
        <w:rPr>
          <w:rFonts w:ascii="Arial" w:cs="Arial" w:eastAsia="Arial" w:hAnsi="Arial"/>
          <w:sz w:val="20"/>
          <w:szCs w:val="20"/>
          <w:color w:val="auto"/>
        </w:rPr>
      </w:pPr>
    </w:p>
    <w:p>
      <w:pPr>
        <w:jc w:val="both"/>
        <w:ind w:firstLine="1305"/>
        <w:spacing w:after="0" w:line="246" w:lineRule="auto"/>
        <w:tabs>
          <w:tab w:leader="none" w:pos="174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described in this paragraph shall secure Indebtedness;</w:t>
      </w:r>
    </w:p>
    <w:p>
      <w:pPr>
        <w:spacing w:after="0" w:line="191" w:lineRule="exact"/>
        <w:rPr>
          <w:rFonts w:ascii="Arial" w:cs="Arial" w:eastAsia="Arial" w:hAnsi="Arial"/>
          <w:sz w:val="20"/>
          <w:szCs w:val="20"/>
          <w:color w:val="auto"/>
        </w:rPr>
      </w:pPr>
    </w:p>
    <w:p>
      <w:pPr>
        <w:jc w:val="both"/>
        <w:ind w:firstLine="1305"/>
        <w:spacing w:after="0" w:line="260" w:lineRule="auto"/>
        <w:tabs>
          <w:tab w:leader="none" w:pos="171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80" w:lineRule="exact"/>
        <w:rPr>
          <w:rFonts w:ascii="Arial" w:cs="Arial" w:eastAsia="Arial" w:hAnsi="Arial"/>
          <w:sz w:val="19"/>
          <w:szCs w:val="19"/>
          <w:color w:val="auto"/>
        </w:rPr>
      </w:pPr>
    </w:p>
    <w:p>
      <w:pPr>
        <w:jc w:val="both"/>
        <w:ind w:firstLine="1305"/>
        <w:spacing w:after="0" w:line="250" w:lineRule="auto"/>
        <w:tabs>
          <w:tab w:leader="none" w:pos="177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before and immediately after giving effect to the making of such defeasance, no Default shall exist;</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Liens on all CoBank Equities now owned or hereafter acquired by the Borrower; and</w:t>
      </w:r>
    </w:p>
    <w:p>
      <w:pPr>
        <w:spacing w:after="0" w:line="215" w:lineRule="exact"/>
        <w:rPr>
          <w:rFonts w:ascii="Arial" w:cs="Arial" w:eastAsia="Arial" w:hAnsi="Arial"/>
          <w:sz w:val="20"/>
          <w:szCs w:val="20"/>
          <w:color w:val="auto"/>
        </w:rPr>
      </w:pPr>
    </w:p>
    <w:p>
      <w:pPr>
        <w:jc w:val="both"/>
        <w:ind w:firstLine="1305"/>
        <w:spacing w:after="0" w:line="386" w:lineRule="auto"/>
        <w:tabs>
          <w:tab w:leader="none" w:pos="17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any Lien, in addition to those described in the foregoing </w:t>
      </w:r>
      <w:r>
        <w:rPr>
          <w:rFonts w:ascii="Arial" w:cs="Arial" w:eastAsia="Arial" w:hAnsi="Arial"/>
          <w:sz w:val="16"/>
          <w:szCs w:val="16"/>
          <w:u w:val="single" w:color="auto"/>
          <w:color w:val="auto"/>
        </w:rPr>
        <w:t>paragraphs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(k)</w:t>
      </w:r>
      <w:r>
        <w:rPr>
          <w:rFonts w:ascii="Arial" w:cs="Arial" w:eastAsia="Arial" w:hAnsi="Arial"/>
          <w:sz w:val="16"/>
          <w:szCs w:val="16"/>
          <w:color w:val="auto"/>
        </w:rPr>
        <w:t xml:space="preserve">, securing obligations that, together with all other obligations secured pursuant to this </w:t>
      </w:r>
      <w:r>
        <w:rPr>
          <w:rFonts w:ascii="Arial" w:cs="Arial" w:eastAsia="Arial" w:hAnsi="Arial"/>
          <w:sz w:val="16"/>
          <w:szCs w:val="16"/>
          <w:u w:val="single" w:color="auto"/>
          <w:color w:val="auto"/>
        </w:rPr>
        <w:t>paragraph (l)</w:t>
      </w:r>
      <w:r>
        <w:rPr>
          <w:rFonts w:ascii="Arial" w:cs="Arial" w:eastAsia="Arial" w:hAnsi="Arial"/>
          <w:sz w:val="16"/>
          <w:szCs w:val="16"/>
          <w:color w:val="auto"/>
        </w:rPr>
        <w:t>, do not exceed 10% of Consolidated Assets at the time of the incurrence thereof.</w:t>
      </w:r>
    </w:p>
    <w:p>
      <w:pPr>
        <w:spacing w:after="0" w:line="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Merger; Consolidation</w:t>
      </w:r>
      <w:r>
        <w:rPr>
          <w:rFonts w:ascii="Arial" w:cs="Arial" w:eastAsia="Arial" w:hAnsi="Arial"/>
          <w:sz w:val="20"/>
          <w:szCs w:val="20"/>
          <w:color w:val="auto"/>
        </w:rPr>
        <w:t>. The Borrower shall not, and shall not permit any Subsidiary (excluding any Immaterial Subsidiary) to undergo a Division (as defined in Section 18-217 of the Delaware Limited Liability Company Act) or consolidate with or merge into any other Person (other than a merger of a Subsidiary into, or a consolidation of a Subsidiary with, the Borrower or another Subsidiary), unless:</w:t>
      </w:r>
    </w:p>
    <w:p>
      <w:pPr>
        <w:spacing w:after="0" w:line="192" w:lineRule="exact"/>
        <w:rPr>
          <w:sz w:val="20"/>
          <w:szCs w:val="20"/>
          <w:color w:val="auto"/>
        </w:rPr>
      </w:pPr>
    </w:p>
    <w:p>
      <w:pPr>
        <w:ind w:left="2360" w:hanging="407"/>
        <w:spacing w:after="0"/>
        <w:tabs>
          <w:tab w:leader="none" w:pos="23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immediately before and after giving effect thereto no Default shall exist;</w:t>
      </w:r>
    </w:p>
    <w:p>
      <w:pPr>
        <w:spacing w:after="0" w:line="215" w:lineRule="exact"/>
        <w:rPr>
          <w:rFonts w:ascii="Arial" w:cs="Arial" w:eastAsia="Arial" w:hAnsi="Arial"/>
          <w:sz w:val="20"/>
          <w:szCs w:val="20"/>
          <w:color w:val="auto"/>
        </w:rPr>
      </w:pPr>
    </w:p>
    <w:p>
      <w:pPr>
        <w:jc w:val="both"/>
        <w:ind w:left="1300" w:firstLine="653"/>
        <w:spacing w:after="0" w:line="278" w:lineRule="auto"/>
        <w:tabs>
          <w:tab w:leader="none" w:pos="23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Administrative Agent and the Lenders and are satisfactory to the Administrative Agent and the Lenders; and</w:t>
      </w:r>
    </w:p>
    <w:p>
      <w:pPr>
        <w:spacing w:after="0" w:line="165" w:lineRule="exact"/>
        <w:rPr>
          <w:rFonts w:ascii="Arial" w:cs="Arial" w:eastAsia="Arial" w:hAnsi="Arial"/>
          <w:sz w:val="18"/>
          <w:szCs w:val="18"/>
          <w:color w:val="auto"/>
        </w:rPr>
      </w:pPr>
    </w:p>
    <w:p>
      <w:pPr>
        <w:jc w:val="both"/>
        <w:ind w:left="1300" w:firstLine="653"/>
        <w:spacing w:after="0" w:line="272" w:lineRule="auto"/>
        <w:tabs>
          <w:tab w:leader="none" w:pos="23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9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shall not, and shall not permit any of its Subsidiaries to, sell, 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 length basis from unrelated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3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Permitted Hedge Agreements</w:t>
      </w:r>
      <w:r>
        <w:rPr>
          <w:rFonts w:ascii="Arial" w:cs="Arial" w:eastAsia="Arial" w:hAnsi="Arial"/>
          <w:sz w:val="20"/>
          <w:szCs w:val="20"/>
          <w:color w:val="auto"/>
        </w:rPr>
        <w:t xml:space="preserve">. The Borrower shall not enter into any Hedge Agreements other than (a) Permitted Hedge Agreements and (b) 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Financial Covenant</w:t>
      </w:r>
      <w:r>
        <w:rPr>
          <w:rFonts w:ascii="Arial" w:cs="Arial" w:eastAsia="Arial" w:hAnsi="Arial"/>
          <w:sz w:val="20"/>
          <w:szCs w:val="20"/>
          <w:color w:val="auto"/>
        </w:rPr>
        <w:t>. The Borrower will not permit Total Indebtedness to be greater than 65% of Total Capitalization as of the end of any fiscal quarter.</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Anti-Money Laundering and Anti-Terrorism Finance Laws; Foreign Corrupt Practices Act; Sanctions Laws; 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The Borrower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Loans or the issuance of the Letters of Credit would be in violation of any applicable law, (iii) use any part of the proceeds of the Loans or the Letters of Credit, in furtherance of an offer, payment, promise to pay, or authorization of the payment or giving of money, or anything else of value, to any Person in violation of any Anti-Corruption Laws; (iv) use any of the proceeds from the Loans or the Letters of Credit to finance any operations, investments or activities in, or make any payments to, any Restricted Person or in any manner that would result in the violation of any applicable sanctions.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EVENTS OF DEFAULT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216" w:lineRule="exact"/>
        <w:rPr>
          <w:sz w:val="20"/>
          <w:szCs w:val="20"/>
          <w:color w:val="auto"/>
        </w:rPr>
      </w:pPr>
    </w:p>
    <w:p>
      <w:pPr>
        <w:jc w:val="both"/>
        <w:ind w:firstLine="1305"/>
        <w:spacing w:after="0" w:line="250" w:lineRule="auto"/>
        <w:tabs>
          <w:tab w:leader="none" w:pos="1858"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46" w:lineRule="auto"/>
        <w:tabs>
          <w:tab w:leader="none" w:pos="184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interest on any Loan or on any reimbursement obligation in respect of any LC Disbursement or any fee, commission or any other amount (other than an amount referred to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of this Article) payable under any Loan Document, when and as the same shall become due and payable, and such failure shall continue unremedied for a period of five Business Days;</w:t>
      </w:r>
    </w:p>
    <w:p>
      <w:pPr>
        <w:spacing w:after="0" w:line="191" w:lineRule="exact"/>
        <w:rPr>
          <w:rFonts w:ascii="Arial" w:cs="Arial" w:eastAsia="Arial" w:hAnsi="Arial"/>
          <w:sz w:val="20"/>
          <w:szCs w:val="20"/>
          <w:color w:val="auto"/>
        </w:rPr>
      </w:pPr>
    </w:p>
    <w:p>
      <w:pPr>
        <w:jc w:val="both"/>
        <w:ind w:firstLine="1305"/>
        <w:spacing w:after="0" w:line="263" w:lineRule="auto"/>
        <w:tabs>
          <w:tab w:leader="none" w:pos="1831"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pacing w:after="0" w:line="176" w:lineRule="exact"/>
        <w:rPr>
          <w:rFonts w:ascii="Arial" w:cs="Arial" w:eastAsia="Arial" w:hAnsi="Arial"/>
          <w:sz w:val="19"/>
          <w:szCs w:val="19"/>
          <w:color w:val="auto"/>
        </w:rPr>
      </w:pPr>
    </w:p>
    <w:p>
      <w:pPr>
        <w:ind w:firstLine="1305"/>
        <w:spacing w:after="0" w:line="260" w:lineRule="auto"/>
        <w:tabs>
          <w:tab w:leader="none" w:pos="1721"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7.5</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305"/>
        <w:spacing w:after="0" w:line="316" w:lineRule="auto"/>
        <w:tabs>
          <w:tab w:leader="none" w:pos="16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such failure shall continue unremedied for a period of ten days after the Borrower shall have obtained knowledge thereof.</w:t>
      </w:r>
    </w:p>
    <w:p>
      <w:pPr>
        <w:spacing w:after="0" w:line="130" w:lineRule="exact"/>
        <w:rPr>
          <w:rFonts w:ascii="Arial" w:cs="Arial" w:eastAsia="Arial" w:hAnsi="Arial"/>
          <w:sz w:val="18"/>
          <w:szCs w:val="18"/>
          <w:color w:val="auto"/>
        </w:rPr>
      </w:pPr>
    </w:p>
    <w:p>
      <w:pPr>
        <w:jc w:val="both"/>
        <w:ind w:firstLine="1305"/>
        <w:spacing w:after="0" w:line="250" w:lineRule="auto"/>
        <w:tabs>
          <w:tab w:leader="none" w:pos="171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this Article), and such failure shall continue unremedied for a period of 30 days after the Borrower shall have obtained knowledge thereof;</w:t>
      </w:r>
    </w:p>
    <w:p>
      <w:pPr>
        <w:spacing w:after="0" w:line="186" w:lineRule="exact"/>
        <w:rPr>
          <w:rFonts w:ascii="Arial" w:cs="Arial" w:eastAsia="Arial" w:hAnsi="Arial"/>
          <w:sz w:val="20"/>
          <w:szCs w:val="20"/>
          <w:color w:val="auto"/>
        </w:rPr>
      </w:pPr>
    </w:p>
    <w:p>
      <w:pPr>
        <w:jc w:val="both"/>
        <w:ind w:firstLine="1305"/>
        <w:spacing w:after="0" w:line="250" w:lineRule="auto"/>
        <w:tabs>
          <w:tab w:leader="none" w:pos="170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86" w:lineRule="exact"/>
        <w:rPr>
          <w:rFonts w:ascii="Arial" w:cs="Arial" w:eastAsia="Arial" w:hAnsi="Arial"/>
          <w:sz w:val="20"/>
          <w:szCs w:val="20"/>
          <w:color w:val="auto"/>
        </w:rPr>
      </w:pPr>
    </w:p>
    <w:p>
      <w:pPr>
        <w:jc w:val="both"/>
        <w:ind w:firstLine="1305"/>
        <w:spacing w:after="0" w:line="302" w:lineRule="auto"/>
        <w:tabs>
          <w:tab w:leader="none" w:pos="174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provided that this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 (iii) intercompany indebtedness or</w:t>
      </w:r>
    </w:p>
    <w:p>
      <w:pPr>
        <w:spacing w:after="0" w:line="2" w:lineRule="exact"/>
        <w:rPr>
          <w:rFonts w:ascii="Arial" w:cs="Arial" w:eastAsia="Arial" w:hAnsi="Arial"/>
          <w:sz w:val="16"/>
          <w:szCs w:val="16"/>
          <w:color w:val="auto"/>
        </w:rPr>
      </w:pPr>
    </w:p>
    <w:p>
      <w:pPr>
        <w:ind w:right="20" w:firstLine="8"/>
        <w:spacing w:after="0" w:line="244" w:lineRule="auto"/>
        <w:tabs>
          <w:tab w:leader="none" w:pos="3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exercise of any contractual right to cause the prepayment of any Material Obligations (other than the exercise of a remedy for an event of default under the applicable contract or agreement);</w:t>
      </w:r>
    </w:p>
    <w:p>
      <w:pPr>
        <w:spacing w:after="0" w:line="191" w:lineRule="exact"/>
        <w:rPr>
          <w:rFonts w:ascii="Arial" w:cs="Arial" w:eastAsia="Arial" w:hAnsi="Arial"/>
          <w:sz w:val="20"/>
          <w:szCs w:val="20"/>
          <w:color w:val="auto"/>
        </w:rPr>
      </w:pPr>
    </w:p>
    <w:p>
      <w:pPr>
        <w:jc w:val="both"/>
        <w:ind w:firstLine="1305"/>
        <w:spacing w:after="0" w:line="270" w:lineRule="auto"/>
        <w:tabs>
          <w:tab w:leader="none" w:pos="171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except for Immaterial Transactions and transactions expressly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305"/>
        <w:spacing w:after="0" w:line="257" w:lineRule="auto"/>
        <w:tabs>
          <w:tab w:leader="none" w:pos="169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pacing w:after="0" w:line="181" w:lineRule="exact"/>
        <w:rPr>
          <w:rFonts w:ascii="Arial" w:cs="Arial" w:eastAsia="Arial" w:hAnsi="Arial"/>
          <w:sz w:val="19"/>
          <w:szCs w:val="19"/>
          <w:color w:val="auto"/>
        </w:rPr>
      </w:pPr>
    </w:p>
    <w:p>
      <w:pPr>
        <w:jc w:val="both"/>
        <w:ind w:firstLine="1305"/>
        <w:spacing w:after="0" w:line="246" w:lineRule="auto"/>
        <w:tabs>
          <w:tab w:leader="none" w:pos="172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91" w:lineRule="exact"/>
        <w:rPr>
          <w:rFonts w:ascii="Arial" w:cs="Arial" w:eastAsia="Arial" w:hAnsi="Arial"/>
          <w:sz w:val="20"/>
          <w:szCs w:val="20"/>
          <w:color w:val="auto"/>
        </w:rPr>
      </w:pPr>
    </w:p>
    <w:p>
      <w:pPr>
        <w:ind w:firstLine="1305"/>
        <w:spacing w:after="0" w:line="260" w:lineRule="auto"/>
        <w:tabs>
          <w:tab w:leader="none" w:pos="169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 thereunder;</w:t>
      </w:r>
    </w:p>
    <w:p>
      <w:pPr>
        <w:spacing w:after="0" w:line="176" w:lineRule="exact"/>
        <w:rPr>
          <w:rFonts w:ascii="Arial" w:cs="Arial" w:eastAsia="Arial" w:hAnsi="Arial"/>
          <w:sz w:val="20"/>
          <w:szCs w:val="20"/>
          <w:color w:val="auto"/>
        </w:rPr>
      </w:pPr>
    </w:p>
    <w:p>
      <w:pPr>
        <w:ind w:firstLine="1305"/>
        <w:spacing w:after="0" w:line="260" w:lineRule="auto"/>
        <w:tabs>
          <w:tab w:leader="none" w:pos="183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firstLine="1305"/>
        <w:spacing w:after="0" w:line="287" w:lineRule="auto"/>
        <w:tabs>
          <w:tab w:leader="none" w:pos="180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52" w:lineRule="exact"/>
        <w:rPr>
          <w:rFonts w:ascii="Arial" w:cs="Arial" w:eastAsia="Arial" w:hAnsi="Arial"/>
          <w:sz w:val="19"/>
          <w:szCs w:val="19"/>
          <w:color w:val="auto"/>
        </w:rPr>
      </w:pPr>
    </w:p>
    <w:p>
      <w:pPr>
        <w:ind w:left="1720" w:hanging="415"/>
        <w:spacing w:after="0"/>
        <w:tabs>
          <w:tab w:leader="none" w:pos="1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Change in Control shall occur; or</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Borrower shall fail to own, directly or indirectly, substantially all of the assets of Minnesota Power;</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then, and in every such event (other than an event described in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under the Loan Documents, shall become due and payable immediately, without presentment, demand, protest or other notice of any kind, all of which are hereby waived by the Borrower; and in case of any event described in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 Commitments shall automatically terminate and the principal of the Loans then outstanding, together with accrued interest thereon and all fees and other obligations of the Borrower accrued under the Loan Documents,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50" w:lineRule="auto"/>
        <w:tabs>
          <w:tab w:leader="none" w:pos="176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Each Credit Party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78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91" w:lineRule="exact"/>
        <w:rPr>
          <w:rFonts w:ascii="Arial" w:cs="Arial" w:eastAsia="Arial" w:hAnsi="Arial"/>
          <w:sz w:val="20"/>
          <w:szCs w:val="20"/>
          <w:color w:val="auto"/>
        </w:rPr>
      </w:pPr>
    </w:p>
    <w:p>
      <w:pPr>
        <w:jc w:val="both"/>
        <w:ind w:firstLine="1305"/>
        <w:spacing w:after="0" w:line="269" w:lineRule="auto"/>
        <w:tabs>
          <w:tab w:leader="none" w:pos="18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2" w:lineRule="exact"/>
        <w:rPr>
          <w:rFonts w:ascii="Arial" w:cs="Arial" w:eastAsia="Arial" w:hAnsi="Arial"/>
          <w:sz w:val="18"/>
          <w:szCs w:val="18"/>
          <w:color w:val="auto"/>
        </w:rPr>
      </w:pPr>
    </w:p>
    <w:p>
      <w:pPr>
        <w:jc w:val="both"/>
        <w:ind w:firstLine="1305"/>
        <w:spacing w:after="0" w:line="246" w:lineRule="auto"/>
        <w:tabs>
          <w:tab w:leader="none" w:pos="170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300" w:firstLine="653"/>
        <w:spacing w:after="0" w:line="272" w:lineRule="auto"/>
        <w:tabs>
          <w:tab w:leader="none" w:pos="231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or Issuing Bank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71" w:lineRule="exact"/>
        <w:rPr>
          <w:rFonts w:ascii="Arial" w:cs="Arial" w:eastAsia="Arial" w:hAnsi="Arial"/>
          <w:sz w:val="18"/>
          <w:szCs w:val="18"/>
          <w:color w:val="auto"/>
        </w:rPr>
      </w:pPr>
    </w:p>
    <w:p>
      <w:pPr>
        <w:ind w:left="1300" w:right="20" w:firstLine="653"/>
        <w:spacing w:after="0" w:line="260" w:lineRule="auto"/>
        <w:tabs>
          <w:tab w:leader="none" w:pos="2478" w:val="left"/>
        </w:tabs>
        <w:numPr>
          <w:ilvl w:val="1"/>
          <w:numId w:val="121"/>
        </w:numPr>
        <w:rPr>
          <w:rFonts w:ascii="Arial" w:cs="Arial" w:eastAsia="Arial" w:hAnsi="Arial"/>
          <w:sz w:val="20"/>
          <w:szCs w:val="20"/>
          <w:color w:val="auto"/>
        </w:rPr>
      </w:pPr>
      <w:r>
        <w:rPr>
          <w:rFonts w:ascii="Arial" w:cs="Arial" w:eastAsia="Arial" w:hAnsi="Arial"/>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76" w:lineRule="exact"/>
        <w:rPr>
          <w:rFonts w:ascii="Arial" w:cs="Arial" w:eastAsia="Arial" w:hAnsi="Arial"/>
          <w:sz w:val="20"/>
          <w:szCs w:val="20"/>
          <w:color w:val="auto"/>
        </w:rPr>
      </w:pPr>
    </w:p>
    <w:p>
      <w:pPr>
        <w:jc w:val="both"/>
        <w:ind w:firstLine="1305"/>
        <w:spacing w:after="0" w:line="274" w:lineRule="auto"/>
        <w:tabs>
          <w:tab w:leader="none" w:pos="17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9" w:lineRule="exact"/>
        <w:rPr>
          <w:rFonts w:ascii="Arial" w:cs="Arial" w:eastAsia="Arial" w:hAnsi="Arial"/>
          <w:sz w:val="18"/>
          <w:szCs w:val="18"/>
          <w:color w:val="auto"/>
        </w:rPr>
      </w:pPr>
    </w:p>
    <w:p>
      <w:pPr>
        <w:jc w:val="both"/>
        <w:ind w:firstLine="1305"/>
        <w:spacing w:after="0" w:line="250" w:lineRule="auto"/>
        <w:tabs>
          <w:tab w:leader="none" w:pos="170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Sole Lead Arranger and Sole Bookrunner shall have no obligations or duties whatsoever in such capacity under this Agreement or any other Loan Document and shall incur no liability hereunder or thereunder in such capacity, but shall have the benefit of the indemnities provided for hereunder.</w:t>
      </w:r>
    </w:p>
    <w:p>
      <w:pPr>
        <w:spacing w:after="0" w:line="186" w:lineRule="exact"/>
        <w:rPr>
          <w:rFonts w:ascii="Arial" w:cs="Arial" w:eastAsia="Arial" w:hAnsi="Arial"/>
          <w:sz w:val="20"/>
          <w:szCs w:val="20"/>
          <w:color w:val="auto"/>
        </w:rPr>
      </w:pPr>
    </w:p>
    <w:p>
      <w:pPr>
        <w:jc w:val="both"/>
        <w:ind w:firstLine="1305"/>
        <w:spacing w:after="0" w:line="244" w:lineRule="auto"/>
        <w:tabs>
          <w:tab w:leader="none" w:pos="17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4" w:lineRule="exact"/>
        <w:rPr>
          <w:rFonts w:ascii="Arial" w:cs="Arial" w:eastAsia="Arial" w:hAnsi="Arial"/>
          <w:sz w:val="20"/>
          <w:szCs w:val="20"/>
          <w:color w:val="auto"/>
        </w:rPr>
      </w:pPr>
    </w:p>
    <w:p>
      <w:pPr>
        <w:jc w:val="both"/>
        <w:ind w:left="1300" w:firstLine="653"/>
        <w:spacing w:after="0" w:line="282" w:lineRule="auto"/>
        <w:tabs>
          <w:tab w:leader="none" w:pos="236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under the Loan Documents that are owing and unpaid and to file such other documents as may be necessary or advisable in order to have the claims of the Lenders, the Issuing Banks and the Administrative Agent (including any claim under Sections 3.1, 3.3, 3.5, 3.7 and 10.3) allowed in such judicial proceeding; and</w:t>
      </w:r>
    </w:p>
    <w:p>
      <w:pPr>
        <w:spacing w:after="0" w:line="161" w:lineRule="exact"/>
        <w:rPr>
          <w:rFonts w:ascii="Arial" w:cs="Arial" w:eastAsia="Arial" w:hAnsi="Arial"/>
          <w:sz w:val="18"/>
          <w:szCs w:val="18"/>
          <w:color w:val="auto"/>
        </w:rPr>
      </w:pPr>
    </w:p>
    <w:p>
      <w:pPr>
        <w:jc w:val="both"/>
        <w:ind w:left="1300" w:firstLine="653"/>
        <w:spacing w:after="0" w:line="257" w:lineRule="auto"/>
        <w:tabs>
          <w:tab w:leader="none" w:pos="237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to collect and receive any monies or other property payable or deliverable on any such claims and to distribute the same; 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Loan Documents (including under </w:t>
      </w:r>
      <w:r>
        <w:rPr>
          <w:rFonts w:ascii="Arial" w:cs="Arial" w:eastAsia="Arial" w:hAnsi="Arial"/>
          <w:sz w:val="19"/>
          <w:szCs w:val="19"/>
          <w:u w:val="single" w:color="auto"/>
          <w:color w:val="auto"/>
        </w:rPr>
        <w:t>Section 10.3</w:t>
      </w:r>
      <w:r>
        <w:rPr>
          <w:rFonts w:ascii="Arial" w:cs="Arial" w:eastAsia="Arial" w:hAnsi="Arial"/>
          <w:sz w:val="19"/>
          <w:szCs w:val="19"/>
          <w:color w:val="auto"/>
        </w:rPr>
        <w:t>). Nothing contained herein shall be deemed to authorize the Administrative Agent to authorize or consent to or accept or adopt on behalf of any Lender or Issuing Bank any plan of reorganization, arrangement, adjustment or composition affecting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the obligations or the rights of any Lender or Issuing Bank or to authorize the Administrative Agent to vote in respect of the claim of any Lender or Issuing Bank in any such proceeding.</w:t>
      </w:r>
    </w:p>
    <w:p>
      <w:pPr>
        <w:spacing w:after="0" w:line="177" w:lineRule="exact"/>
        <w:rPr>
          <w:sz w:val="20"/>
          <w:szCs w:val="20"/>
          <w:color w:val="auto"/>
        </w:rPr>
      </w:pPr>
    </w:p>
    <w:p>
      <w:pPr>
        <w:jc w:val="both"/>
        <w:ind w:firstLine="1305"/>
        <w:spacing w:after="0" w:line="291" w:lineRule="auto"/>
        <w:tabs>
          <w:tab w:leader="none" w:pos="17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5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Administrative Agent’s Reliance, Indemnification, Etc.</w:t>
      </w:r>
    </w:p>
    <w:p>
      <w:pPr>
        <w:spacing w:after="0" w:line="216" w:lineRule="exact"/>
        <w:rPr>
          <w:sz w:val="20"/>
          <w:szCs w:val="20"/>
          <w:color w:val="auto"/>
        </w:rPr>
      </w:pPr>
    </w:p>
    <w:p>
      <w:pPr>
        <w:jc w:val="both"/>
        <w:ind w:firstLine="1305"/>
        <w:spacing w:after="0" w:line="271" w:lineRule="auto"/>
        <w:tabs>
          <w:tab w:leader="none" w:pos="17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Neither the Administrative Agent nor any of its Related Parties shall be (i) liable for any action taken or omitted to be taken by such party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w:t>
      </w:r>
    </w:p>
    <w:p>
      <w:pPr>
        <w:spacing w:after="0" w:line="174" w:lineRule="exact"/>
        <w:rPr>
          <w:rFonts w:ascii="Arial" w:cs="Arial" w:eastAsia="Arial" w:hAnsi="Arial"/>
          <w:sz w:val="18"/>
          <w:szCs w:val="18"/>
          <w:color w:val="auto"/>
        </w:rPr>
      </w:pPr>
    </w:p>
    <w:p>
      <w:pPr>
        <w:jc w:val="both"/>
        <w:ind w:firstLine="1305"/>
        <w:spacing w:after="0" w:line="256" w:lineRule="auto"/>
        <w:tabs>
          <w:tab w:leader="none" w:pos="173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Default unless and until written notice thereof (stating that it is a “notice of default”)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5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81" w:lineRule="exact"/>
        <w:rPr>
          <w:rFonts w:ascii="Arial" w:cs="Arial" w:eastAsia="Arial" w:hAnsi="Arial"/>
          <w:sz w:val="19"/>
          <w:szCs w:val="19"/>
          <w:color w:val="auto"/>
        </w:rPr>
      </w:pPr>
    </w:p>
    <w:p>
      <w:pPr>
        <w:jc w:val="both"/>
        <w:ind w:firstLine="1305"/>
        <w:spacing w:after="0" w:line="270" w:lineRule="auto"/>
        <w:tabs>
          <w:tab w:leader="none" w:pos="17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Without limiting the foregoing, the Administrative Agent (i) may treat the payee of any Note as its holder until such Note has been assigned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(ii) may rely on the Register to the extent set forth in </w:t>
      </w:r>
      <w:r>
        <w:rPr>
          <w:rFonts w:ascii="Arial" w:cs="Arial" w:eastAsia="Arial" w:hAnsi="Arial"/>
          <w:sz w:val="18"/>
          <w:szCs w:val="18"/>
          <w:u w:val="single" w:color="auto"/>
          <w:color w:val="auto"/>
        </w:rPr>
        <w:t>Section 10.4(c)</w:t>
      </w:r>
      <w:r>
        <w:rPr>
          <w:rFonts w:ascii="Arial" w:cs="Arial" w:eastAsia="Arial" w:hAnsi="Arial"/>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6"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91" w:lineRule="auto"/>
        <w:tabs>
          <w:tab w:leader="none" w:pos="18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firstLine="1305"/>
        <w:spacing w:after="0" w:line="256" w:lineRule="auto"/>
        <w:tabs>
          <w:tab w:leader="none" w:pos="178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84" w:lineRule="exact"/>
        <w:rPr>
          <w:rFonts w:ascii="Arial" w:cs="Arial" w:eastAsia="Arial" w:hAnsi="Arial"/>
          <w:sz w:val="19"/>
          <w:szCs w:val="19"/>
          <w:color w:val="auto"/>
        </w:rPr>
      </w:pPr>
    </w:p>
    <w:p>
      <w:pPr>
        <w:jc w:val="both"/>
        <w:ind w:firstLine="1305"/>
        <w:spacing w:after="0" w:line="241" w:lineRule="auto"/>
        <w:tabs>
          <w:tab w:leader="none" w:pos="169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SOLE LEAD ARRANGER AND SOLE BOOKRUNNER OR ANY OF THEIR RESPECTIVE RELATED PARTIES (COLLECTIVELY, “</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92" w:lineRule="exact"/>
        <w:rPr>
          <w:sz w:val="20"/>
          <w:szCs w:val="20"/>
          <w:color w:val="auto"/>
        </w:rPr>
      </w:pPr>
    </w:p>
    <w:p>
      <w:pPr>
        <w:jc w:val="both"/>
        <w:ind w:firstLine="1305"/>
        <w:spacing w:after="0" w:line="278" w:lineRule="auto"/>
        <w:tabs>
          <w:tab w:leader="none" w:pos="19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65" w:lineRule="exact"/>
        <w:rPr>
          <w:rFonts w:ascii="Arial" w:cs="Arial" w:eastAsia="Arial" w:hAnsi="Arial"/>
          <w:sz w:val="18"/>
          <w:szCs w:val="18"/>
          <w:color w:val="auto"/>
        </w:rPr>
      </w:pPr>
    </w:p>
    <w:p>
      <w:pPr>
        <w:jc w:val="both"/>
        <w:ind w:firstLine="1305"/>
        <w:spacing w:after="0" w:line="269" w:lineRule="auto"/>
        <w:tabs>
          <w:tab w:leader="none" w:pos="169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firstLine="1305"/>
        <w:spacing w:after="0" w:line="260" w:lineRule="auto"/>
        <w:tabs>
          <w:tab w:leader="none" w:pos="167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8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54" w:lineRule="auto"/>
        <w:tabs>
          <w:tab w:leader="none" w:pos="179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3" w:lineRule="exact"/>
        <w:rPr>
          <w:rFonts w:ascii="Arial" w:cs="Arial" w:eastAsia="Arial" w:hAnsi="Arial"/>
          <w:sz w:val="19"/>
          <w:szCs w:val="19"/>
          <w:color w:val="auto"/>
        </w:rPr>
      </w:pPr>
    </w:p>
    <w:p>
      <w:pPr>
        <w:jc w:val="both"/>
        <w:ind w:firstLine="1305"/>
        <w:spacing w:after="0" w:line="255" w:lineRule="auto"/>
        <w:tabs>
          <w:tab w:leader="none" w:pos="184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w:t>
      </w:r>
      <w:r>
        <w:rPr>
          <w:rFonts w:ascii="Arial" w:cs="Arial" w:eastAsia="Arial" w:hAnsi="Arial"/>
          <w:sz w:val="19"/>
          <w:szCs w:val="19"/>
          <w:u w:val="single" w:color="auto"/>
          <w:color w:val="auto"/>
        </w:rPr>
        <w:t>Section 10.3</w:t>
      </w:r>
      <w:r>
        <w:rPr>
          <w:rFonts w:ascii="Arial" w:cs="Arial" w:eastAsia="Arial" w:hAnsi="Arial"/>
          <w:sz w:val="19"/>
          <w:szCs w:val="19"/>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6"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6"/>
          <w:szCs w:val="16"/>
          <w:u w:val="single" w:color="auto"/>
          <w:color w:val="auto"/>
        </w:rPr>
        <w:t>Acknowledgements of Lenders and Issuing Banks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72" w:lineRule="auto"/>
        <w:tabs>
          <w:tab w:leader="none" w:pos="172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Lender represents that it is engaged in making, acquiring or holding commercial loans in the ordinary course of its business and that it has, independently and without reliance upon the Administrative Agent, the Sole Lead Arranger and Sole Bookrunner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Sole Lead Arranger and Sole Bookrunner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4" w:lineRule="exact"/>
        <w:rPr>
          <w:rFonts w:ascii="Arial" w:cs="Arial" w:eastAsia="Arial" w:hAnsi="Arial"/>
          <w:sz w:val="18"/>
          <w:szCs w:val="18"/>
          <w:color w:val="auto"/>
        </w:rPr>
      </w:pPr>
    </w:p>
    <w:p>
      <w:pPr>
        <w:jc w:val="both"/>
        <w:ind w:firstLine="656"/>
        <w:spacing w:after="0" w:line="295" w:lineRule="auto"/>
        <w:tabs>
          <w:tab w:leader="none" w:pos="115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r>
        <w:rPr>
          <w:rFonts w:ascii="Arial" w:cs="Arial" w:eastAsia="Arial" w:hAnsi="Arial"/>
          <w:sz w:val="20"/>
          <w:szCs w:val="20"/>
          <w:color w:val="auto"/>
        </w:rPr>
        <w:t>.</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or any other Loan Party, that at least one of the following is and will be true:</w:t>
      </w:r>
    </w:p>
    <w:p>
      <w:pPr>
        <w:spacing w:after="0" w:line="162" w:lineRule="exact"/>
        <w:rPr>
          <w:sz w:val="20"/>
          <w:szCs w:val="20"/>
          <w:color w:val="auto"/>
        </w:rPr>
      </w:pPr>
    </w:p>
    <w:p>
      <w:pPr>
        <w:ind w:left="1300" w:right="20" w:firstLine="653"/>
        <w:spacing w:after="0" w:line="260" w:lineRule="auto"/>
        <w:tabs>
          <w:tab w:leader="none" w:pos="232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76" w:lineRule="exact"/>
        <w:rPr>
          <w:rFonts w:ascii="Arial" w:cs="Arial" w:eastAsia="Arial" w:hAnsi="Arial"/>
          <w:sz w:val="20"/>
          <w:szCs w:val="20"/>
          <w:color w:val="auto"/>
        </w:rPr>
      </w:pPr>
    </w:p>
    <w:p>
      <w:pPr>
        <w:jc w:val="both"/>
        <w:ind w:left="1300" w:firstLine="653"/>
        <w:spacing w:after="0" w:line="258" w:lineRule="auto"/>
        <w:tabs>
          <w:tab w:leader="none" w:pos="247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9" w:lineRule="exact"/>
        <w:rPr>
          <w:rFonts w:ascii="Arial" w:cs="Arial" w:eastAsia="Arial" w:hAnsi="Arial"/>
          <w:sz w:val="19"/>
          <w:szCs w:val="19"/>
          <w:color w:val="auto"/>
        </w:rPr>
      </w:pPr>
    </w:p>
    <w:p>
      <w:pPr>
        <w:jc w:val="both"/>
        <w:ind w:left="1300" w:firstLine="653"/>
        <w:spacing w:after="0" w:line="257" w:lineRule="auto"/>
        <w:tabs>
          <w:tab w:leader="none" w:pos="25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Arial" w:cs="Arial" w:eastAsia="Arial" w:hAnsi="Arial"/>
          <w:sz w:val="19"/>
          <w:szCs w:val="19"/>
          <w:color w:val="auto"/>
        </w:rPr>
      </w:pPr>
    </w:p>
    <w:p>
      <w:pPr>
        <w:ind w:left="1300" w:firstLine="653"/>
        <w:spacing w:after="0" w:line="260" w:lineRule="auto"/>
        <w:tabs>
          <w:tab w:leader="none" w:pos="241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1305"/>
        <w:spacing w:after="0" w:line="257" w:lineRule="auto"/>
        <w:tabs>
          <w:tab w:leader="none" w:pos="173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or any other Loan Party, that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1" w:lineRule="exact"/>
        <w:rPr>
          <w:rFonts w:ascii="Arial" w:cs="Arial" w:eastAsia="Arial" w:hAnsi="Arial"/>
          <w:sz w:val="19"/>
          <w:szCs w:val="19"/>
          <w:color w:val="auto"/>
        </w:rPr>
      </w:pPr>
    </w:p>
    <w:p>
      <w:pPr>
        <w:jc w:val="both"/>
        <w:ind w:firstLine="1305"/>
        <w:spacing w:after="0" w:line="271" w:lineRule="auto"/>
        <w:tabs>
          <w:tab w:leader="none" w:pos="17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Administrative Agent and the Sole Lead Arranger and Sole Bookrunner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72" w:lineRule="auto"/>
        <w:tabs>
          <w:tab w:leader="none" w:pos="172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(or e-mail in accordance with </w:t>
      </w:r>
      <w:r>
        <w:rPr>
          <w:rFonts w:ascii="Arial" w:cs="Arial" w:eastAsia="Arial" w:hAnsi="Arial"/>
          <w:sz w:val="18"/>
          <w:szCs w:val="18"/>
          <w:u w:val="single" w:color="auto"/>
          <w:color w:val="auto"/>
        </w:rPr>
        <w:t>Section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10.1(b)</w:t>
      </w:r>
      <w:r>
        <w:rPr>
          <w:rFonts w:ascii="Arial" w:cs="Arial" w:eastAsia="Arial" w:hAnsi="Arial"/>
          <w:sz w:val="20"/>
          <w:szCs w:val="20"/>
          <w:color w:val="auto"/>
        </w:rPr>
        <w:t xml:space="preserve"> below) as follows:</w:t>
      </w:r>
    </w:p>
    <w:p>
      <w:pPr>
        <w:spacing w:after="0" w:line="199" w:lineRule="exact"/>
        <w:rPr>
          <w:rFonts w:ascii="Arial" w:cs="Arial" w:eastAsia="Arial" w:hAnsi="Arial"/>
          <w:sz w:val="18"/>
          <w:szCs w:val="18"/>
          <w:color w:val="auto"/>
        </w:rPr>
      </w:pPr>
    </w:p>
    <w:p>
      <w:pPr>
        <w:ind w:left="2320" w:hanging="367"/>
        <w:spacing w:after="0"/>
        <w:tabs>
          <w:tab w:leader="none" w:pos="23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to the Borrower, to it at 30 West Superior Street, Duluth, Minnesota, Attention of: Patrick L. Cutshall, Treasurer,</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 xml:space="preserve">Phone: 218-723-3978, Fax: 218-723-3912, Email: </w:t>
      </w:r>
      <w:r>
        <w:rPr>
          <w:rFonts w:ascii="Arial" w:cs="Arial" w:eastAsia="Arial" w:hAnsi="Arial"/>
          <w:sz w:val="20"/>
          <w:szCs w:val="20"/>
          <w:u w:val="single" w:color="auto"/>
          <w:color w:val="0000FF"/>
        </w:rPr>
        <w:t>pcutshall@allete.com</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left="2380" w:hanging="427"/>
        <w:spacing w:after="0"/>
        <w:tabs>
          <w:tab w:leader="none" w:pos="238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if to the Administrative Agent,</w:t>
      </w:r>
    </w:p>
    <w:p>
      <w:pPr>
        <w:spacing w:after="0" w:line="215" w:lineRule="exact"/>
        <w:rPr>
          <w:rFonts w:ascii="Arial" w:cs="Arial" w:eastAsia="Arial" w:hAnsi="Arial"/>
          <w:sz w:val="20"/>
          <w:szCs w:val="20"/>
          <w:color w:val="auto"/>
        </w:rPr>
      </w:pPr>
    </w:p>
    <w:p>
      <w:pPr>
        <w:jc w:val="both"/>
        <w:ind w:left="1960" w:firstLine="641"/>
        <w:spacing w:after="0" w:line="250" w:lineRule="auto"/>
        <w:tabs>
          <w:tab w:leader="none" w:pos="3090" w:val="left"/>
        </w:tabs>
        <w:numPr>
          <w:ilvl w:val="2"/>
          <w:numId w:val="133"/>
        </w:numPr>
        <w:rPr>
          <w:rFonts w:ascii="Arial" w:cs="Arial" w:eastAsia="Arial" w:hAnsi="Arial"/>
          <w:sz w:val="20"/>
          <w:szCs w:val="20"/>
          <w:color w:val="auto"/>
        </w:rPr>
      </w:pPr>
      <w:r>
        <w:rPr>
          <w:rFonts w:ascii="Arial" w:cs="Arial" w:eastAsia="Arial" w:hAnsi="Arial"/>
          <w:sz w:val="20"/>
          <w:szCs w:val="20"/>
          <w:color w:val="auto"/>
        </w:rPr>
        <w:t xml:space="preserve">for Loans or Borrowings, to it at its Loan and Agency Services Group, 10 S. Dearborn Street, Floor L2, Chicago, Illinois, Attention of: Julius C. Williams, Phone: 312-954-3750, Fax: 844-492-3894, Email: </w:t>
      </w:r>
      <w:r>
        <w:rPr>
          <w:rFonts w:ascii="Arial" w:cs="Arial" w:eastAsia="Arial" w:hAnsi="Arial"/>
          <w:sz w:val="20"/>
          <w:szCs w:val="20"/>
          <w:u w:val="single" w:color="auto"/>
          <w:color w:val="0000FF"/>
        </w:rPr>
        <w:t>jpm.agency.cri@jpmchase.com</w:t>
      </w:r>
      <w:r>
        <w:rPr>
          <w:rFonts w:ascii="Arial" w:cs="Arial" w:eastAsia="Arial" w:hAnsi="Arial"/>
          <w:sz w:val="20"/>
          <w:szCs w:val="20"/>
          <w:color w:val="000000"/>
        </w:rPr>
        <w:t>;</w:t>
      </w:r>
    </w:p>
    <w:p>
      <w:pPr>
        <w:spacing w:after="0" w:line="186" w:lineRule="exact"/>
        <w:rPr>
          <w:rFonts w:ascii="Arial" w:cs="Arial" w:eastAsia="Arial" w:hAnsi="Arial"/>
          <w:sz w:val="20"/>
          <w:szCs w:val="20"/>
          <w:color w:val="auto"/>
        </w:rPr>
      </w:pPr>
    </w:p>
    <w:p>
      <w:pPr>
        <w:jc w:val="both"/>
        <w:ind w:left="1960" w:firstLine="641"/>
        <w:spacing w:after="0" w:line="250" w:lineRule="auto"/>
        <w:tabs>
          <w:tab w:leader="none" w:pos="3093" w:val="left"/>
        </w:tabs>
        <w:numPr>
          <w:ilvl w:val="2"/>
          <w:numId w:val="133"/>
        </w:numPr>
        <w:rPr>
          <w:rFonts w:ascii="Arial" w:cs="Arial" w:eastAsia="Arial" w:hAnsi="Arial"/>
          <w:sz w:val="20"/>
          <w:szCs w:val="20"/>
          <w:color w:val="auto"/>
        </w:rPr>
      </w:pPr>
      <w:r>
        <w:rPr>
          <w:rFonts w:ascii="Arial" w:cs="Arial" w:eastAsia="Arial" w:hAnsi="Arial"/>
          <w:sz w:val="20"/>
          <w:szCs w:val="20"/>
          <w:color w:val="auto"/>
        </w:rPr>
        <w:t xml:space="preserve">for Letters of Credit, to it at its Letter of Credit Agency Servicing Group, 10 S. Dearborn Street, Floor 07, Chicago, Illinois, Attention of: Pavithra Charles, Phone: 855-609-9959, Email: </w:t>
      </w:r>
      <w:r>
        <w:rPr>
          <w:rFonts w:ascii="Arial" w:cs="Arial" w:eastAsia="Arial" w:hAnsi="Arial"/>
          <w:sz w:val="20"/>
          <w:szCs w:val="20"/>
          <w:u w:val="single" w:color="auto"/>
          <w:color w:val="0000FF"/>
        </w:rPr>
        <w:t>chicago.lc.agency.activity.team@jpmchase.com</w:t>
      </w:r>
      <w:r>
        <w:rPr>
          <w:rFonts w:ascii="Arial" w:cs="Arial" w:eastAsia="Arial" w:hAnsi="Arial"/>
          <w:sz w:val="20"/>
          <w:szCs w:val="20"/>
          <w:color w:val="000000"/>
        </w:rPr>
        <w:t>;</w:t>
      </w:r>
    </w:p>
    <w:p>
      <w:pPr>
        <w:spacing w:after="0" w:line="186" w:lineRule="exact"/>
        <w:rPr>
          <w:rFonts w:ascii="Arial" w:cs="Arial" w:eastAsia="Arial" w:hAnsi="Arial"/>
          <w:sz w:val="20"/>
          <w:szCs w:val="20"/>
          <w:color w:val="auto"/>
        </w:rPr>
      </w:pPr>
    </w:p>
    <w:p>
      <w:pPr>
        <w:jc w:val="both"/>
        <w:ind w:left="1960" w:firstLine="641"/>
        <w:spacing w:after="0" w:line="250" w:lineRule="auto"/>
        <w:tabs>
          <w:tab w:leader="none" w:pos="3106" w:val="left"/>
        </w:tabs>
        <w:numPr>
          <w:ilvl w:val="2"/>
          <w:numId w:val="133"/>
        </w:numPr>
        <w:rPr>
          <w:rFonts w:ascii="Arial" w:cs="Arial" w:eastAsia="Arial" w:hAnsi="Arial"/>
          <w:sz w:val="20"/>
          <w:szCs w:val="20"/>
          <w:color w:val="auto"/>
        </w:rPr>
      </w:pPr>
      <w:r>
        <w:rPr>
          <w:rFonts w:ascii="Arial" w:cs="Arial" w:eastAsia="Arial" w:hAnsi="Arial"/>
          <w:sz w:val="20"/>
          <w:szCs w:val="20"/>
          <w:color w:val="auto"/>
        </w:rPr>
        <w:t xml:space="preserve">for credit related matters including compliance requirements pursuant to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to it at its Power &amp; Utilities Credit, 10 S. Dearborn Street, Floor 09, Chicago, Illinois, Attention of: Justin Martin, Phone: 312-732-4441, Fax: 312-732-1762, Email: </w:t>
      </w:r>
      <w:r>
        <w:rPr>
          <w:rFonts w:ascii="Arial" w:cs="Arial" w:eastAsia="Arial" w:hAnsi="Arial"/>
          <w:sz w:val="20"/>
          <w:szCs w:val="20"/>
          <w:u w:val="single" w:color="auto"/>
          <w:color w:val="0000FF"/>
        </w:rPr>
        <w:t>justin.2.martin@jpmorgan.com</w:t>
      </w:r>
      <w:r>
        <w:rPr>
          <w:rFonts w:ascii="Arial" w:cs="Arial" w:eastAsia="Arial" w:hAnsi="Arial"/>
          <w:sz w:val="20"/>
          <w:szCs w:val="20"/>
          <w:color w:val="auto"/>
        </w:rPr>
        <w:t>;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2740" w:hanging="787"/>
        <w:spacing w:after="0"/>
        <w:tabs>
          <w:tab w:leader="none" w:pos="274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if to any other Credit Party, to it at its address (or facsimile number) set forth in its Administrative</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Questionnaire.</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or Approved Electronic Platforms to the extent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paragraph (b)</w:t>
      </w:r>
      <w:r>
        <w:rPr>
          <w:rFonts w:ascii="Arial" w:cs="Arial" w:eastAsia="Arial" w:hAnsi="Arial"/>
          <w:sz w:val="20"/>
          <w:szCs w:val="20"/>
          <w:color w:val="auto"/>
        </w:rPr>
        <w:t>.</w:t>
      </w:r>
    </w:p>
    <w:p>
      <w:pPr>
        <w:spacing w:after="0" w:line="195" w:lineRule="exact"/>
        <w:rPr>
          <w:sz w:val="20"/>
          <w:szCs w:val="20"/>
          <w:color w:val="auto"/>
        </w:rPr>
      </w:pPr>
    </w:p>
    <w:p>
      <w:pPr>
        <w:jc w:val="both"/>
        <w:ind w:firstLine="1305"/>
        <w:spacing w:after="0" w:line="243" w:lineRule="auto"/>
        <w:tabs>
          <w:tab w:leader="none" w:pos="1748"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Issuing Banks hereunder may be delivered or furnished by using Approved Electronic Platforms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pursuant to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7" w:lineRule="exact"/>
        <w:rPr>
          <w:sz w:val="20"/>
          <w:szCs w:val="20"/>
          <w:color w:val="auto"/>
        </w:rPr>
      </w:pPr>
    </w:p>
    <w:p>
      <w:pPr>
        <w:jc w:val="both"/>
        <w:ind w:firstLine="1297"/>
        <w:spacing w:after="0" w:line="233" w:lineRule="exact"/>
        <w:rPr>
          <w:sz w:val="20"/>
          <w:szCs w:val="20"/>
          <w:color w:val="auto"/>
        </w:rPr>
      </w:pPr>
      <w:r>
        <w:rPr>
          <w:rFonts w:ascii="Arial" w:cs="Arial" w:eastAsia="Arial" w:hAnsi="Arial"/>
          <w:sz w:val="19"/>
          <w:szCs w:val="19"/>
          <w:color w:val="auto"/>
        </w:rPr>
        <w:t>Unless the Administrative Agent otherwise prescribes, (i) notices and other communications sent to an e</w:t>
      </w:r>
      <w:r>
        <w:rPr>
          <w:rFonts w:ascii="MS PGothic" w:cs="MS PGothic" w:eastAsia="MS PGothic" w:hAnsi="MS PGothic"/>
          <w:sz w:val="19"/>
          <w:szCs w:val="19"/>
          <w:color w:val="auto"/>
        </w:rPr>
        <w:t>‑</w:t>
      </w:r>
      <w:r>
        <w:rPr>
          <w:rFonts w:ascii="Arial" w:cs="Arial" w:eastAsia="Arial" w:hAnsi="Arial"/>
          <w:sz w:val="19"/>
          <w:szCs w:val="19"/>
          <w:color w:val="auto"/>
        </w:rPr>
        <w:t>mail address shall be deemed received upon the sender’s receipt of an acknowledgement from the intended recipient (such as by the “return receipt requested” function, as available, return e</w:t>
      </w:r>
      <w:r>
        <w:rPr>
          <w:rFonts w:ascii="MS PGothic" w:cs="MS PGothic" w:eastAsia="MS PGothic" w:hAnsi="MS PGothic"/>
          <w:sz w:val="19"/>
          <w:szCs w:val="19"/>
          <w:color w:val="auto"/>
        </w:rPr>
        <w:t>‑</w:t>
      </w:r>
      <w:r>
        <w:rPr>
          <w:rFonts w:ascii="Arial" w:cs="Arial" w:eastAsia="Arial" w:hAnsi="Arial"/>
          <w:sz w:val="19"/>
          <w:szCs w:val="19"/>
          <w:color w:val="auto"/>
        </w:rPr>
        <w:t xml:space="preserv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w:t>
      </w:r>
      <w:r>
        <w:rPr>
          <w:rFonts w:ascii="MS PGothic" w:cs="MS PGothic" w:eastAsia="MS PGothic" w:hAnsi="MS PGothic"/>
          <w:sz w:val="19"/>
          <w:szCs w:val="19"/>
          <w:color w:val="auto"/>
        </w:rPr>
        <w:t>‑</w:t>
      </w:r>
      <w:r>
        <w:rPr>
          <w:rFonts w:ascii="Arial" w:cs="Arial" w:eastAsia="Arial" w:hAnsi="Arial"/>
          <w:sz w:val="19"/>
          <w:szCs w:val="19"/>
          <w:color w:val="auto"/>
        </w:rPr>
        <w:t xml:space="preserv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6.2</w:t>
      </w:r>
      <w:r>
        <w:rPr>
          <w:rFonts w:ascii="Arial" w:cs="Arial" w:eastAsia="Arial" w:hAnsi="Arial"/>
          <w:sz w:val="20"/>
          <w:szCs w:val="20"/>
          <w:color w:val="auto"/>
        </w:rPr>
        <w:t>, the Borrower’s website is www.allete.com.</w:t>
      </w:r>
    </w:p>
    <w:p>
      <w:pPr>
        <w:spacing w:after="0" w:line="216" w:lineRule="exact"/>
        <w:rPr>
          <w:sz w:val="20"/>
          <w:szCs w:val="20"/>
          <w:color w:val="auto"/>
        </w:rPr>
      </w:pPr>
    </w:p>
    <w:p>
      <w:pPr>
        <w:ind w:firstLine="1305"/>
        <w:spacing w:after="0" w:line="260" w:lineRule="auto"/>
        <w:tabs>
          <w:tab w:leader="none" w:pos="173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Any party hereto may change its address or facsimile number or e-mail address for notices and other communications hereunder by notice to the other parties hereto.</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6" w:lineRule="auto"/>
        <w:tabs>
          <w:tab w:leader="none" w:pos="176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and/or the issuance, amendment, extension or renewal of a Letter of Credit shall not be construed as a waiver of any Default, regardless of whether any Credit Party may have had notice or knowledge of such Default at the time.</w:t>
      </w:r>
    </w:p>
    <w:p>
      <w:pPr>
        <w:spacing w:after="0" w:line="184" w:lineRule="exact"/>
        <w:rPr>
          <w:rFonts w:ascii="Arial" w:cs="Arial" w:eastAsia="Arial" w:hAnsi="Arial"/>
          <w:sz w:val="19"/>
          <w:szCs w:val="19"/>
          <w:color w:val="auto"/>
        </w:rPr>
      </w:pPr>
    </w:p>
    <w:p>
      <w:pPr>
        <w:jc w:val="both"/>
        <w:ind w:firstLine="1305"/>
        <w:spacing w:after="0" w:line="258" w:lineRule="auto"/>
        <w:tabs>
          <w:tab w:leader="none" w:pos="176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or increase the Letter of Credit Commitment of any Issuing Bank without the consent of such Issuing Bank, (ii) reduce the principal amount of any Loan or any reimbursement obligation with respect to a LC Disbursement, or reduce the rate of any interest, or reduce any fees, payable under the Loan Documents, without the written consent of each Credit Party affected thereby, (iii) postpone the date of payment at stated maturity of any Loan or the date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194" w:name="page195"/>
    <w:bookmarkEnd w:id="194"/>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payment of any reimbursement obligation with respect to an LC Disbursement, or the date of any interest or any fees payable under the Loan Documents, or reduce the amount of, waive or excuse any such payment, or postpone the stated termination or expiration of the Commitments without the written consent of each Credit Party affected thereby, (iv) change any provision hereof in a manner that would alter the pro rata sharing of payments required by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the pro rata reduction of Commitments required by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without the written consent of each Credit Party affected thereby, and (v)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or change the currency in which Loans are to be made, Letters of Credit are to be issued or payment under the Loan Documents is to be made, or add additional borrowers, without the written consent of each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or the Issuing Banks hereunder without the prior written consent of the Administrative Agent or such Issuing Banks, as applicable.</w:t>
      </w:r>
    </w:p>
    <w:p>
      <w:pPr>
        <w:spacing w:after="0" w:line="17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33" w:lineRule="exact"/>
        <w:tabs>
          <w:tab w:leader="none" w:pos="1885"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Cost and Expenses</w:t>
      </w:r>
      <w:r>
        <w:rPr>
          <w:rFonts w:ascii="Arial" w:cs="Arial" w:eastAsia="Arial" w:hAnsi="Arial"/>
          <w:sz w:val="18"/>
          <w:szCs w:val="18"/>
          <w:color w:val="auto"/>
        </w:rPr>
        <w:t>. The Borrower shall pay (i)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and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each Loan Document or any amendments, modifications or waivers of the provisions thereof (whether or not the transactions contemplated thereby shall be consummated),</w:t>
      </w:r>
    </w:p>
    <w:p>
      <w:pPr>
        <w:spacing w:after="0" w:line="2" w:lineRule="exact"/>
        <w:rPr>
          <w:rFonts w:ascii="Arial" w:cs="Arial" w:eastAsia="Arial" w:hAnsi="Arial"/>
          <w:sz w:val="18"/>
          <w:szCs w:val="18"/>
          <w:color w:val="auto"/>
        </w:rPr>
      </w:pPr>
    </w:p>
    <w:p>
      <w:pPr>
        <w:jc w:val="both"/>
        <w:ind w:firstLine="8"/>
        <w:spacing w:after="0" w:line="231" w:lineRule="exact"/>
        <w:tabs>
          <w:tab w:leader="none" w:pos="3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and expenses incurred by an Issuing Bank in connection with the issuance, amendment, renewal or extension of any Letter of Credit or any demand for payment thereunder and (iii)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and expenses incurred by any Credit Party, including the reasonable fees, charges and disbursements of any counsel for any Credit Party and any consultant or expert witness fees and expenses, in connection with the enforcement or protection of its rights in connection with the Loan Documents, including its rights under this Section, or in connection with the Loans made or Letters of Credit issued hereunder, including all such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and expenses incurred during any workout, restructuring or negotiations in respect of such Loans or Letters of Credit.</w:t>
      </w:r>
    </w:p>
    <w:p>
      <w:pPr>
        <w:spacing w:after="0" w:line="195" w:lineRule="exact"/>
        <w:rPr>
          <w:rFonts w:ascii="Arial" w:cs="Arial" w:eastAsia="Arial" w:hAnsi="Arial"/>
          <w:sz w:val="18"/>
          <w:szCs w:val="18"/>
          <w:color w:val="auto"/>
        </w:rPr>
      </w:pPr>
    </w:p>
    <w:p>
      <w:pPr>
        <w:jc w:val="both"/>
        <w:ind w:firstLine="1305"/>
        <w:spacing w:after="0" w:line="254" w:lineRule="auto"/>
        <w:tabs>
          <w:tab w:leader="none" w:pos="174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each Credit Party and each Related Party thereof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thereof including any refusal of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the Subsidiaries, or any liability under any Environmental Law related in any way to the Borrower or any of the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a breach in bad faith by such Indemnitee or arising solely from claims between or among one or more Indemnitees.</w:t>
      </w:r>
    </w:p>
    <w:p>
      <w:pPr>
        <w:spacing w:after="0" w:line="191" w:lineRule="exact"/>
        <w:rPr>
          <w:rFonts w:ascii="Arial" w:cs="Arial" w:eastAsia="Arial" w:hAnsi="Arial"/>
          <w:sz w:val="19"/>
          <w:szCs w:val="19"/>
          <w:color w:val="auto"/>
        </w:rPr>
      </w:pPr>
    </w:p>
    <w:p>
      <w:pPr>
        <w:jc w:val="both"/>
        <w:ind w:firstLine="1305"/>
        <w:spacing w:after="0" w:line="276" w:lineRule="auto"/>
        <w:tabs>
          <w:tab w:leader="none" w:pos="1791"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fails to pay any amount required to be paid by it to the Administrative Agent or an Issuing Bank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without limiting the Borrower’s obligation to do so), each Lender severally agrees to pay to the Administrative Agent or such Issuing Bank, as applicable, an amount equal to the product of such unpaid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a fraction, the numerator of which is the sum of such Lender’s unused Commitment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such Lender’s Loans and such Lender’s LC Exposure and the denominator of which is the sum of the unused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all Lenders Loans and the LC Exposure of all Lenders (in each case determined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as of the time that the applicable unreimbursed expense or indemnity payment is sought or, in the event that no Lender shall have any unused Commitments, outstanding Loans or LC Exposure at such time, as of the last time at which any Lender had any unused Commitments, outstanding Loans or LC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applicable, was incurred by or asserted against the Administrative Agent or an Issuing Bank, as applicable, in its capacity as such.</w:t>
      </w:r>
    </w:p>
    <w:p>
      <w:pPr>
        <w:spacing w:after="0" w:line="162" w:lineRule="exact"/>
        <w:rPr>
          <w:sz w:val="20"/>
          <w:szCs w:val="20"/>
          <w:color w:val="auto"/>
        </w:rPr>
      </w:pPr>
    </w:p>
    <w:p>
      <w:pPr>
        <w:jc w:val="both"/>
        <w:ind w:firstLine="1305"/>
        <w:spacing w:after="0" w:line="282" w:lineRule="auto"/>
        <w:tabs>
          <w:tab w:leader="none" w:pos="180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extent permitted by applicable law, the Borrower shall not assert, and hereby waives, any claim against any Indemnitee, on any theory of liability, for special, indirect, consequential or punitive damages (as opposed to direct and actual damages) arising out of, in connection with, or as a result of, any Loan Document or any agreement, instrument or other document contemplated thereby, the Transactions or any Loan or any Letter of Credit or the use of the proceeds thereof.</w:t>
      </w:r>
    </w:p>
    <w:p>
      <w:pPr>
        <w:spacing w:after="0" w:line="161" w:lineRule="exact"/>
        <w:rPr>
          <w:rFonts w:ascii="Arial" w:cs="Arial" w:eastAsia="Arial" w:hAnsi="Arial"/>
          <w:sz w:val="18"/>
          <w:szCs w:val="18"/>
          <w:color w:val="auto"/>
        </w:rPr>
      </w:pPr>
    </w:p>
    <w:p>
      <w:pPr>
        <w:ind w:left="1740" w:hanging="435"/>
        <w:spacing w:after="0"/>
        <w:tabs>
          <w:tab w:leader="none" w:pos="17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but in no event later than ten days after written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demand therefor.</w:t>
      </w:r>
    </w:p>
    <w:p>
      <w:pPr>
        <w:spacing w:after="0" w:line="20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304" w:lineRule="auto"/>
        <w:tabs>
          <w:tab w:leader="none" w:pos="1710"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6"/>
          <w:szCs w:val="16"/>
          <w:u w:val="single" w:color="auto"/>
          <w:color w:val="auto"/>
        </w:rPr>
        <w:t>paragraph</w:t>
      </w:r>
    </w:p>
    <w:p>
      <w:pPr>
        <w:spacing w:after="0" w:line="2" w:lineRule="exact"/>
        <w:rPr>
          <w:rFonts w:ascii="Arial" w:cs="Arial" w:eastAsia="Arial" w:hAnsi="Arial"/>
          <w:sz w:val="16"/>
          <w:szCs w:val="16"/>
          <w:color w:val="auto"/>
        </w:rPr>
      </w:pPr>
    </w:p>
    <w:p>
      <w:pPr>
        <w:jc w:val="both"/>
        <w:ind w:firstLine="8"/>
        <w:spacing w:after="0"/>
        <w:tabs>
          <w:tab w:leader="none" w:pos="292" w:val="left"/>
        </w:tabs>
        <w:numPr>
          <w:ilvl w:val="0"/>
          <w:numId w:val="142"/>
        </w:numPr>
        <w:rPr>
          <w:rFonts w:ascii="Arial" w:cs="Arial" w:eastAsia="Arial" w:hAnsi="Arial"/>
          <w:sz w:val="20"/>
          <w:szCs w:val="20"/>
          <w:u w:val="single" w:color="auto"/>
          <w:color w:val="auto"/>
        </w:rPr>
      </w:pPr>
      <w:r>
        <w:rPr>
          <w:rFonts w:ascii="Arial" w:cs="Arial" w:eastAsia="Arial" w:hAnsi="Arial"/>
          <w:sz w:val="20"/>
          <w:szCs w:val="20"/>
          <w:color w:val="auto"/>
        </w:rPr>
        <w:t xml:space="preserve">of this Section, (ii) by way of participation in accordance with the provisions of </w:t>
      </w:r>
      <w:r>
        <w:rPr>
          <w:rFonts w:ascii="Arial" w:cs="Arial" w:eastAsia="Arial" w:hAnsi="Arial"/>
          <w:sz w:val="20"/>
          <w:szCs w:val="20"/>
          <w:u w:val="single" w:color="auto"/>
          <w:color w:val="auto"/>
        </w:rPr>
        <w:t>paragraph (d)</w:t>
      </w:r>
      <w:r>
        <w:rPr>
          <w:rFonts w:ascii="Arial" w:cs="Arial" w:eastAsia="Arial" w:hAnsi="Arial"/>
          <w:sz w:val="20"/>
          <w:szCs w:val="20"/>
          <w:color w:val="auto"/>
        </w:rPr>
        <w:t xml:space="preserve"> of this Section or (iii) by way of pledge or assignment of a security interest subject to the restrictions of </w:t>
      </w:r>
      <w:r>
        <w:rPr>
          <w:rFonts w:ascii="Arial" w:cs="Arial" w:eastAsia="Arial" w:hAnsi="Arial"/>
          <w:sz w:val="20"/>
          <w:szCs w:val="20"/>
          <w:u w:val="single" w:color="auto"/>
          <w:color w:val="auto"/>
        </w:rPr>
        <w:t>paragraph (f)</w:t>
      </w:r>
      <w:r>
        <w:rPr>
          <w:rFonts w:ascii="Arial" w:cs="Arial" w:eastAsia="Arial" w:hAnsi="Arial"/>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u w:val="single" w:color="auto"/>
          <w:color w:val="auto"/>
        </w:rPr>
        <w:t>paragraph (d)</w:t>
      </w:r>
      <w:r>
        <w:rPr>
          <w:rFonts w:ascii="Arial" w:cs="Arial" w:eastAsia="Arial" w:hAnsi="Arial"/>
          <w:sz w:val="20"/>
          <w:szCs w:val="20"/>
          <w:color w:val="auto"/>
        </w:rPr>
        <w:t xml:space="preserve"> of this Section and, to the extent expressly contemplated hereby, the Related Parties of each Credit Party) any legal or equitable right, remedy or claim under or by reason of this Agreement.</w:t>
      </w:r>
    </w:p>
    <w:p>
      <w:pPr>
        <w:spacing w:after="0" w:line="197" w:lineRule="exact"/>
        <w:rPr>
          <w:rFonts w:ascii="Arial" w:cs="Arial" w:eastAsia="Arial" w:hAnsi="Arial"/>
          <w:sz w:val="20"/>
          <w:szCs w:val="20"/>
          <w:u w:val="single" w:color="auto"/>
          <w:color w:val="auto"/>
        </w:rPr>
      </w:pPr>
    </w:p>
    <w:p>
      <w:pPr>
        <w:jc w:val="both"/>
        <w:ind w:firstLine="1305"/>
        <w:spacing w:after="0" w:line="246" w:lineRule="auto"/>
        <w:tabs>
          <w:tab w:leader="none" w:pos="1788"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(and if demanded by Borrower pursuant to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and obligations in respect of its LC Exposure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2"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Minimum Amounts.</w:t>
      </w:r>
    </w:p>
    <w:p>
      <w:pPr>
        <w:spacing w:after="0" w:line="216" w:lineRule="exact"/>
        <w:rPr>
          <w:sz w:val="20"/>
          <w:szCs w:val="20"/>
          <w:color w:val="auto"/>
        </w:rPr>
      </w:pPr>
    </w:p>
    <w:p>
      <w:pPr>
        <w:jc w:val="both"/>
        <w:ind w:left="1300" w:firstLine="653"/>
        <w:spacing w:after="0" w:line="250" w:lineRule="auto"/>
        <w:tabs>
          <w:tab w:leader="none" w:pos="247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Commitments and the Loans and obligations in respect of its LC Exposure at the time owing to it or in the case of an assignment to a Lender, an Affiliate of a Lender or an Approved Fund, no minimum amount need be assigned; and</w:t>
      </w:r>
    </w:p>
    <w:p>
      <w:pPr>
        <w:spacing w:after="0" w:line="186" w:lineRule="exact"/>
        <w:rPr>
          <w:rFonts w:ascii="Arial" w:cs="Arial" w:eastAsia="Arial" w:hAnsi="Arial"/>
          <w:sz w:val="20"/>
          <w:szCs w:val="20"/>
          <w:color w:val="auto"/>
        </w:rPr>
      </w:pPr>
    </w:p>
    <w:p>
      <w:pPr>
        <w:jc w:val="both"/>
        <w:ind w:left="1300" w:firstLine="653"/>
        <w:spacing w:after="0" w:line="258" w:lineRule="auto"/>
        <w:tabs>
          <w:tab w:leader="none" w:pos="239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paragraph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ind w:left="1300" w:firstLine="653"/>
        <w:spacing w:after="0" w:line="316" w:lineRule="auto"/>
        <w:tabs>
          <w:tab w:leader="none" w:pos="238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30" w:lineRule="exact"/>
        <w:rPr>
          <w:rFonts w:ascii="Arial" w:cs="Arial" w:eastAsia="Arial" w:hAnsi="Arial"/>
          <w:sz w:val="18"/>
          <w:szCs w:val="18"/>
          <w:color w:val="auto"/>
        </w:rPr>
      </w:pPr>
    </w:p>
    <w:p>
      <w:pPr>
        <w:ind w:left="2420" w:hanging="467"/>
        <w:spacing w:after="0"/>
        <w:tabs>
          <w:tab w:leader="none" w:pos="242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For each such assignment:</w:t>
      </w:r>
    </w:p>
    <w:p>
      <w:pPr>
        <w:spacing w:after="0" w:line="216" w:lineRule="exact"/>
        <w:rPr>
          <w:sz w:val="20"/>
          <w:szCs w:val="20"/>
          <w:color w:val="auto"/>
        </w:rPr>
      </w:pPr>
    </w:p>
    <w:p>
      <w:pPr>
        <w:jc w:val="both"/>
        <w:ind w:left="1300" w:firstLine="653"/>
        <w:spacing w:after="0" w:line="244" w:lineRule="auto"/>
        <w:tabs>
          <w:tab w:leader="none" w:pos="241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w:t>
      </w:r>
    </w:p>
    <w:p>
      <w:pPr>
        <w:spacing w:after="0" w:line="194" w:lineRule="exact"/>
        <w:rPr>
          <w:rFonts w:ascii="Arial" w:cs="Arial" w:eastAsia="Arial" w:hAnsi="Arial"/>
          <w:sz w:val="20"/>
          <w:szCs w:val="20"/>
          <w:color w:val="auto"/>
        </w:rPr>
      </w:pPr>
    </w:p>
    <w:p>
      <w:pPr>
        <w:jc w:val="both"/>
        <w:ind w:left="1300" w:right="20" w:firstLine="653"/>
        <w:spacing w:after="0" w:line="246" w:lineRule="auto"/>
        <w:tabs>
          <w:tab w:leader="none" w:pos="248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 unfunded or revolving facility if such assignment is to an Eligible Assignee that is not a Lender with a Commitment in respect of such facility, an Affiliate of such Lender or an Approved Fund with respect to such Lender; and</w:t>
      </w:r>
    </w:p>
    <w:p>
      <w:pPr>
        <w:spacing w:after="0" w:line="191" w:lineRule="exact"/>
        <w:rPr>
          <w:rFonts w:ascii="Arial" w:cs="Arial" w:eastAsia="Arial" w:hAnsi="Arial"/>
          <w:sz w:val="20"/>
          <w:szCs w:val="20"/>
          <w:color w:val="auto"/>
        </w:rPr>
      </w:pPr>
    </w:p>
    <w:p>
      <w:pPr>
        <w:jc w:val="both"/>
        <w:ind w:left="1300" w:firstLine="653"/>
        <w:spacing w:after="0" w:line="250" w:lineRule="auto"/>
        <w:tabs>
          <w:tab w:leader="none" w:pos="243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consent of the applicable Issuing Banks (such consent not to be unreasonably withheld or delayed) shall be required for any assignment that increases the obligation of the assignee to participate in exposure under one or more Letters of Credit (whether or not then outstanding).</w:t>
      </w:r>
    </w:p>
    <w:p>
      <w:pPr>
        <w:spacing w:after="0" w:line="186" w:lineRule="exact"/>
        <w:rPr>
          <w:sz w:val="20"/>
          <w:szCs w:val="20"/>
          <w:color w:val="auto"/>
        </w:rPr>
      </w:pPr>
    </w:p>
    <w:p>
      <w:pPr>
        <w:jc w:val="both"/>
        <w:ind w:left="1300" w:firstLine="653"/>
        <w:spacing w:after="0" w:line="269" w:lineRule="auto"/>
        <w:tabs>
          <w:tab w:leader="none" w:pos="2508"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The parties to each assignment shall execute and deliver to the Administrative Agent an Assignment and Assumption, together with a processing and recordation fee of $3,500, and the Eligible Assignee, if it is not a Lender, shall deliver to the Administrative Agent an Administrative Questionnaire.</w:t>
      </w:r>
    </w:p>
    <w:p>
      <w:pPr>
        <w:spacing w:after="0" w:line="170" w:lineRule="exact"/>
        <w:rPr>
          <w:rFonts w:ascii="Arial" w:cs="Arial" w:eastAsia="Arial" w:hAnsi="Arial"/>
          <w:sz w:val="19"/>
          <w:szCs w:val="19"/>
          <w:color w:val="auto"/>
        </w:rPr>
      </w:pPr>
    </w:p>
    <w:p>
      <w:pPr>
        <w:ind w:left="1300" w:firstLine="653"/>
        <w:spacing w:after="0" w:line="260" w:lineRule="auto"/>
        <w:tabs>
          <w:tab w:leader="none" w:pos="248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No Assignment to Borrower</w:t>
      </w:r>
      <w:r>
        <w:rPr>
          <w:rFonts w:ascii="Arial" w:cs="Arial" w:eastAsia="Arial" w:hAnsi="Arial"/>
          <w:sz w:val="20"/>
          <w:szCs w:val="20"/>
          <w:color w:val="auto"/>
        </w:rPr>
        <w:t>. No such assignment shall be made to the Borrower or any of the Borrower’s Affiliates or Subsidiaries.</w:t>
      </w:r>
    </w:p>
    <w:p>
      <w:pPr>
        <w:spacing w:after="0" w:line="176" w:lineRule="exact"/>
        <w:rPr>
          <w:rFonts w:ascii="Arial" w:cs="Arial" w:eastAsia="Arial" w:hAnsi="Arial"/>
          <w:sz w:val="20"/>
          <w:szCs w:val="20"/>
          <w:color w:val="auto"/>
        </w:rPr>
      </w:pPr>
    </w:p>
    <w:p>
      <w:pPr>
        <w:ind w:left="2420" w:hanging="467"/>
        <w:spacing w:after="0"/>
        <w:tabs>
          <w:tab w:leader="none" w:pos="242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21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w:t>
      </w:r>
    </w:p>
    <w:p>
      <w:pPr>
        <w:spacing w:after="0" w:line="171" w:lineRule="exact"/>
        <w:rPr>
          <w:sz w:val="20"/>
          <w:szCs w:val="20"/>
          <w:color w:val="auto"/>
        </w:rPr>
      </w:pPr>
    </w:p>
    <w:p>
      <w:pPr>
        <w:ind w:left="1700" w:hanging="395"/>
        <w:spacing w:after="0"/>
        <w:tabs>
          <w:tab w:leader="none" w:pos="170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59" w:lineRule="auto"/>
        <w:tabs>
          <w:tab w:leader="none" w:pos="2342"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an agent of the Borrower, shall maintain at one of its offices in New York, New York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and the Lenders may treat each Person whose name is recorded in the Register pursuant to the terms hereof as a Lender hereunder for all purposes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notwithstanding notice to the contrary. The Register shall be available for inspection by the Borrower and any Lender, at any reasonable time and from time to time upon reasonable prior notice.</w:t>
      </w:r>
    </w:p>
    <w:p>
      <w:pPr>
        <w:spacing w:after="0" w:line="177" w:lineRule="exact"/>
        <w:rPr>
          <w:sz w:val="20"/>
          <w:szCs w:val="20"/>
          <w:color w:val="auto"/>
        </w:rPr>
      </w:pPr>
    </w:p>
    <w:p>
      <w:pPr>
        <w:jc w:val="both"/>
        <w:ind w:left="1300" w:firstLine="653"/>
        <w:spacing w:after="0" w:line="308" w:lineRule="auto"/>
        <w:tabs>
          <w:tab w:leader="none" w:pos="242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2.4(b), 2.9(d) or (e), or 10.3(c),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80" w:lineRule="exact"/>
        <w:rPr>
          <w:rFonts w:ascii="Arial" w:cs="Arial" w:eastAsia="Arial" w:hAnsi="Arial"/>
          <w:sz w:val="16"/>
          <w:szCs w:val="16"/>
          <w:color w:val="auto"/>
        </w:rPr>
      </w:pPr>
    </w:p>
    <w:p>
      <w:pPr>
        <w:jc w:val="both"/>
        <w:ind w:firstLine="1305"/>
        <w:spacing w:after="0" w:line="255" w:lineRule="auto"/>
        <w:tabs>
          <w:tab w:leader="none" w:pos="191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but with notice to,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such notice shall not impair the effectiveness of such participation except as expressly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sell participations to any Person (other than a natural person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 a participation be granted to any entity which is not a commercial bank, finance company, insurance company or other financial institution or fund (whether a corporation, partnership or other entity) engaged generally in making, purchasing or otherwise investing in commercial loans in the ordinary course of its business without the express prior written consent of the Borrower.</w:t>
      </w:r>
    </w:p>
    <w:p>
      <w:pPr>
        <w:spacing w:after="0" w:line="18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with respect to the following matters described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first proviso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but (x) shall not be entitled to recover greater amounts under any such Section than the selling Lender would be entitled to recover and</w:t>
      </w:r>
    </w:p>
    <w:p>
      <w:pPr>
        <w:spacing w:after="0" w:line="5" w:lineRule="exact"/>
        <w:rPr>
          <w:sz w:val="20"/>
          <w:szCs w:val="20"/>
          <w:color w:val="auto"/>
        </w:rPr>
      </w:pPr>
    </w:p>
    <w:p>
      <w:pPr>
        <w:jc w:val="both"/>
        <w:ind w:firstLine="8"/>
        <w:spacing w:after="0" w:line="256" w:lineRule="auto"/>
        <w:tabs>
          <w:tab w:leader="none" w:pos="28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shall be subject to replacement by the Borrower under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to the same extent as if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replacement Participant shall be a commercial bank, finance company, insurance company or other financial institution or fund (whether a corporation, partnership or other entity) engaged generally in making, purchasing or otherwise investing in commercial loans in the ordinary course of its business. To the extent permitted by law, each Participant also shall be entitled to the benefits of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as though it were a Lender.</w:t>
      </w:r>
    </w:p>
    <w:p>
      <w:pPr>
        <w:spacing w:after="0" w:line="183" w:lineRule="exact"/>
        <w:rPr>
          <w:sz w:val="20"/>
          <w:szCs w:val="20"/>
          <w:color w:val="auto"/>
        </w:rPr>
      </w:pPr>
    </w:p>
    <w:p>
      <w:pPr>
        <w:jc w:val="both"/>
        <w:ind w:firstLine="1297"/>
        <w:spacing w:after="0" w:line="321"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198" w:name="page199"/>
    <w:bookmarkEnd w:id="198"/>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5" w:lineRule="exact"/>
        <w:rPr>
          <w:sz w:val="20"/>
          <w:szCs w:val="20"/>
          <w:color w:val="auto"/>
        </w:rPr>
      </w:pPr>
    </w:p>
    <w:p>
      <w:pPr>
        <w:jc w:val="both"/>
        <w:ind w:firstLine="1305"/>
        <w:spacing w:after="0" w:line="278" w:lineRule="auto"/>
        <w:tabs>
          <w:tab w:leader="none" w:pos="171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as though it were a Lender.</w:t>
      </w:r>
    </w:p>
    <w:p>
      <w:pPr>
        <w:spacing w:after="0" w:line="165" w:lineRule="exact"/>
        <w:rPr>
          <w:rFonts w:ascii="Arial" w:cs="Arial" w:eastAsia="Arial" w:hAnsi="Arial"/>
          <w:sz w:val="18"/>
          <w:szCs w:val="18"/>
          <w:color w:val="auto"/>
        </w:rPr>
      </w:pPr>
    </w:p>
    <w:p>
      <w:pPr>
        <w:jc w:val="both"/>
        <w:ind w:firstLine="1305"/>
        <w:spacing w:after="0" w:line="246" w:lineRule="auto"/>
        <w:tabs>
          <w:tab w:leader="none" w:pos="1715"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ind w:firstLine="1305"/>
        <w:spacing w:after="0" w:line="260" w:lineRule="auto"/>
        <w:tabs>
          <w:tab w:leader="none" w:pos="173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Notwithstanding any provision in this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 the contrary, if any Lender becomes a Defaulting Lender, then the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apply for so long as such Lender is a Defaulting Lender.</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other parties hereto and shall survive the execution and delivery of any Loan Document and the making of any Loans and the issuance of any Letter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LC Disbursement or any fee or any other amount payable under the Loan Documents is outstanding and unpaid or any Letter of Credit is outstanding and so long as the Commitments have not expired or terminated. The provisions of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and the LC Disbursements, the expiration or termination of the Letters of Credit and the termination of the Commitments or the termination of this Agreement or any provision hereof.</w:t>
      </w:r>
    </w:p>
    <w:p>
      <w:pPr>
        <w:spacing w:after="0" w:line="17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73" w:lineRule="auto"/>
        <w:tabs>
          <w:tab w:leader="none" w:pos="16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any Credit Party or the syndication of the credit facility established hereunder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this Agreement shall become effective as of the date set forth in the preamble to this Agreement when it shall have been executed by the Administrative Agent and when the Administrative Agent shall have received counterparts hereof which, when taken together, bear the signatures of each of the other parties and thereafter shall be binding upon and inure to the benefit of the parties hereto and their respective successors and assigns.</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84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6" w:right="239" w:bottom="1440" w:gutter="0" w:footer="0" w:header="0"/>
        </w:sectPr>
      </w:pPr>
    </w:p>
    <w:bookmarkStart w:id="199" w:name="page200"/>
    <w:bookmarkEnd w:id="199"/>
    <w:p>
      <w:pPr>
        <w:ind w:left="10200"/>
        <w:spacing w:after="0"/>
        <w:rPr>
          <w:sz w:val="20"/>
          <w:szCs w:val="20"/>
          <w:color w:val="auto"/>
        </w:rPr>
      </w:pPr>
      <w:r>
        <w:rPr>
          <w:rFonts w:ascii="Arial" w:cs="Arial" w:eastAsia="Arial" w:hAnsi="Arial"/>
          <w:sz w:val="18"/>
          <w:szCs w:val="18"/>
          <w:b w:val="1"/>
          <w:bCs w:val="1"/>
          <w:color w:val="auto"/>
        </w:rPr>
        <w:t>Exhibit 10(b)2</w:t>
      </w: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9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Right of Set</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w:t>
      </w:r>
      <w:r>
        <w:rPr>
          <w:rFonts w:ascii="Arial" w:cs="Arial" w:eastAsia="Arial" w:hAnsi="Arial"/>
          <w:sz w:val="18"/>
          <w:szCs w:val="18"/>
          <w:color w:val="auto"/>
        </w:rPr>
        <w:t xml:space="preserve">. If an Event of Default shall have occurred and be continuing, and the acceleration of the obligations owing in connection with the Loan Documents, or at any time upon the occurrence and during the continuance of an Event of Default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each of the Lenders and their respective Affiliates is hereby authorized at any time and from time to time, to the fullest extent permitted by applicable law, to set</w:t>
      </w:r>
      <w:r>
        <w:rPr>
          <w:rFonts w:ascii="MS PGothic" w:cs="MS PGothic" w:eastAsia="MS PGothic" w:hAnsi="MS PGothic"/>
          <w:sz w:val="18"/>
          <w:szCs w:val="18"/>
          <w:color w:val="auto"/>
        </w:rPr>
        <w:t>‑</w:t>
      </w:r>
      <w:r>
        <w:rPr>
          <w:rFonts w:ascii="Arial" w:cs="Arial" w:eastAsia="Arial" w:hAnsi="Arial"/>
          <w:sz w:val="18"/>
          <w:szCs w:val="18"/>
          <w:color w:val="auto"/>
        </w:rPr>
        <w:t>off and apply any and all deposits (general or special, time or demand, provisional or final) at any time held and other obligations at any time owing by it to or for the credit or the account of the Borrower against any of and all the obligations of the Borrower now or hereafter existing under this Agreement and the other Loan Documents held by it, irrespective of whether or not it shall have made any demand therefor and although such obligations may be unmatured. The rights of each of the Lenders and their respective Affiliates under this Section are in addition to other rights and remedies (including other rights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that it may have. Each Lender agrees promptly to notify the Borrower and the Administrative Agent after any such set 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 off and application.</w:t>
      </w:r>
    </w:p>
    <w:p>
      <w:pPr>
        <w:spacing w:after="0" w:line="20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16" w:lineRule="exact"/>
        <w:rPr>
          <w:sz w:val="20"/>
          <w:szCs w:val="20"/>
          <w:color w:val="auto"/>
        </w:rPr>
      </w:pPr>
    </w:p>
    <w:p>
      <w:pPr>
        <w:ind w:left="1700" w:hanging="395"/>
        <w:spacing w:after="0"/>
        <w:tabs>
          <w:tab w:leader="none" w:pos="17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New York.</w:t>
      </w:r>
    </w:p>
    <w:p>
      <w:pPr>
        <w:spacing w:after="0" w:line="215" w:lineRule="exact"/>
        <w:rPr>
          <w:rFonts w:ascii="Arial" w:cs="Arial" w:eastAsia="Arial" w:hAnsi="Arial"/>
          <w:sz w:val="20"/>
          <w:szCs w:val="20"/>
          <w:color w:val="auto"/>
        </w:rPr>
      </w:pPr>
    </w:p>
    <w:p>
      <w:pPr>
        <w:jc w:val="both"/>
        <w:ind w:firstLine="1305"/>
        <w:spacing w:after="0" w:line="256" w:lineRule="auto"/>
        <w:tabs>
          <w:tab w:leader="none" w:pos="173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other Credit Party may otherwise have to bring any action or proceeding relating to this Agreement or the other Loan Documents against the Borrower, or any of its property, in the courts of any jurisdiction.</w:t>
      </w:r>
    </w:p>
    <w:p>
      <w:pPr>
        <w:spacing w:after="0" w:line="181" w:lineRule="exact"/>
        <w:rPr>
          <w:rFonts w:ascii="Arial" w:cs="Arial" w:eastAsia="Arial" w:hAnsi="Arial"/>
          <w:sz w:val="19"/>
          <w:szCs w:val="19"/>
          <w:color w:val="auto"/>
        </w:rPr>
      </w:pPr>
    </w:p>
    <w:p>
      <w:pPr>
        <w:jc w:val="both"/>
        <w:ind w:firstLine="1305"/>
        <w:spacing w:after="0" w:line="244" w:lineRule="auto"/>
        <w:tabs>
          <w:tab w:leader="none" w:pos="175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ind w:firstLine="1305"/>
        <w:spacing w:after="0" w:line="316" w:lineRule="auto"/>
        <w:tabs>
          <w:tab w:leader="none" w:pos="17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Each of the parties hereto irrevocably consents to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UNDER OR RELATING TO THIS CREDIT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CREDIT AGREEMENT AND THE OTHER LOAN DOCUMENTS TO WHICH IT IS A PARTY BY, AMONG OTHER THINGS, THE MUTUAL WAIVERS AND CERTIFICATIONS IN THIS SECTION.</w:t>
      </w:r>
    </w:p>
    <w:p>
      <w:pPr>
        <w:spacing w:after="0" w:line="18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or LC Disbursement, together with all fees, charges and other amounts that are treated as interest thereon under applicable law,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that may be contracted for, charged, taken, received or reserved by the Lender holding an interest in such Loan or LC Disbursement in accordance with applicable law, the rate of interest payable in respect of such Loan or LC Disbursement hereunder, together with all of the charges payable in respect thereof, shall be limited to the Maximum Rate and, to the extent lawful, the interest and the charges that would have been payable in respect of such Loan or LC Disbursement but were not payable as a result of the operation of this Section shall be cumulated, and the interest and the charges payable to such Lender in respect of other Loans or LC Disbursements or periods shall be increased (but not above the Maximum Rate therefor) until such cumulated amount, together with interest thereon at the Federal Funds Effective Rate to the date of repayment, shall have been received by such Lender.</w:t>
      </w:r>
    </w:p>
    <w:p>
      <w:pPr>
        <w:spacing w:after="0" w:line="17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Advertisement</w:t>
      </w:r>
      <w:r>
        <w:rPr>
          <w:rFonts w:ascii="Arial" w:cs="Arial" w:eastAsia="Arial" w:hAnsi="Arial"/>
          <w:sz w:val="16"/>
          <w:szCs w:val="16"/>
          <w:color w:val="auto"/>
        </w:rPr>
        <w:t>. The Borrower hereby authorizes JPMorgan Chase or any Affiliate thereof to publish the name of the Borrower and the amount of the financing evidenced hereby in any “tombstone” or comparable advertisement that JPMorgan Chase or such Affiliate elects to publish at its own expense. In addition, the Borrower agrees that JPMorgan Chase or any Affiliates thereof may provide lending industry trade organizations with information necessary and customary for inclusion in league table measurements after the date hereof.</w:t>
      </w:r>
    </w:p>
    <w:p>
      <w:pPr>
        <w:spacing w:after="0" w:line="1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the Borrower that such Lender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5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Each Credit Party agrees to use reasonable precautions to keep confidential, in accordance with its customary procedures for handling confidential information of the same nature, all confidential, proprietary or non</w:t>
      </w:r>
      <w:r>
        <w:rPr>
          <w:rFonts w:ascii="MS PGothic" w:cs="MS PGothic" w:eastAsia="MS PGothic" w:hAnsi="MS PGothic"/>
          <w:sz w:val="18"/>
          <w:szCs w:val="18"/>
          <w:color w:val="auto"/>
        </w:rPr>
        <w:t>‑</w:t>
      </w:r>
      <w:r>
        <w:rPr>
          <w:rFonts w:ascii="Arial" w:cs="Arial" w:eastAsia="Arial" w:hAnsi="Arial"/>
          <w:sz w:val="18"/>
          <w:szCs w:val="18"/>
          <w:color w:val="auto"/>
        </w:rPr>
        <w:t>public information supplied by the Borrower or any Affiliate pursuant to this Agreement relating to the Borrower, such Subsidiary or their respective businesses, including, without limitation, any financial statement, financial projections or forecasts, budget, Compliance Certificate, audit report, management letter or accountants’ certification delivered hereunder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provided that nothing herein shall limit the disclosure of any Information (a) to any of its respective Related Parties that needs to know such Information, (b) to the extent required by applicable laws or regulations or by any subpoena or similar legal process, or requested by any bank regulatory authority, (c) on a confidential basis, to any bona fide or potential assignee or participant in connection with the contemplated assignment or participation of any Loans or any participations therein or by any direct or indirect contractual counterparties (or the professional advisors thereto) to any swap or derivative transaction relating to the Borrower and its obligations (provided such assignees, participants, counterparties and advisors are advised of and agree to be bound by either the provisions of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10.15</w:t>
      </w:r>
      <w:r>
        <w:rPr>
          <w:rFonts w:ascii="Arial" w:cs="Arial" w:eastAsia="Arial" w:hAnsi="Arial"/>
          <w:sz w:val="18"/>
          <w:szCs w:val="18"/>
          <w:color w:val="auto"/>
        </w:rPr>
        <w:t>), (d) to auditors, accountants, consultants and advisors, and any analogous counterpart thereof, (e) to any other Credit Party, (f) in connection with any litigation to which any one or more of the Credit Parties is a party, (g) to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spacing w:after="0" w:line="235" w:lineRule="exact"/>
        <w:rPr>
          <w:sz w:val="20"/>
          <w:szCs w:val="20"/>
          <w:color w:val="auto"/>
        </w:rPr>
      </w:pPr>
      <w:r>
        <w:rPr>
          <w:rFonts w:ascii="Arial" w:cs="Arial" w:eastAsia="Arial" w:hAnsi="Arial"/>
          <w:sz w:val="20"/>
          <w:szCs w:val="20"/>
          <w:color w:val="auto"/>
        </w:rPr>
        <w:t>extent such Information (A) becomes publicly available other than as a result of a breach of this Agreement, (B) becomes available to any of the Credit Parties on a non</w:t>
      </w:r>
      <w:r>
        <w:rPr>
          <w:rFonts w:ascii="MS PGothic" w:cs="MS PGothic" w:eastAsia="MS PGothic" w:hAnsi="MS PGothic"/>
          <w:sz w:val="20"/>
          <w:szCs w:val="20"/>
          <w:color w:val="auto"/>
        </w:rPr>
        <w:t>‑</w:t>
      </w:r>
      <w:r>
        <w:rPr>
          <w:rFonts w:ascii="Arial" w:cs="Arial" w:eastAsia="Arial" w:hAnsi="Arial"/>
          <w:sz w:val="20"/>
          <w:szCs w:val="20"/>
          <w:color w:val="auto"/>
        </w:rPr>
        <w:t>confidential basis from a source other than the Borrower or any of its Affiliates or (C) was available to the Credit Parties on a non</w:t>
      </w:r>
      <w:r>
        <w:rPr>
          <w:rFonts w:ascii="MS PGothic" w:cs="MS PGothic" w:eastAsia="MS PGothic" w:hAnsi="MS PGothic"/>
          <w:sz w:val="20"/>
          <w:szCs w:val="20"/>
          <w:color w:val="auto"/>
        </w:rPr>
        <w:t>‑</w:t>
      </w:r>
      <w:r>
        <w:rPr>
          <w:rFonts w:ascii="Arial" w:cs="Arial" w:eastAsia="Arial" w:hAnsi="Arial"/>
          <w:sz w:val="20"/>
          <w:szCs w:val="20"/>
          <w:color w:val="auto"/>
        </w:rPr>
        <w:t>confidential basis prior to its disclosure to any of them by the Borrower or any of its Affiliates; and (h) to the extent the Borrower shall have consented to such disclosure in writing.</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No Fiduciary Duty, etc.</w:t>
      </w:r>
      <w:r>
        <w:rPr>
          <w:rFonts w:ascii="Arial" w:cs="Arial" w:eastAsia="Arial" w:hAnsi="Arial"/>
          <w:sz w:val="19"/>
          <w:szCs w:val="19"/>
          <w:color w:val="auto"/>
        </w:rPr>
        <w:t xml:space="preserve">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81" w:lineRule="exact"/>
        <w:rPr>
          <w:sz w:val="20"/>
          <w:szCs w:val="20"/>
          <w:color w:val="auto"/>
        </w:rPr>
      </w:pPr>
    </w:p>
    <w:p>
      <w:pPr>
        <w:ind w:right="20" w:firstLine="656"/>
        <w:spacing w:after="0" w:line="242" w:lineRule="auto"/>
        <w:tabs>
          <w:tab w:leader="none" w:pos="92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89" w:lineRule="exact"/>
        <w:rPr>
          <w:rFonts w:ascii="Arial" w:cs="Arial" w:eastAsia="Arial" w:hAnsi="Arial"/>
          <w:sz w:val="20"/>
          <w:szCs w:val="20"/>
          <w:color w:val="auto"/>
        </w:rPr>
      </w:pPr>
    </w:p>
    <w:p>
      <w:pPr>
        <w:ind w:right="180" w:firstLine="656"/>
        <w:spacing w:after="0" w:line="257" w:lineRule="auto"/>
        <w:tabs>
          <w:tab w:leader="none" w:pos="91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7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CoBank Equity and Security</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3" w:lineRule="auto"/>
        <w:tabs>
          <w:tab w:leader="none" w:pos="171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 long as CoBank (or its Affiliate) is a Lender hereunder, the Borrower will (i) maintain its status as an entity eligible to borrow from CoBank and (ii) acquire equity in CoBank in such amounts and at such times as CoBank may require in accordance with CoBank’s Bylaws and Capital Plan, except that the maximum amount of equity that the Borrower may be required to purchase in CoBank in connection with the Loans made by CoBank (or its affiliate) may not exceed the maximum amount permitted by the Bylaws and the Capital Plan at the time this Agreement is entered into. The Borrower acknowledges receipt of a copy of (x) CoBank’s most recent annual report, and if more recent, CoBank’s latest quarterly report, (y) CoBank’s Notice to Prospective Stockholders and (iii) CoBank’s Bylaws and Capital Plan, which describe the nature of all of the Borrower’s cash patronage, stock and other equities in CoBank acquired in connection with its patronage loan from CoBank (or its Affiliate) (the “</w:t>
      </w:r>
      <w:r>
        <w:rPr>
          <w:rFonts w:ascii="Arial" w:cs="Arial" w:eastAsia="Arial" w:hAnsi="Arial"/>
          <w:sz w:val="18"/>
          <w:szCs w:val="18"/>
          <w:u w:val="single" w:color="auto"/>
          <w:color w:val="auto"/>
        </w:rPr>
        <w:t>CoBank Equities</w:t>
      </w:r>
      <w:r>
        <w:rPr>
          <w:rFonts w:ascii="Arial" w:cs="Arial" w:eastAsia="Arial" w:hAnsi="Arial"/>
          <w:sz w:val="18"/>
          <w:szCs w:val="18"/>
          <w:color w:val="auto"/>
        </w:rPr>
        <w:t>”) as well as capitalization requirements, and agrees to be bound by the terms thereof.</w:t>
      </w:r>
    </w:p>
    <w:p>
      <w:pPr>
        <w:spacing w:after="0" w:line="169" w:lineRule="exact"/>
        <w:rPr>
          <w:rFonts w:ascii="Arial" w:cs="Arial" w:eastAsia="Arial" w:hAnsi="Arial"/>
          <w:sz w:val="18"/>
          <w:szCs w:val="18"/>
          <w:color w:val="auto"/>
        </w:rPr>
      </w:pPr>
    </w:p>
    <w:p>
      <w:pPr>
        <w:jc w:val="both"/>
        <w:ind w:firstLine="1305"/>
        <w:spacing w:after="0" w:line="250" w:lineRule="auto"/>
        <w:tabs>
          <w:tab w:leader="none" w:pos="172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Each party hereto acknowledges that CoBank’s Bylaws and Capital Plan shall govern (i) the rights and obligations of the parties with respect to the CoBank Equities and any patronage refunds or other distributions made on account thereof or on account of the Borrower’s patronage with CoBank, (ii) the Borrower’s eligibility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6"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186" w:lineRule="exact"/>
        <w:rPr>
          <w:sz w:val="20"/>
          <w:szCs w:val="20"/>
          <w:color w:val="auto"/>
        </w:rPr>
      </w:pPr>
    </w:p>
    <w:p>
      <w:pPr>
        <w:jc w:val="both"/>
        <w:ind w:firstLine="1305"/>
        <w:spacing w:after="0" w:line="271" w:lineRule="auto"/>
        <w:tabs>
          <w:tab w:leader="none" w:pos="18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party hereto acknowledges that CoBank has a statutory first lien pursuant to the Farm Credit Act of 1971 (as amended from time to time) on all CoBank Equities that the Borrower may now own or hereafter acquire, which statutory lien shall be for CoBank’s (or its Affiliate’s) sole and exclusive benefit. The CoBank Equities shall not constitute security for the obligations due to any other Lender. To the extent that any of the Loan Documents create a Lien on the CoBank Equities or on patronage accrued by CoBank for the account of the Borrower (including, in each case, proceeds thereof), such Lien shall be for CoBank’s (or its Affiliate’s) sole and exclusive benefit and shall not be subject to pro rata sharing hereunder. Neither the CoBank Equities nor any accrued patronage shall be offset against the obligations hereunder, except that, in the event of an Event of Default, CoBank may elect, solely at its discretion, to apply the cash portion of any patronage distribution or retirement of equity to amounts owed to CoBank or its Affiliate under this Agreement, whether or not such amounts are currently due and payable. The Borrower acknowledges that any corresponding tax liability associated with such application is the sole responsibility of the Borrower. CoBank shall have no obligation to retire the CoBank Equities upon any Default or any other default by the Borrower, or at any other time, either for application to the Loans or other obligations under this Agreement or otherwise.</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 xml:space="preserve">Section 10.18.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firstLine="1305"/>
        <w:spacing w:after="0" w:line="260" w:lineRule="auto"/>
        <w:tabs>
          <w:tab w:leader="none" w:pos="169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20" w:hanging="367"/>
        <w:spacing w:after="0"/>
        <w:tabs>
          <w:tab w:leader="none" w:pos="232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451" w:val="left"/>
        </w:tabs>
        <w:numPr>
          <w:ilvl w:val="1"/>
          <w:numId w:val="15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53"/>
        <w:spacing w:after="0" w:line="260" w:lineRule="auto"/>
        <w:tabs>
          <w:tab w:leader="none" w:pos="2479"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Credit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324"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420"/>
          </w:cols>
          <w:pgMar w:left="240" w:top="118" w:right="239" w:bottom="1440" w:gutter="0" w:footer="0" w:header="0"/>
          <w:type w:val="continuous"/>
        </w:sectPr>
      </w:pPr>
    </w:p>
    <w:bookmarkStart w:id="204" w:name="page205"/>
    <w:bookmarkEnd w:id="20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00" w:right="240"/>
        <w:spacing w:after="0" w:line="260" w:lineRule="auto"/>
        <w:rPr>
          <w:sz w:val="20"/>
          <w:szCs w:val="20"/>
          <w:color w:val="auto"/>
        </w:rPr>
      </w:pPr>
      <w:r>
        <w:rPr>
          <w:rFonts w:ascii="Arial" w:cs="Arial" w:eastAsia="Arial" w:hAnsi="Arial"/>
          <w:sz w:val="20"/>
          <w:szCs w:val="20"/>
          <w:color w:val="auto"/>
        </w:rPr>
        <w:t>JPMORGAN CHASE BANK, N.A., as a Lender, as an Issuing Bank, and as Administrative Agent</w:t>
      </w:r>
    </w:p>
    <w:p>
      <w:pPr>
        <w:spacing w:after="0" w:line="393"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0220"/>
          </w:cols>
          <w:pgMar w:left="14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220"/>
          </w:cols>
          <w:pgMar w:left="1440" w:top="116" w:right="239" w:bottom="144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ROYAL BANK OF CANADA, as a Lender</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0220"/>
          </w:cols>
          <w:pgMar w:left="14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220"/>
          </w:cols>
          <w:pgMar w:left="1440" w:top="118" w:right="239" w:bottom="144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0220"/>
          </w:cols>
          <w:pgMar w:left="14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220"/>
          </w:cols>
          <w:pgMar w:left="1440" w:top="116" w:right="2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WELLS FARGO BANK, NATIONAL ASSOCIATION, as a Lender</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20"/>
          </w:cols>
          <w:pgMar w:left="1440" w:top="11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0220"/>
          </w:cols>
          <w:pgMar w:left="14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0220"/>
          </w:cols>
          <w:pgMar w:left="1440" w:top="118" w:right="239" w:bottom="144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KEYBANK NATIONAL ASSOCIATION, as a Lender</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ectPr>
          <w:pgSz w:w="11900" w:h="16838" w:orient="portrait"/>
          <w:cols w:equalWidth="0" w:num="1">
            <w:col w:w="10220"/>
          </w:cols>
          <w:pgMar w:left="14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0220"/>
          </w:cols>
          <w:pgMar w:left="1440" w:top="116" w:right="239" w:bottom="1440" w:gutter="0" w:footer="0" w:header="0"/>
          <w:type w:val="continuous"/>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COBANK, ACB, as a Lender and as an Issuing Bank</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2700"/>
        <w:spacing w:after="0"/>
        <w:tabs>
          <w:tab w:leader="none" w:pos="32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220"/>
          </w:cols>
          <w:pgMar w:left="1440" w:top="116"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APPLICABLE MARGIN</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Applicable Margin for Eurodollar Borrowings, ABR Borrowings, Letter of Credit fees and facility fees shall be determined in accordance with the table below based on the then-current Senior Debt Ratings. The Senior Debt Ratings in effect on any date for the purposes of this Schedule are those in effect at the close of business on such date.</w:t>
      </w:r>
    </w:p>
    <w:p>
      <w:pPr>
        <w:spacing w:after="0" w:line="318" w:lineRule="exact"/>
        <w:rPr>
          <w:sz w:val="20"/>
          <w:szCs w:val="20"/>
          <w:color w:val="auto"/>
        </w:rPr>
      </w:pPr>
    </w:p>
    <w:tbl>
      <w:tblPr>
        <w:tblLayout w:type="fixed"/>
        <w:tblInd w:w="1370" w:type="dxa"/>
        <w:tblCellMar>
          <w:top w:w="0" w:type="dxa"/>
          <w:left w:w="0" w:type="dxa"/>
          <w:bottom w:w="0" w:type="dxa"/>
          <w:right w:w="0" w:type="dxa"/>
        </w:tblCellMar>
      </w:tblPr>
      <w:tr>
        <w:trPr>
          <w:trHeight w:val="253"/>
        </w:trPr>
        <w:tc>
          <w:tcPr>
            <w:tcW w:w="2460" w:type="dxa"/>
            <w:vAlign w:val="bottom"/>
            <w:tcBorders>
              <w:top w:val="single" w:sz="8" w:color="auto"/>
              <w:left w:val="single" w:sz="8" w:color="auto"/>
              <w:right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spacing w:after="0"/>
              <w:rPr>
                <w:sz w:val="22"/>
                <w:szCs w:val="22"/>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Level</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Level</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Pricing Level</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Pricing Level</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Status</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Pricing Level I</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6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BBB+/</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&lt; BBB+/</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Senior Debt Rating</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A+/</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A/</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 A-/</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BBB+/</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BBB+/</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 A1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A/ A2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A-/A3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Baa1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Baa1</w:t>
            </w: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Applicable Margin for</w:t>
            </w:r>
          </w:p>
        </w:tc>
        <w:tc>
          <w:tcPr>
            <w:tcW w:w="13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Eurodollar Rate loans and</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0.800%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0.900%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1.075%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1.275%</w:t>
            </w:r>
          </w:p>
        </w:tc>
        <w:tc>
          <w:tcPr>
            <w:tcW w:w="0" w:type="dxa"/>
            <w:vAlign w:val="bottom"/>
          </w:tcPr>
          <w:p>
            <w:pPr>
              <w:spacing w:after="0"/>
              <w:rPr>
                <w:sz w:val="1"/>
                <w:szCs w:val="1"/>
                <w:color w:val="auto"/>
              </w:rPr>
            </w:pPr>
          </w:p>
        </w:tc>
      </w:tr>
      <w:tr>
        <w:trPr>
          <w:trHeight w:val="129"/>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Letter of Credit participation</w:t>
            </w:r>
          </w:p>
        </w:tc>
        <w:tc>
          <w:tcPr>
            <w:tcW w:w="13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46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fees</w:t>
            </w:r>
          </w:p>
        </w:tc>
        <w:tc>
          <w:tcPr>
            <w:tcW w:w="13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Applicable for</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0.075%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0.100%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0.125%</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0.175%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0.225%</w:t>
            </w:r>
          </w:p>
        </w:tc>
        <w:tc>
          <w:tcPr>
            <w:tcW w:w="0" w:type="dxa"/>
            <w:vAlign w:val="bottom"/>
          </w:tcPr>
          <w:p>
            <w:pPr>
              <w:spacing w:after="0"/>
              <w:rPr>
                <w:sz w:val="1"/>
                <w:szCs w:val="1"/>
                <w:color w:val="auto"/>
              </w:rPr>
            </w:pPr>
          </w:p>
        </w:tc>
      </w:tr>
      <w:tr>
        <w:trPr>
          <w:trHeight w:val="149"/>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facility fees</w:t>
            </w:r>
          </w:p>
        </w:tc>
        <w:tc>
          <w:tcPr>
            <w:tcW w:w="13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46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Applicable Margin for ABR</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0.075%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0.275%</w:t>
            </w:r>
          </w:p>
        </w:tc>
        <w:tc>
          <w:tcPr>
            <w:tcW w:w="0" w:type="dxa"/>
            <w:vAlign w:val="bottom"/>
          </w:tcPr>
          <w:p>
            <w:pPr>
              <w:spacing w:after="0"/>
              <w:rPr>
                <w:sz w:val="1"/>
                <w:szCs w:val="1"/>
                <w:color w:val="auto"/>
              </w:rPr>
            </w:pPr>
          </w:p>
        </w:tc>
      </w:tr>
      <w:tr>
        <w:trPr>
          <w:trHeight w:val="129"/>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loans</w:t>
            </w:r>
          </w:p>
        </w:tc>
        <w:tc>
          <w:tcPr>
            <w:tcW w:w="13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6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firstLine="656"/>
        <w:spacing w:after="0" w:line="316" w:lineRule="auto"/>
        <w:tabs>
          <w:tab w:leader="none" w:pos="11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each Rating Agency issues a Senior Debt Rating, the applicable Senior Debt Rating shall be (i) if two of such Senior Debt Ratings are the same, such Senior Debt Ratings; and (ii) if all such Senior Debt Ratings are different, the middle of such Senior Debt Ratings.</w:t>
      </w:r>
    </w:p>
    <w:p>
      <w:pPr>
        <w:spacing w:after="0" w:line="130" w:lineRule="exact"/>
        <w:rPr>
          <w:rFonts w:ascii="Arial" w:cs="Arial" w:eastAsia="Arial" w:hAnsi="Arial"/>
          <w:sz w:val="18"/>
          <w:szCs w:val="18"/>
          <w:color w:val="auto"/>
        </w:rPr>
      </w:pPr>
    </w:p>
    <w:p>
      <w:pPr>
        <w:jc w:val="both"/>
        <w:ind w:firstLine="656"/>
        <w:spacing w:after="0" w:line="250" w:lineRule="auto"/>
        <w:tabs>
          <w:tab w:leader="none" w:pos="1059"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If only two Rating Agencies issue a Senior Debt Rating, the applicable Senior Debt Rating shall be the higher of such Senior Debt Ratings;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split of greater than one ratings category occurs between such Senior Debt Ratings, the applicable Senior Debt Rating shall be the ratings category that is one category below the higher of such Senior Debt Ratings.</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only one Rating Agency issues a Senior Debt Rating, the applicable Senior Debt Rating shall be such Senior Debt Rating.</w:t>
      </w:r>
    </w:p>
    <w:p>
      <w:pPr>
        <w:spacing w:after="0" w:line="238" w:lineRule="exact"/>
        <w:rPr>
          <w:rFonts w:ascii="Arial" w:cs="Arial" w:eastAsia="Arial" w:hAnsi="Arial"/>
          <w:sz w:val="18"/>
          <w:szCs w:val="18"/>
          <w:color w:val="auto"/>
        </w:rPr>
      </w:pPr>
    </w:p>
    <w:p>
      <w:pPr>
        <w:ind w:left="1060" w:hanging="404"/>
        <w:spacing w:after="0"/>
        <w:tabs>
          <w:tab w:leader="none" w:pos="106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no Rating Agency issues a Senior Debt Rating, Pricing Level V shall apply.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11420"/>
          </w:cols>
          <w:pgMar w:left="240" w:top="11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SCHEDULE 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b w:val="1"/>
          <w:bCs w:val="1"/>
          <w:u w:val="single" w:color="auto"/>
          <w:color w:val="auto"/>
        </w:rPr>
        <w:t>LIST OF COMMITMENTS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80" w:type="dxa"/>
            <w:vAlign w:val="bottom"/>
            <w:tcBorders>
              <w:top w:val="single" w:sz="8" w:color="auto"/>
              <w:lef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720" w:type="dxa"/>
            <w:vAlign w:val="bottom"/>
            <w:tcBorders>
              <w:top w:val="single" w:sz="8" w:color="auto"/>
              <w:right w:val="single" w:sz="8" w:color="auto"/>
            </w:tcBorders>
            <w:gridSpan w:val="6"/>
          </w:tcPr>
          <w:p>
            <w:pPr>
              <w:jc w:val="center"/>
              <w:ind w:right="1440"/>
              <w:spacing w:after="0"/>
              <w:rPr>
                <w:sz w:val="20"/>
                <w:szCs w:val="20"/>
                <w:color w:val="auto"/>
              </w:rPr>
            </w:pPr>
            <w:r>
              <w:rPr>
                <w:rFonts w:ascii="Arial" w:cs="Arial" w:eastAsia="Arial" w:hAnsi="Arial"/>
                <w:sz w:val="20"/>
                <w:szCs w:val="20"/>
                <w:b w:val="1"/>
                <w:bCs w:val="1"/>
                <w:color w:val="auto"/>
                <w:w w:val="89"/>
              </w:rPr>
              <w:t>Lender</w:t>
            </w:r>
          </w:p>
        </w:tc>
        <w:tc>
          <w:tcPr>
            <w:tcW w:w="5120" w:type="dxa"/>
            <w:vAlign w:val="bottom"/>
            <w:tcBorders>
              <w:top w:val="single" w:sz="8" w:color="auto"/>
              <w:right w:val="single" w:sz="8" w:color="auto"/>
            </w:tcBorders>
            <w:gridSpan w:val="3"/>
          </w:tcPr>
          <w:p>
            <w:pPr>
              <w:ind w:left="1980"/>
              <w:spacing w:after="0"/>
              <w:rPr>
                <w:sz w:val="20"/>
                <w:szCs w:val="20"/>
                <w:color w:val="auto"/>
              </w:rPr>
            </w:pPr>
            <w:r>
              <w:rPr>
                <w:rFonts w:ascii="Arial" w:cs="Arial" w:eastAsia="Arial" w:hAnsi="Arial"/>
                <w:sz w:val="20"/>
                <w:szCs w:val="20"/>
                <w:b w:val="1"/>
                <w:bCs w:val="1"/>
                <w:color w:val="auto"/>
              </w:rPr>
              <w:t>Commitment</w:t>
            </w:r>
          </w:p>
        </w:tc>
      </w:tr>
      <w:tr>
        <w:trPr>
          <w:trHeight w:val="48"/>
        </w:trPr>
        <w:tc>
          <w:tcPr>
            <w:tcW w:w="9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10"/>
        </w:trPr>
        <w:tc>
          <w:tcPr>
            <w:tcW w:w="9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40" w:type="dxa"/>
            <w:vAlign w:val="bottom"/>
            <w:tcBorders>
              <w:right w:val="single" w:sz="8" w:color="auto"/>
            </w:tcBorders>
            <w:gridSpan w:val="7"/>
          </w:tcPr>
          <w:p>
            <w:pPr>
              <w:jc w:val="center"/>
              <w:ind w:right="1320"/>
              <w:spacing w:after="0" w:line="209" w:lineRule="exact"/>
              <w:rPr>
                <w:sz w:val="20"/>
                <w:szCs w:val="20"/>
                <w:color w:val="auto"/>
              </w:rPr>
            </w:pPr>
            <w:r>
              <w:rPr>
                <w:rFonts w:ascii="Arial" w:cs="Arial" w:eastAsia="Arial" w:hAnsi="Arial"/>
                <w:sz w:val="20"/>
                <w:szCs w:val="20"/>
                <w:color w:val="auto"/>
                <w:w w:val="89"/>
              </w:rPr>
              <w:t>JPMorgan Chase Bank, N.A.</w:t>
            </w:r>
          </w:p>
        </w:tc>
        <w:tc>
          <w:tcPr>
            <w:tcW w:w="3100" w:type="dxa"/>
            <w:vAlign w:val="bottom"/>
            <w:gridSpan w:val="2"/>
          </w:tcPr>
          <w:p>
            <w:pPr>
              <w:jc w:val="center"/>
              <w:ind w:left="1901"/>
              <w:spacing w:after="0" w:line="209" w:lineRule="exact"/>
              <w:rPr>
                <w:sz w:val="20"/>
                <w:szCs w:val="20"/>
                <w:color w:val="auto"/>
              </w:rPr>
            </w:pPr>
            <w:r>
              <w:rPr>
                <w:rFonts w:ascii="Arial" w:cs="Arial" w:eastAsia="Arial" w:hAnsi="Arial"/>
                <w:sz w:val="20"/>
                <w:szCs w:val="20"/>
                <w:color w:val="auto"/>
                <w:w w:val="88"/>
              </w:rPr>
              <w:t>$70,000,000</w:t>
            </w:r>
          </w:p>
        </w:tc>
        <w:tc>
          <w:tcPr>
            <w:tcW w:w="2020" w:type="dxa"/>
            <w:vAlign w:val="bottom"/>
            <w:tcBorders>
              <w:right w:val="single" w:sz="8" w:color="auto"/>
            </w:tcBorders>
          </w:tcPr>
          <w:p>
            <w:pPr>
              <w:spacing w:after="0"/>
              <w:rPr>
                <w:sz w:val="18"/>
                <w:szCs w:val="18"/>
                <w:color w:val="auto"/>
              </w:rPr>
            </w:pPr>
          </w:p>
        </w:tc>
      </w:tr>
      <w:tr>
        <w:trPr>
          <w:trHeight w:val="48"/>
        </w:trPr>
        <w:tc>
          <w:tcPr>
            <w:tcW w:w="9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10"/>
        </w:trPr>
        <w:tc>
          <w:tcPr>
            <w:tcW w:w="98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40" w:type="dxa"/>
            <w:vAlign w:val="bottom"/>
            <w:tcBorders>
              <w:right w:val="single" w:sz="8" w:color="auto"/>
            </w:tcBorders>
            <w:gridSpan w:val="7"/>
          </w:tcPr>
          <w:p>
            <w:pPr>
              <w:jc w:val="center"/>
              <w:ind w:right="1320"/>
              <w:spacing w:after="0" w:line="209" w:lineRule="exact"/>
              <w:rPr>
                <w:sz w:val="20"/>
                <w:szCs w:val="20"/>
                <w:color w:val="auto"/>
              </w:rPr>
            </w:pPr>
            <w:r>
              <w:rPr>
                <w:rFonts w:ascii="Arial" w:cs="Arial" w:eastAsia="Arial" w:hAnsi="Arial"/>
                <w:sz w:val="20"/>
                <w:szCs w:val="20"/>
                <w:color w:val="auto"/>
                <w:w w:val="91"/>
              </w:rPr>
              <w:t>U.S. Bank National Association</w:t>
            </w:r>
          </w:p>
        </w:tc>
        <w:tc>
          <w:tcPr>
            <w:tcW w:w="3100" w:type="dxa"/>
            <w:vAlign w:val="bottom"/>
            <w:gridSpan w:val="2"/>
          </w:tcPr>
          <w:p>
            <w:pPr>
              <w:jc w:val="center"/>
              <w:ind w:left="1901"/>
              <w:spacing w:after="0" w:line="209" w:lineRule="exact"/>
              <w:rPr>
                <w:sz w:val="20"/>
                <w:szCs w:val="20"/>
                <w:color w:val="auto"/>
              </w:rPr>
            </w:pPr>
            <w:r>
              <w:rPr>
                <w:rFonts w:ascii="Arial" w:cs="Arial" w:eastAsia="Arial" w:hAnsi="Arial"/>
                <w:sz w:val="20"/>
                <w:szCs w:val="20"/>
                <w:color w:val="auto"/>
                <w:w w:val="88"/>
              </w:rPr>
              <w:t>$60,000,000</w:t>
            </w:r>
          </w:p>
        </w:tc>
        <w:tc>
          <w:tcPr>
            <w:tcW w:w="2020" w:type="dxa"/>
            <w:vAlign w:val="bottom"/>
            <w:tcBorders>
              <w:right w:val="single" w:sz="8" w:color="auto"/>
            </w:tcBorders>
          </w:tcPr>
          <w:p>
            <w:pPr>
              <w:spacing w:after="0"/>
              <w:rPr>
                <w:sz w:val="18"/>
                <w:szCs w:val="18"/>
                <w:color w:val="auto"/>
              </w:rPr>
            </w:pPr>
          </w:p>
        </w:tc>
      </w:tr>
      <w:tr>
        <w:trPr>
          <w:trHeight w:val="48"/>
        </w:trPr>
        <w:tc>
          <w:tcPr>
            <w:tcW w:w="9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10"/>
        </w:trPr>
        <w:tc>
          <w:tcPr>
            <w:tcW w:w="980" w:type="dxa"/>
            <w:vAlign w:val="bottom"/>
            <w:tcBorders>
              <w:left w:val="single" w:sz="8" w:color="auto"/>
            </w:tcBorders>
          </w:tcPr>
          <w:p>
            <w:pPr>
              <w:spacing w:after="0"/>
              <w:rPr>
                <w:sz w:val="18"/>
                <w:szCs w:val="18"/>
                <w:color w:val="auto"/>
              </w:rPr>
            </w:pPr>
          </w:p>
        </w:tc>
        <w:tc>
          <w:tcPr>
            <w:tcW w:w="4180" w:type="dxa"/>
            <w:vAlign w:val="bottom"/>
            <w:tcBorders>
              <w:right w:val="single" w:sz="8" w:color="auto"/>
            </w:tcBorders>
            <w:gridSpan w:val="8"/>
          </w:tcPr>
          <w:p>
            <w:pPr>
              <w:jc w:val="center"/>
              <w:ind w:right="980"/>
              <w:spacing w:after="0" w:line="209" w:lineRule="exact"/>
              <w:rPr>
                <w:sz w:val="20"/>
                <w:szCs w:val="20"/>
                <w:color w:val="auto"/>
              </w:rPr>
            </w:pPr>
            <w:r>
              <w:rPr>
                <w:rFonts w:ascii="Arial" w:cs="Arial" w:eastAsia="Arial" w:hAnsi="Arial"/>
                <w:sz w:val="20"/>
                <w:szCs w:val="20"/>
                <w:color w:val="auto"/>
                <w:w w:val="91"/>
              </w:rPr>
              <w:t>Wells Fargo Bank, National Association</w:t>
            </w:r>
          </w:p>
        </w:tc>
        <w:tc>
          <w:tcPr>
            <w:tcW w:w="3100" w:type="dxa"/>
            <w:vAlign w:val="bottom"/>
            <w:gridSpan w:val="2"/>
          </w:tcPr>
          <w:p>
            <w:pPr>
              <w:jc w:val="center"/>
              <w:ind w:left="1901"/>
              <w:spacing w:after="0" w:line="209" w:lineRule="exact"/>
              <w:rPr>
                <w:sz w:val="20"/>
                <w:szCs w:val="20"/>
                <w:color w:val="auto"/>
              </w:rPr>
            </w:pPr>
            <w:r>
              <w:rPr>
                <w:rFonts w:ascii="Arial" w:cs="Arial" w:eastAsia="Arial" w:hAnsi="Arial"/>
                <w:sz w:val="20"/>
                <w:szCs w:val="20"/>
                <w:color w:val="auto"/>
                <w:w w:val="88"/>
              </w:rPr>
              <w:t>$60,000,000</w:t>
            </w:r>
          </w:p>
        </w:tc>
        <w:tc>
          <w:tcPr>
            <w:tcW w:w="2020" w:type="dxa"/>
            <w:vAlign w:val="bottom"/>
            <w:tcBorders>
              <w:right w:val="single" w:sz="8" w:color="auto"/>
            </w:tcBorders>
          </w:tcPr>
          <w:p>
            <w:pPr>
              <w:spacing w:after="0"/>
              <w:rPr>
                <w:sz w:val="18"/>
                <w:szCs w:val="18"/>
                <w:color w:val="auto"/>
              </w:rPr>
            </w:pPr>
          </w:p>
        </w:tc>
      </w:tr>
      <w:tr>
        <w:trPr>
          <w:trHeight w:val="48"/>
        </w:trPr>
        <w:tc>
          <w:tcPr>
            <w:tcW w:w="980" w:type="dxa"/>
            <w:vAlign w:val="bottom"/>
            <w:tcBorders>
              <w:left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4"/>
        </w:trPr>
        <w:tc>
          <w:tcPr>
            <w:tcW w:w="9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20" w:type="dxa"/>
            <w:vAlign w:val="bottom"/>
            <w:tcBorders>
              <w:right w:val="single" w:sz="8" w:color="auto"/>
            </w:tcBorders>
            <w:gridSpan w:val="6"/>
          </w:tcPr>
          <w:p>
            <w:pPr>
              <w:jc w:val="center"/>
              <w:ind w:right="1440"/>
              <w:spacing w:after="0"/>
              <w:rPr>
                <w:sz w:val="20"/>
                <w:szCs w:val="20"/>
                <w:color w:val="auto"/>
              </w:rPr>
            </w:pPr>
            <w:r>
              <w:rPr>
                <w:rFonts w:ascii="Arial" w:cs="Arial" w:eastAsia="Arial" w:hAnsi="Arial"/>
                <w:sz w:val="20"/>
                <w:szCs w:val="20"/>
                <w:color w:val="auto"/>
                <w:w w:val="89"/>
              </w:rPr>
              <w:t>Royal Bank of Canada</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color w:val="auto"/>
                <w:w w:val="88"/>
              </w:rPr>
              <w:t>$60,000,000</w:t>
            </w:r>
          </w:p>
        </w:tc>
        <w:tc>
          <w:tcPr>
            <w:tcW w:w="2020" w:type="dxa"/>
            <w:vAlign w:val="bottom"/>
            <w:tcBorders>
              <w:right w:val="single" w:sz="8" w:color="auto"/>
            </w:tcBorders>
          </w:tcPr>
          <w:p>
            <w:pPr>
              <w:spacing w:after="0"/>
              <w:rPr>
                <w:sz w:val="22"/>
                <w:szCs w:val="22"/>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54"/>
        </w:trPr>
        <w:tc>
          <w:tcPr>
            <w:tcW w:w="9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20" w:type="dxa"/>
            <w:vAlign w:val="bottom"/>
            <w:tcBorders>
              <w:right w:val="single" w:sz="8" w:color="auto"/>
            </w:tcBorders>
            <w:gridSpan w:val="6"/>
          </w:tcPr>
          <w:p>
            <w:pPr>
              <w:jc w:val="center"/>
              <w:ind w:right="1440"/>
              <w:spacing w:after="0"/>
              <w:rPr>
                <w:sz w:val="20"/>
                <w:szCs w:val="20"/>
                <w:color w:val="auto"/>
              </w:rPr>
            </w:pPr>
            <w:r>
              <w:rPr>
                <w:rFonts w:ascii="Arial" w:cs="Arial" w:eastAsia="Arial" w:hAnsi="Arial"/>
                <w:sz w:val="20"/>
                <w:szCs w:val="20"/>
                <w:color w:val="auto"/>
                <w:w w:val="93"/>
              </w:rPr>
              <w:t>Bank of America, N.A.</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color w:val="auto"/>
                <w:w w:val="88"/>
              </w:rPr>
              <w:t>$60,000,000</w:t>
            </w:r>
          </w:p>
        </w:tc>
        <w:tc>
          <w:tcPr>
            <w:tcW w:w="2020" w:type="dxa"/>
            <w:vAlign w:val="bottom"/>
            <w:tcBorders>
              <w:right w:val="single" w:sz="8" w:color="auto"/>
            </w:tcBorders>
          </w:tcPr>
          <w:p>
            <w:pPr>
              <w:spacing w:after="0"/>
              <w:rPr>
                <w:sz w:val="22"/>
                <w:szCs w:val="22"/>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54"/>
        </w:trPr>
        <w:tc>
          <w:tcPr>
            <w:tcW w:w="9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20" w:type="dxa"/>
            <w:vAlign w:val="bottom"/>
            <w:tcBorders>
              <w:right w:val="single" w:sz="8" w:color="auto"/>
            </w:tcBorders>
            <w:gridSpan w:val="6"/>
          </w:tcPr>
          <w:p>
            <w:pPr>
              <w:jc w:val="center"/>
              <w:ind w:right="1440"/>
              <w:spacing w:after="0"/>
              <w:rPr>
                <w:sz w:val="20"/>
                <w:szCs w:val="20"/>
                <w:color w:val="auto"/>
              </w:rPr>
            </w:pPr>
            <w:r>
              <w:rPr>
                <w:rFonts w:ascii="Arial" w:cs="Arial" w:eastAsia="Arial" w:hAnsi="Arial"/>
                <w:sz w:val="20"/>
                <w:szCs w:val="20"/>
                <w:color w:val="auto"/>
                <w:w w:val="93"/>
              </w:rPr>
              <w:t>CoBank, ACB</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color w:val="auto"/>
                <w:w w:val="88"/>
              </w:rPr>
              <w:t>$45,000,000</w:t>
            </w:r>
          </w:p>
        </w:tc>
        <w:tc>
          <w:tcPr>
            <w:tcW w:w="2020" w:type="dxa"/>
            <w:vAlign w:val="bottom"/>
            <w:tcBorders>
              <w:right w:val="single" w:sz="8" w:color="auto"/>
            </w:tcBorders>
          </w:tcPr>
          <w:p>
            <w:pPr>
              <w:spacing w:after="0"/>
              <w:rPr>
                <w:sz w:val="22"/>
                <w:szCs w:val="22"/>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54"/>
        </w:trPr>
        <w:tc>
          <w:tcPr>
            <w:tcW w:w="9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840" w:type="dxa"/>
            <w:vAlign w:val="bottom"/>
            <w:tcBorders>
              <w:right w:val="single" w:sz="8" w:color="auto"/>
            </w:tcBorders>
            <w:gridSpan w:val="7"/>
          </w:tcPr>
          <w:p>
            <w:pPr>
              <w:jc w:val="center"/>
              <w:ind w:right="1300"/>
              <w:spacing w:after="0"/>
              <w:rPr>
                <w:sz w:val="20"/>
                <w:szCs w:val="20"/>
                <w:color w:val="auto"/>
              </w:rPr>
            </w:pPr>
            <w:r>
              <w:rPr>
                <w:rFonts w:ascii="Arial" w:cs="Arial" w:eastAsia="Arial" w:hAnsi="Arial"/>
                <w:sz w:val="20"/>
                <w:szCs w:val="20"/>
                <w:color w:val="auto"/>
                <w:w w:val="92"/>
              </w:rPr>
              <w:t>KeyBank National Association</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color w:val="auto"/>
                <w:w w:val="88"/>
              </w:rPr>
              <w:t>$45,000,000</w:t>
            </w:r>
          </w:p>
        </w:tc>
        <w:tc>
          <w:tcPr>
            <w:tcW w:w="2020" w:type="dxa"/>
            <w:vAlign w:val="bottom"/>
            <w:tcBorders>
              <w:right w:val="single" w:sz="8" w:color="auto"/>
            </w:tcBorders>
          </w:tcPr>
          <w:p>
            <w:pPr>
              <w:spacing w:after="0"/>
              <w:rPr>
                <w:sz w:val="22"/>
                <w:szCs w:val="22"/>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54"/>
        </w:trPr>
        <w:tc>
          <w:tcPr>
            <w:tcW w:w="98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80" w:type="dxa"/>
            <w:vAlign w:val="bottom"/>
            <w:tcBorders>
              <w:right w:val="single" w:sz="8" w:color="auto"/>
            </w:tcBorders>
            <w:gridSpan w:val="5"/>
          </w:tcPr>
          <w:p>
            <w:pPr>
              <w:jc w:val="center"/>
              <w:ind w:right="2280"/>
              <w:spacing w:after="0"/>
              <w:rPr>
                <w:sz w:val="20"/>
                <w:szCs w:val="20"/>
                <w:color w:val="auto"/>
              </w:rPr>
            </w:pPr>
            <w:r>
              <w:rPr>
                <w:rFonts w:ascii="Arial" w:cs="Arial" w:eastAsia="Arial" w:hAnsi="Arial"/>
                <w:sz w:val="20"/>
                <w:szCs w:val="20"/>
                <w:b w:val="1"/>
                <w:bCs w:val="1"/>
                <w:color w:val="auto"/>
                <w:w w:val="91"/>
              </w:rPr>
              <w:t>Total</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b w:val="1"/>
                <w:bCs w:val="1"/>
                <w:color w:val="auto"/>
                <w:w w:val="89"/>
              </w:rPr>
              <w:t>$400,000,000</w:t>
            </w:r>
          </w:p>
        </w:tc>
        <w:tc>
          <w:tcPr>
            <w:tcW w:w="2020" w:type="dxa"/>
            <w:vAlign w:val="bottom"/>
            <w:tcBorders>
              <w:right w:val="single" w:sz="8" w:color="auto"/>
            </w:tcBorders>
          </w:tcPr>
          <w:p>
            <w:pPr>
              <w:spacing w:after="0"/>
              <w:rPr>
                <w:sz w:val="22"/>
                <w:szCs w:val="22"/>
                <w:color w:val="auto"/>
              </w:rPr>
            </w:pPr>
          </w:p>
        </w:tc>
      </w:tr>
      <w:tr>
        <w:trPr>
          <w:trHeight w:val="23"/>
        </w:trPr>
        <w:tc>
          <w:tcPr>
            <w:tcW w:w="98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840"/>
          </w:cols>
          <w:pgMar w:left="82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Schedule 2.1</w:t>
      </w:r>
    </w:p>
    <w:p>
      <w:pPr>
        <w:sectPr>
          <w:pgSz w:w="11900" w:h="16838" w:orient="portrait"/>
          <w:cols w:equalWidth="0" w:num="1">
            <w:col w:w="10840"/>
          </w:cols>
          <w:pgMar w:left="820" w:top="116" w:right="23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SCHEDULE 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Arial" w:cs="Arial" w:eastAsia="Arial" w:hAnsi="Arial"/>
          <w:sz w:val="20"/>
          <w:szCs w:val="20"/>
          <w:b w:val="1"/>
          <w:bCs w:val="1"/>
          <w:u w:val="single" w:color="auto"/>
          <w:color w:val="auto"/>
        </w:rPr>
        <w:t>LETTER OF CREDIT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60" w:type="dxa"/>
            <w:vAlign w:val="bottom"/>
            <w:tcBorders>
              <w:top w:val="single" w:sz="8" w:color="auto"/>
              <w:left w:val="single" w:sz="8" w:color="auto"/>
            </w:tcBorders>
          </w:tcPr>
          <w:p>
            <w:pPr>
              <w:spacing w:after="0"/>
              <w:rPr>
                <w:sz w:val="19"/>
                <w:szCs w:val="19"/>
                <w:color w:val="auto"/>
              </w:rPr>
            </w:pPr>
          </w:p>
        </w:tc>
        <w:tc>
          <w:tcPr>
            <w:tcW w:w="3800" w:type="dxa"/>
            <w:vAlign w:val="bottom"/>
            <w:tcBorders>
              <w:top w:val="single" w:sz="8" w:color="auto"/>
              <w:right w:val="single" w:sz="8" w:color="auto"/>
            </w:tcBorders>
            <w:gridSpan w:val="4"/>
          </w:tcPr>
          <w:p>
            <w:pPr>
              <w:jc w:val="center"/>
              <w:ind w:right="1360"/>
              <w:spacing w:after="0"/>
              <w:rPr>
                <w:sz w:val="20"/>
                <w:szCs w:val="20"/>
                <w:color w:val="auto"/>
              </w:rPr>
            </w:pPr>
            <w:r>
              <w:rPr>
                <w:rFonts w:ascii="Arial" w:cs="Arial" w:eastAsia="Arial" w:hAnsi="Arial"/>
                <w:sz w:val="20"/>
                <w:szCs w:val="20"/>
                <w:b w:val="1"/>
                <w:bCs w:val="1"/>
                <w:color w:val="auto"/>
                <w:w w:val="89"/>
              </w:rPr>
              <w:t>Issuing Bank</w:t>
            </w:r>
          </w:p>
        </w:tc>
        <w:tc>
          <w:tcPr>
            <w:tcW w:w="51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1"/>
              </w:rPr>
              <w:t>Commitment</w:t>
            </w:r>
          </w:p>
        </w:tc>
      </w:tr>
      <w:tr>
        <w:trPr>
          <w:trHeight w:val="48"/>
        </w:trPr>
        <w:tc>
          <w:tcPr>
            <w:tcW w:w="136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10"/>
        </w:trPr>
        <w:tc>
          <w:tcPr>
            <w:tcW w:w="5160" w:type="dxa"/>
            <w:vAlign w:val="bottom"/>
            <w:tcBorders>
              <w:left w:val="single" w:sz="8" w:color="auto"/>
              <w:right w:val="single" w:sz="8" w:color="auto"/>
            </w:tcBorders>
            <w:gridSpan w:val="5"/>
          </w:tcPr>
          <w:p>
            <w:pPr>
              <w:jc w:val="center"/>
              <w:spacing w:after="0" w:line="209" w:lineRule="exact"/>
              <w:rPr>
                <w:sz w:val="20"/>
                <w:szCs w:val="20"/>
                <w:color w:val="auto"/>
              </w:rPr>
            </w:pPr>
            <w:r>
              <w:rPr>
                <w:rFonts w:ascii="Arial" w:cs="Arial" w:eastAsia="Arial" w:hAnsi="Arial"/>
                <w:sz w:val="20"/>
                <w:szCs w:val="20"/>
                <w:b w:val="1"/>
                <w:bCs w:val="1"/>
                <w:color w:val="auto"/>
                <w:w w:val="91"/>
              </w:rPr>
              <w:t>JPMorgan Chase Bank, N.A.</w:t>
            </w:r>
          </w:p>
        </w:tc>
        <w:tc>
          <w:tcPr>
            <w:tcW w:w="3100" w:type="dxa"/>
            <w:vAlign w:val="bottom"/>
            <w:gridSpan w:val="2"/>
          </w:tcPr>
          <w:p>
            <w:pPr>
              <w:jc w:val="center"/>
              <w:ind w:left="1901"/>
              <w:spacing w:after="0" w:line="209" w:lineRule="exact"/>
              <w:rPr>
                <w:sz w:val="20"/>
                <w:szCs w:val="20"/>
                <w:color w:val="auto"/>
              </w:rPr>
            </w:pPr>
            <w:r>
              <w:rPr>
                <w:rFonts w:ascii="Arial" w:cs="Arial" w:eastAsia="Arial" w:hAnsi="Arial"/>
                <w:sz w:val="20"/>
                <w:szCs w:val="20"/>
                <w:color w:val="auto"/>
                <w:w w:val="88"/>
              </w:rPr>
              <w:t>$15,000,000</w:t>
            </w:r>
          </w:p>
        </w:tc>
        <w:tc>
          <w:tcPr>
            <w:tcW w:w="2020" w:type="dxa"/>
            <w:vAlign w:val="bottom"/>
            <w:tcBorders>
              <w:right w:val="single" w:sz="8" w:color="auto"/>
            </w:tcBorders>
          </w:tcPr>
          <w:p>
            <w:pPr>
              <w:spacing w:after="0"/>
              <w:rPr>
                <w:sz w:val="18"/>
                <w:szCs w:val="18"/>
                <w:color w:val="auto"/>
              </w:rPr>
            </w:pPr>
          </w:p>
        </w:tc>
      </w:tr>
      <w:tr>
        <w:trPr>
          <w:trHeight w:val="48"/>
        </w:trPr>
        <w:tc>
          <w:tcPr>
            <w:tcW w:w="1360" w:type="dxa"/>
            <w:vAlign w:val="bottom"/>
            <w:tcBorders>
              <w:left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54"/>
        </w:trPr>
        <w:tc>
          <w:tcPr>
            <w:tcW w:w="1360" w:type="dxa"/>
            <w:vAlign w:val="bottom"/>
            <w:tcBorders>
              <w:left w:val="single" w:sz="8" w:color="auto"/>
            </w:tcBorders>
          </w:tcPr>
          <w:p>
            <w:pPr>
              <w:spacing w:after="0"/>
              <w:rPr>
                <w:sz w:val="22"/>
                <w:szCs w:val="22"/>
                <w:color w:val="auto"/>
              </w:rPr>
            </w:pPr>
          </w:p>
        </w:tc>
        <w:tc>
          <w:tcPr>
            <w:tcW w:w="3800" w:type="dxa"/>
            <w:vAlign w:val="bottom"/>
            <w:tcBorders>
              <w:right w:val="single" w:sz="8" w:color="auto"/>
            </w:tcBorders>
            <w:gridSpan w:val="4"/>
          </w:tcPr>
          <w:p>
            <w:pPr>
              <w:jc w:val="center"/>
              <w:ind w:right="1360"/>
              <w:spacing w:after="0"/>
              <w:rPr>
                <w:sz w:val="20"/>
                <w:szCs w:val="20"/>
                <w:color w:val="auto"/>
              </w:rPr>
            </w:pPr>
            <w:r>
              <w:rPr>
                <w:rFonts w:ascii="Arial" w:cs="Arial" w:eastAsia="Arial" w:hAnsi="Arial"/>
                <w:sz w:val="20"/>
                <w:szCs w:val="20"/>
                <w:color w:val="auto"/>
                <w:w w:val="93"/>
              </w:rPr>
              <w:t>CoBank, ACB</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color w:val="auto"/>
                <w:w w:val="88"/>
              </w:rPr>
              <w:t>$45,000,000</w:t>
            </w:r>
          </w:p>
        </w:tc>
        <w:tc>
          <w:tcPr>
            <w:tcW w:w="2020" w:type="dxa"/>
            <w:vAlign w:val="bottom"/>
            <w:tcBorders>
              <w:right w:val="single" w:sz="8" w:color="auto"/>
            </w:tcBorders>
          </w:tcPr>
          <w:p>
            <w:pPr>
              <w:spacing w:after="0"/>
              <w:rPr>
                <w:sz w:val="22"/>
                <w:szCs w:val="22"/>
                <w:color w:val="auto"/>
              </w:rPr>
            </w:pPr>
          </w:p>
        </w:tc>
      </w:tr>
      <w:tr>
        <w:trPr>
          <w:trHeight w:val="23"/>
        </w:trPr>
        <w:tc>
          <w:tcPr>
            <w:tcW w:w="13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54"/>
        </w:trPr>
        <w:tc>
          <w:tcPr>
            <w:tcW w:w="1360" w:type="dxa"/>
            <w:vAlign w:val="bottom"/>
            <w:tcBorders>
              <w:lef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3140" w:type="dxa"/>
            <w:vAlign w:val="bottom"/>
            <w:tcBorders>
              <w:right w:val="single" w:sz="8" w:color="auto"/>
            </w:tcBorders>
            <w:gridSpan w:val="3"/>
          </w:tcPr>
          <w:p>
            <w:pPr>
              <w:jc w:val="center"/>
              <w:ind w:right="2020"/>
              <w:spacing w:after="0"/>
              <w:rPr>
                <w:sz w:val="20"/>
                <w:szCs w:val="20"/>
                <w:color w:val="auto"/>
              </w:rPr>
            </w:pPr>
            <w:r>
              <w:rPr>
                <w:rFonts w:ascii="Arial" w:cs="Arial" w:eastAsia="Arial" w:hAnsi="Arial"/>
                <w:sz w:val="20"/>
                <w:szCs w:val="20"/>
                <w:b w:val="1"/>
                <w:bCs w:val="1"/>
                <w:color w:val="auto"/>
                <w:w w:val="91"/>
              </w:rPr>
              <w:t>Total</w:t>
            </w:r>
          </w:p>
        </w:tc>
        <w:tc>
          <w:tcPr>
            <w:tcW w:w="3100" w:type="dxa"/>
            <w:vAlign w:val="bottom"/>
            <w:gridSpan w:val="2"/>
          </w:tcPr>
          <w:p>
            <w:pPr>
              <w:jc w:val="center"/>
              <w:ind w:left="1901"/>
              <w:spacing w:after="0"/>
              <w:rPr>
                <w:sz w:val="20"/>
                <w:szCs w:val="20"/>
                <w:color w:val="auto"/>
              </w:rPr>
            </w:pPr>
            <w:r>
              <w:rPr>
                <w:rFonts w:ascii="Arial" w:cs="Arial" w:eastAsia="Arial" w:hAnsi="Arial"/>
                <w:sz w:val="20"/>
                <w:szCs w:val="20"/>
                <w:b w:val="1"/>
                <w:bCs w:val="1"/>
                <w:color w:val="auto"/>
                <w:w w:val="88"/>
              </w:rPr>
              <w:t>$60,000,000</w:t>
            </w:r>
          </w:p>
        </w:tc>
        <w:tc>
          <w:tcPr>
            <w:tcW w:w="2020" w:type="dxa"/>
            <w:vAlign w:val="bottom"/>
            <w:tcBorders>
              <w:right w:val="single" w:sz="8" w:color="auto"/>
            </w:tcBorders>
          </w:tcPr>
          <w:p>
            <w:pPr>
              <w:spacing w:after="0"/>
              <w:rPr>
                <w:sz w:val="22"/>
                <w:szCs w:val="22"/>
                <w:color w:val="auto"/>
              </w:rPr>
            </w:pPr>
          </w:p>
        </w:tc>
      </w:tr>
      <w:tr>
        <w:trPr>
          <w:trHeight w:val="23"/>
        </w:trPr>
        <w:tc>
          <w:tcPr>
            <w:tcW w:w="13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Schedule 2.1</w:t>
      </w:r>
    </w:p>
    <w:p>
      <w:pPr>
        <w:sectPr>
          <w:pgSz w:w="11900" w:h="16838" w:orient="portrait"/>
          <w:cols w:equalWidth="0" w:num="1">
            <w:col w:w="10840"/>
          </w:cols>
          <w:pgMar w:left="820" w:top="118"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SCHEDULE 2.9</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0"/>
          <w:szCs w:val="20"/>
          <w:b w:val="1"/>
          <w:bCs w:val="1"/>
          <w:u w:val="single" w:color="auto"/>
          <w:color w:val="auto"/>
        </w:rPr>
        <w:t>EXISTING LETTERS OF CREDIT</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00" w:type="dxa"/>
            <w:vAlign w:val="bottom"/>
            <w:tcBorders>
              <w:top w:val="single" w:sz="8" w:color="auto"/>
              <w:left w:val="single" w:sz="8" w:color="auto"/>
            </w:tcBorders>
          </w:tcPr>
          <w:p>
            <w:pPr>
              <w:spacing w:after="0"/>
              <w:rPr>
                <w:sz w:val="19"/>
                <w:szCs w:val="19"/>
                <w:color w:val="auto"/>
              </w:rPr>
            </w:pPr>
          </w:p>
        </w:tc>
        <w:tc>
          <w:tcPr>
            <w:tcW w:w="1540" w:type="dxa"/>
            <w:vAlign w:val="bottom"/>
            <w:tcBorders>
              <w:top w:val="single" w:sz="8" w:color="auto"/>
              <w:right w:val="single" w:sz="8" w:color="auto"/>
            </w:tcBorders>
            <w:gridSpan w:val="2"/>
          </w:tcPr>
          <w:p>
            <w:pPr>
              <w:jc w:val="center"/>
              <w:ind w:right="500"/>
              <w:spacing w:after="0"/>
              <w:rPr>
                <w:sz w:val="20"/>
                <w:szCs w:val="20"/>
                <w:color w:val="auto"/>
              </w:rPr>
            </w:pPr>
            <w:r>
              <w:rPr>
                <w:rFonts w:ascii="Arial" w:cs="Arial" w:eastAsia="Arial" w:hAnsi="Arial"/>
                <w:sz w:val="20"/>
                <w:szCs w:val="20"/>
                <w:b w:val="1"/>
                <w:bCs w:val="1"/>
                <w:color w:val="auto"/>
                <w:w w:val="96"/>
              </w:rPr>
              <w:t>LC Number</w:t>
            </w:r>
          </w:p>
        </w:tc>
        <w:tc>
          <w:tcPr>
            <w:tcW w:w="21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87"/>
              </w:rPr>
              <w:t>Issue Date</w:t>
            </w:r>
          </w:p>
        </w:tc>
        <w:tc>
          <w:tcPr>
            <w:tcW w:w="54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20"/>
                <w:szCs w:val="20"/>
                <w:b w:val="1"/>
                <w:bCs w:val="1"/>
                <w:color w:val="auto"/>
                <w:w w:val="92"/>
              </w:rPr>
              <w:t>Expiry Date</w:t>
            </w:r>
          </w:p>
        </w:tc>
        <w:tc>
          <w:tcPr>
            <w:tcW w:w="620" w:type="dxa"/>
            <w:vAlign w:val="bottom"/>
            <w:tcBorders>
              <w:top w:val="single" w:sz="8" w:color="auto"/>
            </w:tcBorders>
          </w:tcPr>
          <w:p>
            <w:pPr>
              <w:spacing w:after="0"/>
              <w:rPr>
                <w:sz w:val="19"/>
                <w:szCs w:val="19"/>
                <w:color w:val="auto"/>
              </w:rPr>
            </w:pPr>
          </w:p>
        </w:tc>
        <w:tc>
          <w:tcPr>
            <w:tcW w:w="1600" w:type="dxa"/>
            <w:vAlign w:val="bottom"/>
            <w:tcBorders>
              <w:top w:val="single" w:sz="8" w:color="auto"/>
              <w:right w:val="single" w:sz="8" w:color="auto"/>
            </w:tcBorders>
            <w:gridSpan w:val="2"/>
          </w:tcPr>
          <w:p>
            <w:pPr>
              <w:jc w:val="center"/>
              <w:ind w:right="640"/>
              <w:spacing w:after="0"/>
              <w:rPr>
                <w:sz w:val="20"/>
                <w:szCs w:val="20"/>
                <w:color w:val="auto"/>
              </w:rPr>
            </w:pPr>
            <w:r>
              <w:rPr>
                <w:rFonts w:ascii="Arial" w:cs="Arial" w:eastAsia="Arial" w:hAnsi="Arial"/>
                <w:sz w:val="20"/>
                <w:szCs w:val="20"/>
                <w:b w:val="1"/>
                <w:bCs w:val="1"/>
                <w:color w:val="auto"/>
                <w:w w:val="88"/>
              </w:rPr>
              <w:t>Beneficiary</w:t>
            </w:r>
          </w:p>
        </w:tc>
        <w:tc>
          <w:tcPr>
            <w:tcW w:w="68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Amount</w:t>
            </w: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r>
      <w:tr>
        <w:trPr>
          <w:trHeight w:val="25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NUSCGS017948</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08/29/18</w:t>
            </w:r>
          </w:p>
        </w:tc>
        <w:tc>
          <w:tcPr>
            <w:tcW w:w="640" w:type="dxa"/>
            <w:vAlign w:val="bottom"/>
            <w:tcBorders>
              <w:right w:val="single" w:sz="8" w:color="auto"/>
            </w:tcBorders>
          </w:tcPr>
          <w:p>
            <w:pPr>
              <w:spacing w:after="0"/>
              <w:rPr>
                <w:sz w:val="22"/>
                <w:szCs w:val="22"/>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08/06/19</w:t>
            </w:r>
          </w:p>
        </w:tc>
        <w:tc>
          <w:tcPr>
            <w:tcW w:w="5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Northwestern Corporation</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$4,806,370.00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NUSCGS002178</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12/11/17</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06/01/19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$572,623.50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CPCS-896422</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09/15/15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09/10/19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$1,711,097.00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3"/>
              </w:rPr>
              <w:t>TIC - The Industrial</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CPCS-896429</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08/26/15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03/31/19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20"/>
                <w:szCs w:val="20"/>
                <w:color w:val="auto"/>
                <w:w w:val="91"/>
              </w:rPr>
              <w:t>Company</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$749,241.00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CPCS-838047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08/11/15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07/29/19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$104,951.90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Gemma Power Systems,</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CPCS-768035</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04/17/15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08/15/19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20"/>
                <w:szCs w:val="20"/>
                <w:color w:val="auto"/>
              </w:rPr>
              <w:t>LLC</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$334,700.00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4"/>
              </w:rPr>
              <w:t>Mid-Continent</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CPCS-890848</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06/15/17</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06/15/19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Independent System</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$400,000.00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5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CPCS-392599</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01/24/13</w:t>
            </w:r>
          </w:p>
        </w:tc>
        <w:tc>
          <w:tcPr>
            <w:tcW w:w="640" w:type="dxa"/>
            <w:vAlign w:val="bottom"/>
            <w:tcBorders>
              <w:right w:val="single" w:sz="8" w:color="auto"/>
            </w:tcBorders>
          </w:tcPr>
          <w:p>
            <w:pPr>
              <w:spacing w:after="0"/>
              <w:rPr>
                <w:sz w:val="22"/>
                <w:szCs w:val="22"/>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12/31/19</w:t>
            </w:r>
          </w:p>
        </w:tc>
        <w:tc>
          <w:tcPr>
            <w:tcW w:w="5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State of Minnesota</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$3,413,384.00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CPCS-838037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08/11/15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07/29/19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$233,643.60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CPCS-876683</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06/22/17</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04/07/19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$116,822.00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Gemma Power Systems,</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CPCS-768036</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04/17/15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09/30/19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20"/>
                <w:szCs w:val="20"/>
                <w:color w:val="auto"/>
              </w:rPr>
              <w:t>LLC</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$332,206.56</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NUSCGS002177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12/11/17</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08/01/19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$164,104.80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Midwest Independent</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CPCS-344357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01/03/13</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12/31/19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Transmission</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$1,500,000.00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5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NUSCGS006217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03/21/18</w:t>
            </w:r>
          </w:p>
        </w:tc>
        <w:tc>
          <w:tcPr>
            <w:tcW w:w="640" w:type="dxa"/>
            <w:vAlign w:val="bottom"/>
            <w:tcBorders>
              <w:right w:val="single" w:sz="8" w:color="auto"/>
            </w:tcBorders>
          </w:tcPr>
          <w:p>
            <w:pPr>
              <w:spacing w:after="0"/>
              <w:rPr>
                <w:sz w:val="22"/>
                <w:szCs w:val="22"/>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03/19/20</w:t>
            </w:r>
          </w:p>
        </w:tc>
        <w:tc>
          <w:tcPr>
            <w:tcW w:w="5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Northwestern Corporation</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$800,000.00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NUSCGS007703</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07/02/18</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06/18/19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$71,240.50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NUSCGS017437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07/02/18</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06/25/19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$130,684.40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NUSCGS018011</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08/22/18</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07/31/19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$641,346.00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5"/>
              </w:rPr>
              <w:t>Kiewit Power</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CPCS-984746</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05/18/16</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03/16/19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Constructors Co.</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$261,368.80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Kiewit Energy Canada</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CPCS-838044</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08/13/15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07/29/19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20"/>
                <w:szCs w:val="20"/>
                <w:color w:val="auto"/>
                <w:w w:val="89"/>
              </w:rPr>
              <w:t>Corp.</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$231,016.67</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4"/>
              </w:rPr>
              <w:t>Mid-Continent</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CPCS-890847</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06/15/17</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06/15/19</w:t>
            </w:r>
          </w:p>
        </w:tc>
        <w:tc>
          <w:tcPr>
            <w:tcW w:w="5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Independent System</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$400,000.00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Kiewit Energy Canada</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CPCS-896401</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09/02/15</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11/15/19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20"/>
                <w:szCs w:val="20"/>
                <w:color w:val="auto"/>
                <w:w w:val="89"/>
              </w:rPr>
              <w:t>Corp.</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$325,025.00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3"/>
        </w:trPr>
        <w:tc>
          <w:tcPr>
            <w:tcW w:w="50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2"/>
              </w:rPr>
              <w:t>Kiewa-GIA Constructora</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25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NUSCGS025173</w:t>
            </w:r>
          </w:p>
        </w:tc>
        <w:tc>
          <w:tcPr>
            <w:tcW w:w="148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12/19/18</w:t>
            </w:r>
          </w:p>
        </w:tc>
        <w:tc>
          <w:tcPr>
            <w:tcW w:w="640" w:type="dxa"/>
            <w:vAlign w:val="bottom"/>
            <w:tcBorders>
              <w:right w:val="single" w:sz="8" w:color="auto"/>
            </w:tcBorders>
          </w:tcPr>
          <w:p>
            <w:pPr>
              <w:spacing w:after="0"/>
              <w:rPr>
                <w:sz w:val="21"/>
                <w:szCs w:val="21"/>
                <w:color w:val="auto"/>
              </w:rPr>
            </w:pPr>
          </w:p>
        </w:tc>
        <w:tc>
          <w:tcPr>
            <w:tcW w:w="1560" w:type="dxa"/>
            <w:vAlign w:val="bottom"/>
            <w:gridSpan w:val="2"/>
          </w:tcPr>
          <w:p>
            <w:pPr>
              <w:jc w:val="center"/>
              <w:ind w:left="441"/>
              <w:spacing w:after="0"/>
              <w:rPr>
                <w:sz w:val="20"/>
                <w:szCs w:val="20"/>
                <w:color w:val="auto"/>
              </w:rPr>
            </w:pPr>
            <w:r>
              <w:rPr>
                <w:rFonts w:ascii="Arial" w:cs="Arial" w:eastAsia="Arial" w:hAnsi="Arial"/>
                <w:sz w:val="20"/>
                <w:szCs w:val="20"/>
                <w:color w:val="auto"/>
                <w:w w:val="89"/>
              </w:rPr>
              <w:t>07/31/19</w:t>
            </w:r>
          </w:p>
        </w:tc>
        <w:tc>
          <w:tcPr>
            <w:tcW w:w="5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60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20"/>
                <w:szCs w:val="20"/>
                <w:color w:val="auto"/>
                <w:w w:val="89"/>
              </w:rPr>
              <w:t>S. de R.L.</w:t>
            </w:r>
          </w:p>
        </w:tc>
        <w:tc>
          <w:tcPr>
            <w:tcW w:w="2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8"/>
              </w:rPr>
              <w:t>$490,972.00</w:t>
            </w:r>
          </w:p>
        </w:tc>
      </w:tr>
      <w:tr>
        <w:trPr>
          <w:trHeight w:val="23"/>
        </w:trPr>
        <w:tc>
          <w:tcPr>
            <w:tcW w:w="500" w:type="dxa"/>
            <w:vAlign w:val="bottom"/>
            <w:tcBorders>
              <w:left w:val="single" w:sz="8" w:color="auto"/>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00"/>
          </w:cols>
          <w:pgMar w:left="660" w:top="116" w:right="239" w:bottom="1440" w:gutter="0" w:footer="0" w:header="0"/>
        </w:sectPr>
      </w:pPr>
    </w:p>
    <w:p>
      <w:pPr>
        <w:spacing w:after="0" w:line="24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Schedule 2.9</w:t>
      </w:r>
    </w:p>
    <w:p>
      <w:pPr>
        <w:sectPr>
          <w:pgSz w:w="11900" w:h="16838" w:orient="portrait"/>
          <w:cols w:equalWidth="0" w:num="1">
            <w:col w:w="11000"/>
          </w:cols>
          <w:pgMar w:left="660" w:top="116" w:right="23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SCHEDULE 4.5/4.6</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u w:val="single" w:color="auto"/>
          <w:color w:val="auto"/>
        </w:rPr>
        <w:t>DISCLOSED MATTERS</w:t>
      </w:r>
    </w:p>
    <w:p>
      <w:pPr>
        <w:spacing w:after="0" w:line="24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6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Schedule 4.5/4.6</w:t>
      </w:r>
    </w:p>
    <w:p>
      <w:pPr>
        <w:sectPr>
          <w:pgSz w:w="11900" w:h="16838" w:orient="portrait"/>
          <w:cols w:equalWidth="0" w:num="1">
            <w:col w:w="10220"/>
          </w:cols>
          <w:pgMar w:left="1440" w:top="116"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4.10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80"/>
        <w:spacing w:after="0"/>
        <w:rPr>
          <w:sz w:val="20"/>
          <w:szCs w:val="20"/>
          <w:color w:val="auto"/>
        </w:rPr>
      </w:pPr>
      <w:r>
        <w:rPr>
          <w:rFonts w:ascii="Arial" w:cs="Arial" w:eastAsia="Arial" w:hAnsi="Arial"/>
          <w:sz w:val="20"/>
          <w:szCs w:val="20"/>
          <w:b w:val="1"/>
          <w:bCs w:val="1"/>
          <w:u w:val="single" w:color="auto"/>
          <w:color w:val="auto"/>
        </w:rPr>
        <w:t>LIST OF SUBSIDIARIES</w:t>
      </w:r>
      <w:r>
        <w:rPr>
          <w:rFonts w:ascii="Arial" w:cs="Arial" w:eastAsia="Arial" w:hAnsi="Arial"/>
          <w:sz w:val="20"/>
          <w:szCs w:val="20"/>
          <w:b w:val="1"/>
          <w:bCs w:val="1"/>
          <w:color w:val="auto"/>
        </w:rPr>
        <w:t>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ALLETE Automotive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ALLETE Enterprises,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Clean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O&amp;M,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Wind LLC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ACE Mid-West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MWW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Lake Benton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Lake Benton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Lake Benton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Power Partners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II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Storm Lake II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Storm Lake Power Partners II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Salem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Glen Ullin Energy Center,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Northern Wind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Chanarambie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Viking Wind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Viking Wind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Buffalo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Moulton Heights Wind Power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Muncie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North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Vandy South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Viking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Vindy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Wilson-West Wind Farm,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ACE West Holdings,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Condon Wind Power,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Peak Wind,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Armenia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AMW I Holding,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Armenia Mountain Wind,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Armenia Mountain Wind II,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Thunder Spirit Wind,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Power Systems,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Renewable Resources,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South Wind,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Transmission Holdings,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BNI Energy,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BNI Coal, Ltd.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Global Water Services Holding Company, Inc.</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Water Services, Inc.</w:t>
      </w:r>
    </w:p>
    <w:p>
      <w:pPr>
        <w:spacing w:after="0" w:line="200" w:lineRule="exact"/>
        <w:rPr>
          <w:sz w:val="20"/>
          <w:szCs w:val="20"/>
          <w:color w:val="auto"/>
        </w:rPr>
      </w:pPr>
    </w:p>
    <w:p>
      <w:pPr>
        <w:spacing w:after="0" w:line="24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b w:val="1"/>
          <w:bCs w:val="1"/>
          <w:i w:val="1"/>
          <w:iCs w:val="1"/>
          <w:color w:val="auto"/>
        </w:rPr>
        <w:t>1 Unless otherwise specified, the Equity Interests in each Subsidiary are owned 100% by the Subsidiary identified above it, with first-tier Subsidiaries’ Equity Interests owned 100% by ALLETE, Inc.</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4.10</w:t>
      </w:r>
    </w:p>
    <w:p>
      <w:pPr>
        <w:sectPr>
          <w:pgSz w:w="11900" w:h="16838" w:orient="portrait"/>
          <w:cols w:equalWidth="0" w:num="1">
            <w:col w:w="11420"/>
          </w:cols>
          <w:pgMar w:left="240" w:top="118" w:right="23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 Water Services - Canada,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USWATERSERV-DR, SRL.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MP Affiliate Resources,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Rainy River Energy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Shore Energy,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Upper Minnesota Properties,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Upper Minnesota Properties -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ALLETE Commercial,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Lehigh Acquisition,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Landmark Communities,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Lehigh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Mardem,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Palm Coast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 Orange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Interlachen Lakes Estates,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Coast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Water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Water Services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Energy Replacement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Land,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4.10</w:t>
      </w:r>
    </w:p>
    <w:p>
      <w:pPr>
        <w:sectPr>
          <w:pgSz w:w="11900" w:h="16838" w:orient="portrait"/>
          <w:cols w:equalWidth="0" w:num="1">
            <w:col w:w="11420"/>
          </w:cols>
          <w:pgMar w:left="240" w:top="116"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ASSIGNMENT AND ASSUMPTION</w:t>
      </w:r>
    </w:p>
    <w:p>
      <w:pPr>
        <w:spacing w:after="0" w:line="22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[each]</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Assignor identified in item 1 below ([the][each,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[the][each]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Assignee identified in item 2 below ([the][each,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Assignors][the Assignees]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hereunder are several and not joint.]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Capitalized terms used but not defined herein shall have the meanings given to them in the Credit Agreement identified below (as amended, modified or otherwise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the Assignor’s outstanding rights and obligations under the Credit Agreement (including without limitation any letters of credit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other than claims for indemnification or reimbursement with respect to any period prior to the Effective Date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185"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Assignor:  __________</w:t>
      </w:r>
    </w:p>
    <w:p>
      <w:pPr>
        <w:spacing w:after="0" w:line="216" w:lineRule="exact"/>
        <w:rPr>
          <w:sz w:val="20"/>
          <w:szCs w:val="20"/>
          <w:color w:val="auto"/>
        </w:rPr>
      </w:pPr>
    </w:p>
    <w:p>
      <w:pPr>
        <w:spacing w:after="0"/>
        <w:tabs>
          <w:tab w:leader="none" w:pos="640" w:val="left"/>
          <w:tab w:leader="none" w:pos="200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color w:val="auto"/>
        </w:rPr>
        <w:t>Assignee:</w:t>
      </w:r>
      <w:r>
        <w:rPr>
          <w:sz w:val="20"/>
          <w:szCs w:val="20"/>
          <w:color w:val="auto"/>
        </w:rPr>
        <w:tab/>
      </w:r>
      <w:r>
        <w:rPr>
          <w:rFonts w:ascii="Arial" w:cs="Arial" w:eastAsia="Arial" w:hAnsi="Arial"/>
          <w:sz w:val="18"/>
          <w:szCs w:val="18"/>
          <w:color w:val="auto"/>
        </w:rPr>
        <w:t>[and is an Affiliate of Assignor]</w:t>
      </w:r>
    </w:p>
    <w:p>
      <w:pPr>
        <w:spacing w:after="0" w:line="216"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Borrower:  ALLETE, Inc.</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Administrative Agent: JPMorgan Chase Bank, N.A.</w:t>
      </w:r>
    </w:p>
    <w:p>
      <w:pPr>
        <w:spacing w:after="0" w:line="215" w:lineRule="exact"/>
        <w:rPr>
          <w:rFonts w:ascii="Arial" w:cs="Arial" w:eastAsia="Arial" w:hAnsi="Arial"/>
          <w:sz w:val="20"/>
          <w:szCs w:val="20"/>
          <w:color w:val="auto"/>
        </w:rPr>
      </w:pPr>
    </w:p>
    <w:p>
      <w:pPr>
        <w:ind w:left="660" w:right="440" w:hanging="652"/>
        <w:spacing w:after="0" w:line="260" w:lineRule="auto"/>
        <w:tabs>
          <w:tab w:leader="none" w:pos="6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Credit Agreement: Amended and Restated Credit Agreement dated as of January 10, 2019 among the Borrower, the Lenders party thereto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1 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i w:val="1"/>
          <w:iCs w:val="1"/>
          <w:color w:val="auto"/>
        </w:rPr>
        <w:t>2 For bracketed language here and elsewhere in this form relating to the Assignee(s), if the assignment is to a single Assignee, choose the first bracketed language. If the assignment is to multiple Assignees, choose the second bracketed language.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Select as appropriate.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 Include bracketed language if there are either multiple Assignors or multiple Assignees.</w:t>
      </w:r>
    </w:p>
    <w:p>
      <w:pPr>
        <w:spacing w:after="0" w:line="200" w:lineRule="exact"/>
        <w:rPr>
          <w:sz w:val="20"/>
          <w:szCs w:val="20"/>
          <w:color w:val="auto"/>
        </w:rPr>
      </w:pP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Assigned Interest: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116" w:right="239" w:bottom="1440" w:gutter="0" w:footer="0" w:header="0"/>
        </w:sectPr>
      </w:pPr>
    </w:p>
    <w:bookmarkStart w:id="219" w:name="page220"/>
    <w:bookmarkEnd w:id="219"/>
    <w:tbl>
      <w:tblPr>
        <w:tblLayout w:type="fixed"/>
        <w:tblInd w:w="38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800" w:type="dxa"/>
            <w:vAlign w:val="bottom"/>
            <w:gridSpan w:val="2"/>
          </w:tcPr>
          <w:p>
            <w:pPr>
              <w:ind w:left="1580"/>
              <w:spacing w:after="0"/>
              <w:rPr>
                <w:sz w:val="20"/>
                <w:szCs w:val="20"/>
                <w:color w:val="auto"/>
              </w:rPr>
            </w:pPr>
            <w:r>
              <w:rPr>
                <w:rFonts w:ascii="Arial" w:cs="Arial" w:eastAsia="Arial" w:hAnsi="Arial"/>
                <w:sz w:val="20"/>
                <w:szCs w:val="20"/>
                <w:b w:val="1"/>
                <w:bCs w:val="1"/>
                <w:color w:val="auto"/>
                <w:w w:val="91"/>
              </w:rPr>
              <w:t>Exhibit 10(b)2</w:t>
            </w:r>
          </w:p>
        </w:tc>
        <w:tc>
          <w:tcPr>
            <w:tcW w:w="0" w:type="dxa"/>
            <w:vAlign w:val="bottom"/>
          </w:tcPr>
          <w:p>
            <w:pPr>
              <w:spacing w:after="0"/>
              <w:rPr>
                <w:sz w:val="1"/>
                <w:szCs w:val="1"/>
                <w:color w:val="auto"/>
              </w:rPr>
            </w:pPr>
          </w:p>
        </w:tc>
      </w:tr>
      <w:tr>
        <w:trPr>
          <w:trHeight w:val="630"/>
        </w:trPr>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Facility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Amount of</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Amount of Commitment/</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Percentage Assigned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Commitment/</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Loans</w:t>
            </w:r>
          </w:p>
        </w:tc>
        <w:tc>
          <w:tcPr>
            <w:tcW w:w="2440" w:type="dxa"/>
            <w:vAlign w:val="bottom"/>
            <w:tcBorders>
              <w:right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shd w:val="clear" w:color="auto" w:fill="000000"/>
          </w:tcPr>
          <w:p>
            <w:pPr>
              <w:spacing w:after="0"/>
              <w:rPr>
                <w:sz w:val="8"/>
                <w:szCs w:val="8"/>
                <w:color w:val="auto"/>
              </w:rPr>
            </w:pPr>
          </w:p>
        </w:tc>
        <w:tc>
          <w:tcPr>
            <w:tcW w:w="1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Assignor[s]</w:t>
            </w:r>
            <w:r>
              <w:rPr>
                <w:rFonts w:ascii="Arial" w:cs="Arial" w:eastAsia="Arial" w:hAnsi="Arial"/>
                <w:sz w:val="25"/>
                <w:szCs w:val="25"/>
                <w:color w:val="auto"/>
                <w:vertAlign w:val="superscript"/>
              </w:rPr>
              <w:t>5</w:t>
            </w:r>
          </w:p>
        </w:tc>
        <w:tc>
          <w:tcPr>
            <w:tcW w:w="16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Assignee[s]</w:t>
            </w:r>
            <w:r>
              <w:rPr>
                <w:rFonts w:ascii="Arial" w:cs="Arial" w:eastAsia="Arial" w:hAnsi="Arial"/>
                <w:sz w:val="25"/>
                <w:szCs w:val="25"/>
                <w:color w:val="auto"/>
                <w:vertAlign w:val="superscript"/>
              </w:rPr>
              <w:t>6</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Assigned</w:t>
            </w:r>
          </w:p>
        </w:tc>
        <w:tc>
          <w:tcPr>
            <w:tcW w:w="190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vMerge w:val="continue"/>
          </w:tcPr>
          <w:p>
            <w:pPr>
              <w:spacing w:after="0"/>
              <w:rPr>
                <w:sz w:val="8"/>
                <w:szCs w:val="8"/>
                <w:color w:val="auto"/>
              </w:rPr>
            </w:pP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Commitment/Loans</w:t>
            </w:r>
            <w:r>
              <w:rPr>
                <w:rFonts w:ascii="Arial" w:cs="Arial" w:eastAsia="Arial" w:hAnsi="Arial"/>
                <w:sz w:val="25"/>
                <w:szCs w:val="25"/>
                <w:color w:val="auto"/>
                <w:w w:val="91"/>
                <w:vertAlign w:val="superscript"/>
              </w:rPr>
              <w:t>8</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1280" w:type="dxa"/>
            <w:vAlign w:val="bottom"/>
            <w:tcBorders>
              <w:bottom w:val="single" w:sz="8" w:color="auto"/>
              <w:right w:val="single" w:sz="8" w:color="auto"/>
            </w:tcBorders>
            <w:vMerge w:val="continue"/>
          </w:tcPr>
          <w:p>
            <w:pPr>
              <w:spacing w:after="0"/>
              <w:rPr>
                <w:sz w:val="22"/>
                <w:szCs w:val="22"/>
                <w:color w:val="auto"/>
              </w:rPr>
            </w:pPr>
          </w:p>
        </w:tc>
        <w:tc>
          <w:tcPr>
            <w:tcW w:w="1600" w:type="dxa"/>
            <w:vAlign w:val="bottom"/>
            <w:tcBorders>
              <w:bottom w:val="single" w:sz="8" w:color="auto"/>
              <w:right w:val="single" w:sz="8" w:color="auto"/>
            </w:tcBorders>
            <w:vMerge w:val="continue"/>
          </w:tcPr>
          <w:p>
            <w:pPr>
              <w:spacing w:after="0"/>
              <w:rPr>
                <w:sz w:val="22"/>
                <w:szCs w:val="22"/>
                <w:color w:val="auto"/>
              </w:rPr>
            </w:pP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190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90"/>
              </w:rPr>
              <w:t>Loans for all Lenders</w:t>
            </w:r>
            <w:r>
              <w:rPr>
                <w:rFonts w:ascii="Arial" w:cs="Arial" w:eastAsia="Arial" w:hAnsi="Arial"/>
                <w:sz w:val="25"/>
                <w:szCs w:val="25"/>
                <w:color w:val="auto"/>
                <w:w w:val="90"/>
                <w:vertAlign w:val="superscript"/>
              </w:rPr>
              <w:t>7</w:t>
            </w:r>
          </w:p>
        </w:tc>
        <w:tc>
          <w:tcPr>
            <w:tcW w:w="212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Assigned</w:t>
            </w:r>
            <w:r>
              <w:rPr>
                <w:rFonts w:ascii="Arial" w:cs="Arial" w:eastAsia="Arial" w:hAnsi="Arial"/>
                <w:sz w:val="25"/>
                <w:szCs w:val="25"/>
                <w:color w:val="auto"/>
                <w:w w:val="86"/>
                <w:vertAlign w:val="superscript"/>
              </w:rPr>
              <w:t>8</w:t>
            </w:r>
          </w:p>
        </w:tc>
        <w:tc>
          <w:tcPr>
            <w:tcW w:w="2440" w:type="dxa"/>
            <w:vAlign w:val="bottom"/>
            <w:tcBorders>
              <w:bottom w:val="single" w:sz="8" w:color="auto"/>
              <w:right w:val="single" w:sz="8" w:color="auto"/>
            </w:tcBorders>
            <w:vMerge w:val="continue"/>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Revolving</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$[________]</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[____]%</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Trade Date: ______________ 20__.</w:t>
      </w:r>
      <w:r>
        <w:rPr>
          <w:rFonts w:ascii="Arial" w:cs="Arial" w:eastAsia="Arial" w:hAnsi="Arial"/>
          <w:sz w:val="25"/>
          <w:szCs w:val="25"/>
          <w:color w:val="auto"/>
          <w:vertAlign w:val="superscript"/>
        </w:rPr>
        <w:t>9</w:t>
      </w:r>
    </w:p>
    <w:p>
      <w:pPr>
        <w:ind w:left="1300"/>
        <w:spacing w:after="0"/>
        <w:rPr>
          <w:sz w:val="20"/>
          <w:szCs w:val="20"/>
          <w:color w:val="auto"/>
        </w:rPr>
      </w:pPr>
      <w:r>
        <w:rPr>
          <w:rFonts w:ascii="Arial" w:cs="Arial" w:eastAsia="Arial" w:hAnsi="Arial"/>
          <w:sz w:val="19"/>
          <w:szCs w:val="19"/>
          <w:color w:val="auto"/>
        </w:rPr>
        <w:t>Effective Date: ____________________, 20__ [TO BE INSERTED BY THE ADMINISTRATIVE AGENT AND WHICH</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SHALL BE THE EFFECTIVE DATE OF RECORDATION OF TRANSFER BY THE ADMINISTRATIVE AGENT.</w:t>
      </w:r>
      <w:r>
        <w:rPr>
          <w:rFonts w:ascii="Arial" w:cs="Arial" w:eastAsia="Arial" w:hAnsi="Arial"/>
          <w:sz w:val="25"/>
          <w:szCs w:val="25"/>
          <w:color w:val="auto"/>
        </w:rPr>
        <w:t>]</w:t>
      </w:r>
    </w:p>
    <w:p>
      <w:pPr>
        <w:spacing w:after="0" w:line="239" w:lineRule="exact"/>
        <w:rPr>
          <w:sz w:val="20"/>
          <w:szCs w:val="20"/>
          <w:color w:val="auto"/>
        </w:rPr>
      </w:pPr>
    </w:p>
    <w:p>
      <w:pPr>
        <w:jc w:val="center"/>
        <w:ind w:right="402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ASSIGNOR</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5"/>
          <w:szCs w:val="25"/>
          <w:color w:val="auto"/>
        </w:rPr>
        <w:t>[</w:t>
      </w:r>
      <w:r>
        <w:rPr>
          <w:rFonts w:ascii="Arial" w:cs="Arial" w:eastAsia="Arial" w:hAnsi="Arial"/>
          <w:sz w:val="19"/>
          <w:szCs w:val="19"/>
          <w:color w:val="auto"/>
        </w:rPr>
        <w:t>NAME OF ASSIGNOR</w:t>
      </w:r>
      <w:r>
        <w:rPr>
          <w:rFonts w:ascii="Arial" w:cs="Arial" w:eastAsia="Arial" w:hAnsi="Arial"/>
          <w:sz w:val="25"/>
          <w:szCs w:val="25"/>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ASSIGNEE</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5"/>
          <w:szCs w:val="25"/>
          <w:color w:val="auto"/>
        </w:rPr>
        <w:t>[</w:t>
      </w:r>
      <w:r>
        <w:rPr>
          <w:rFonts w:ascii="Arial" w:cs="Arial" w:eastAsia="Arial" w:hAnsi="Arial"/>
          <w:sz w:val="19"/>
          <w:szCs w:val="19"/>
          <w:color w:val="auto"/>
        </w:rPr>
        <w:t>NAME OF ASSIGNEE</w:t>
      </w:r>
      <w:r>
        <w:rPr>
          <w:rFonts w:ascii="Arial" w:cs="Arial" w:eastAsia="Arial" w:hAnsi="Arial"/>
          <w:sz w:val="25"/>
          <w:szCs w:val="25"/>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 List each Assignor, as appropriate.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 List each Assignee, as appropriate.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7 Amount to be adjusted by the counterparties to take into account any payments or prepayments made between the Trade Date and the Effective Date.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 Set forth, to at least 9 decimals, as a percentage of the Commitment/Loans of all Lenders thereunder.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9 Insert if satisfaction of minimum amounts is to be determined as of the Trade Date.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A-2</w:t>
      </w:r>
    </w:p>
    <w:p>
      <w:pPr>
        <w:sectPr>
          <w:pgSz w:w="11900" w:h="16838" w:orient="portrait"/>
          <w:cols w:equalWidth="0" w:num="1">
            <w:col w:w="11420"/>
          </w:cols>
          <w:pgMar w:left="240" w:top="118" w:right="239" w:bottom="1440" w:gutter="0" w:footer="0" w:header="0"/>
          <w:type w:val="continuous"/>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10</w:t>
      </w:r>
      <w:r>
        <w:rPr>
          <w:rFonts w:ascii="Arial" w:cs="Arial" w:eastAsia="Arial" w:hAnsi="Arial"/>
          <w:sz w:val="20"/>
          <w:szCs w:val="20"/>
          <w:color w:val="auto"/>
        </w:rPr>
        <w:t xml:space="preserve"> Accepted: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11</w:t>
      </w:r>
    </w:p>
    <w:p>
      <w:pPr>
        <w:spacing w:after="0"/>
        <w:rPr>
          <w:sz w:val="20"/>
          <w:szCs w:val="20"/>
          <w:color w:val="auto"/>
        </w:rPr>
      </w:pPr>
      <w:r>
        <w:rPr>
          <w:rFonts w:ascii="Arial" w:cs="Arial" w:eastAsia="Arial" w:hAnsi="Arial"/>
          <w:sz w:val="20"/>
          <w:szCs w:val="20"/>
          <w:color w:val="auto"/>
        </w:rPr>
        <w:t>[NAME OF RELEVANT PARTY]</w:t>
      </w: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 To be added only if the consent of the Administrative Agent is required by the terms of the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11 To be added only if the consent of the Borrower and/or other parties (e.g. LC Issuer) is required by the terms of the Credit Agreement.</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A-3</w:t>
      </w:r>
    </w:p>
    <w:p>
      <w:pPr>
        <w:sectPr>
          <w:pgSz w:w="11900" w:h="16838" w:orient="portrait"/>
          <w:cols w:equalWidth="0" w:num="1">
            <w:col w:w="11420"/>
          </w:cols>
          <w:pgMar w:left="240" w:top="116" w:right="239" w:bottom="1440" w:gutter="0" w:footer="0" w:header="0"/>
          <w:type w:val="continuous"/>
        </w:sectPr>
      </w:pPr>
    </w:p>
    <w:bookmarkStart w:id="221" w:name="page222"/>
    <w:bookmarkEnd w:id="22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222" w:lineRule="exact"/>
        <w:rPr>
          <w:sz w:val="20"/>
          <w:szCs w:val="20"/>
          <w:color w:val="auto"/>
        </w:rPr>
      </w:pPr>
    </w:p>
    <w:p>
      <w:pPr>
        <w:ind w:left="1500" w:hanging="195"/>
        <w:spacing w:after="0"/>
        <w:tabs>
          <w:tab w:leader="none" w:pos="150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 if it is a Foreign Lender, attached to the Assignment and Assumption is any documentation required to be delivered by it pursuant to the terms of the Credit Agreement, duly completed and executed by the Assignee; and</w:t>
      </w:r>
    </w:p>
    <w:p>
      <w:pPr>
        <w:spacing w:after="0" w:line="8" w:lineRule="exact"/>
        <w:rPr>
          <w:sz w:val="20"/>
          <w:szCs w:val="20"/>
          <w:color w:val="auto"/>
        </w:rPr>
      </w:pPr>
    </w:p>
    <w:p>
      <w:pPr>
        <w:jc w:val="both"/>
        <w:ind w:firstLine="8"/>
        <w:spacing w:after="0" w:line="241" w:lineRule="auto"/>
        <w:tabs>
          <w:tab w:leader="none" w:pos="28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4" w:lineRule="exact"/>
        <w:rPr>
          <w:rFonts w:ascii="Arial" w:cs="Arial" w:eastAsia="Arial" w:hAnsi="Arial"/>
          <w:sz w:val="20"/>
          <w:szCs w:val="20"/>
          <w:color w:val="auto"/>
        </w:rPr>
      </w:pPr>
    </w:p>
    <w:p>
      <w:pPr>
        <w:jc w:val="both"/>
        <w:ind w:firstLine="1305"/>
        <w:spacing w:after="0" w:line="244" w:lineRule="auto"/>
        <w:tabs>
          <w:tab w:leader="none" w:pos="1494" w:val="left"/>
        </w:tabs>
        <w:numPr>
          <w:ilvl w:val="1"/>
          <w:numId w:val="16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The Assignor and Assignee shall make all appropriate adjustments in payments by the Administrative Agent for periods prior to the Effective Date or with respect to the making of this assignment directly between themselves.</w:t>
      </w:r>
    </w:p>
    <w:p>
      <w:pPr>
        <w:spacing w:after="0" w:line="194" w:lineRule="exact"/>
        <w:rPr>
          <w:rFonts w:ascii="Arial" w:cs="Arial" w:eastAsia="Arial" w:hAnsi="Arial"/>
          <w:sz w:val="20"/>
          <w:szCs w:val="20"/>
          <w:color w:val="auto"/>
        </w:rPr>
      </w:pPr>
    </w:p>
    <w:p>
      <w:pPr>
        <w:jc w:val="both"/>
        <w:ind w:firstLine="1305"/>
        <w:spacing w:after="0" w:line="260" w:lineRule="auto"/>
        <w:tabs>
          <w:tab w:leader="none" w:pos="1494"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420"/>
          </w:cols>
          <w:pgMar w:left="240" w:top="118"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CREDIT REQUEST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 S. Dearborn, Floor 07</w:t>
      </w:r>
    </w:p>
    <w:p>
      <w:pPr>
        <w:spacing w:after="0"/>
        <w:rPr>
          <w:sz w:val="20"/>
          <w:szCs w:val="20"/>
          <w:color w:val="auto"/>
        </w:rPr>
      </w:pPr>
      <w:r>
        <w:rPr>
          <w:rFonts w:ascii="Arial" w:cs="Arial" w:eastAsia="Arial" w:hAnsi="Arial"/>
          <w:sz w:val="20"/>
          <w:szCs w:val="20"/>
          <w:color w:val="auto"/>
        </w:rPr>
        <w:t>Chicago, IL 60603</w:t>
      </w:r>
    </w:p>
    <w:p>
      <w:pPr>
        <w:spacing w:after="0"/>
        <w:rPr>
          <w:sz w:val="20"/>
          <w:szCs w:val="20"/>
          <w:color w:val="auto"/>
        </w:rPr>
      </w:pPr>
      <w:r>
        <w:rPr>
          <w:rFonts w:ascii="Arial" w:cs="Arial" w:eastAsia="Arial" w:hAnsi="Arial"/>
          <w:sz w:val="20"/>
          <w:szCs w:val="20"/>
          <w:color w:val="auto"/>
        </w:rPr>
        <w:t>Attention: Julius C. Williams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Ladies/Gentlemen: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Please refer to the Amended and Restated Credit Agreement dated as of January 10, 2019, among ALLETE,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herein that are defined in the Credit Agreement shall have the meanings therein defined.</w:t>
      </w:r>
    </w:p>
    <w:p>
      <w:pPr>
        <w:spacing w:after="0" w:line="192" w:lineRule="exact"/>
        <w:rPr>
          <w:sz w:val="20"/>
          <w:szCs w:val="20"/>
          <w:color w:val="auto"/>
        </w:rPr>
      </w:pPr>
    </w:p>
    <w:p>
      <w:pPr>
        <w:jc w:val="both"/>
        <w:ind w:firstLine="656"/>
        <w:spacing w:after="0" w:line="250" w:lineRule="auto"/>
        <w:tabs>
          <w:tab w:leader="none" w:pos="100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Pursuant to Section 2.3(a) of the Credit Agreement, the Borrower hereby gives notice of its intention to borrow Borrowings in an aggregate principal amount of $ ________on ______ __, 20__ (the “</w:t>
      </w:r>
      <w:r>
        <w:rPr>
          <w:rFonts w:ascii="Arial" w:cs="Arial" w:eastAsia="Arial" w:hAnsi="Arial"/>
          <w:sz w:val="20"/>
          <w:szCs w:val="20"/>
          <w:u w:val="single" w:color="auto"/>
          <w:color w:val="auto"/>
        </w:rPr>
        <w:t>Borrowing Date</w:t>
      </w:r>
      <w:r>
        <w:rPr>
          <w:rFonts w:ascii="Arial" w:cs="Arial" w:eastAsia="Arial" w:hAnsi="Arial"/>
          <w:sz w:val="20"/>
          <w:szCs w:val="20"/>
          <w:color w:val="auto"/>
        </w:rPr>
        <w:t>”), which Borrowing(s) shall consist of the following Types:</w:t>
      </w:r>
    </w:p>
    <w:p>
      <w:pPr>
        <w:spacing w:after="0" w:line="200" w:lineRule="exact"/>
        <w:rPr>
          <w:sz w:val="20"/>
          <w:szCs w:val="20"/>
          <w:color w:val="auto"/>
        </w:rPr>
      </w:pPr>
    </w:p>
    <w:p>
      <w:pPr>
        <w:spacing w:after="0" w:line="334" w:lineRule="exact"/>
        <w:rPr>
          <w:sz w:val="20"/>
          <w:szCs w:val="20"/>
          <w:color w:val="auto"/>
        </w:rPr>
      </w:pPr>
    </w:p>
    <w:tbl>
      <w:tblPr>
        <w:tblLayout w:type="fixed"/>
        <w:tblInd w:w="710" w:type="dxa"/>
        <w:tblCellMar>
          <w:top w:w="0" w:type="dxa"/>
          <w:left w:w="0" w:type="dxa"/>
          <w:bottom w:w="0" w:type="dxa"/>
          <w:right w:w="0" w:type="dxa"/>
        </w:tblCellMar>
      </w:tblPr>
      <w:tr>
        <w:trPr>
          <w:trHeight w:val="280"/>
        </w:trPr>
        <w:tc>
          <w:tcPr>
            <w:tcW w:w="34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4"/>
              </w:rPr>
              <w:t>Type of Borrowing (ABR</w:t>
            </w:r>
          </w:p>
        </w:tc>
        <w:tc>
          <w:tcPr>
            <w:tcW w:w="3320" w:type="dxa"/>
            <w:vAlign w:val="bottom"/>
            <w:tcBorders>
              <w:top w:val="single" w:sz="8" w:color="auto"/>
              <w:right w:val="single" w:sz="8" w:color="auto"/>
            </w:tcBorders>
            <w:shd w:val="clear" w:color="auto" w:fill="D9D9D9"/>
          </w:tcPr>
          <w:p>
            <w:pPr>
              <w:spacing w:after="0"/>
              <w:rPr>
                <w:sz w:val="24"/>
                <w:szCs w:val="24"/>
                <w:color w:val="auto"/>
              </w:rPr>
            </w:pPr>
          </w:p>
        </w:tc>
        <w:tc>
          <w:tcPr>
            <w:tcW w:w="3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0"/>
              </w:rPr>
              <w:t>Interest Period for</w:t>
            </w:r>
          </w:p>
        </w:tc>
      </w:tr>
      <w:tr>
        <w:trPr>
          <w:trHeight w:val="278"/>
        </w:trPr>
        <w:tc>
          <w:tcPr>
            <w:tcW w:w="34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2"/>
              </w:rPr>
              <w:t>or Eurodollar)</w:t>
            </w:r>
          </w:p>
        </w:tc>
        <w:tc>
          <w:tcPr>
            <w:tcW w:w="3320" w:type="dxa"/>
            <w:vAlign w:val="bottom"/>
            <w:tcBorders>
              <w:bottom w:val="single" w:sz="8" w:color="D9D9D9"/>
              <w:right w:val="single" w:sz="8" w:color="auto"/>
            </w:tcBorders>
            <w:shd w:val="clear" w:color="auto" w:fill="D9D9D9"/>
          </w:tcPr>
          <w:p>
            <w:pPr>
              <w:ind w:left="1320"/>
              <w:spacing w:after="0"/>
              <w:rPr>
                <w:sz w:val="20"/>
                <w:szCs w:val="20"/>
                <w:color w:val="auto"/>
              </w:rPr>
            </w:pPr>
            <w:r>
              <w:rPr>
                <w:rFonts w:ascii="Arial" w:cs="Arial" w:eastAsia="Arial" w:hAnsi="Arial"/>
                <w:sz w:val="20"/>
                <w:szCs w:val="20"/>
                <w:color w:val="auto"/>
              </w:rPr>
              <w:t>Amount</w:t>
            </w:r>
          </w:p>
        </w:tc>
        <w:tc>
          <w:tcPr>
            <w:tcW w:w="33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3"/>
              </w:rPr>
              <w:t>Eurodollar Borrowings</w:t>
            </w:r>
          </w:p>
        </w:tc>
      </w:tr>
      <w:tr>
        <w:trPr>
          <w:trHeight w:val="318"/>
        </w:trPr>
        <w:tc>
          <w:tcPr>
            <w:tcW w:w="34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320" w:type="dxa"/>
            <w:vAlign w:val="bottom"/>
            <w:tcBorders>
              <w:top w:val="single" w:sz="8" w:color="auto"/>
              <w:bottom w:val="single" w:sz="8" w:color="auto"/>
              <w:right w:val="single" w:sz="8" w:color="auto"/>
            </w:tcBorders>
          </w:tcPr>
          <w:p>
            <w:pPr>
              <w:spacing w:after="0"/>
              <w:rPr>
                <w:sz w:val="24"/>
                <w:szCs w:val="24"/>
                <w:color w:val="auto"/>
              </w:rPr>
            </w:pPr>
          </w:p>
        </w:tc>
        <w:tc>
          <w:tcPr>
            <w:tcW w:w="3300" w:type="dxa"/>
            <w:vAlign w:val="bottom"/>
            <w:tcBorders>
              <w:top w:val="single" w:sz="8" w:color="auto"/>
              <w:bottom w:val="single" w:sz="8" w:color="auto"/>
              <w:right w:val="single" w:sz="8" w:color="auto"/>
            </w:tcBorders>
          </w:tcPr>
          <w:p>
            <w:pPr>
              <w:spacing w:after="0"/>
              <w:rPr>
                <w:sz w:val="24"/>
                <w:szCs w:val="24"/>
                <w:color w:val="auto"/>
              </w:rPr>
            </w:pPr>
          </w:p>
        </w:tc>
      </w:tr>
      <w:tr>
        <w:trPr>
          <w:trHeight w:val="318"/>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r>
      <w:tr>
        <w:trPr>
          <w:trHeight w:val="318"/>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r>
      <w:tr>
        <w:trPr>
          <w:trHeight w:val="318"/>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r>
    </w:tbl>
    <w:p>
      <w:pPr>
        <w:spacing w:after="0" w:line="199" w:lineRule="exact"/>
        <w:rPr>
          <w:sz w:val="20"/>
          <w:szCs w:val="20"/>
          <w:color w:val="auto"/>
        </w:rPr>
      </w:pPr>
    </w:p>
    <w:p>
      <w:pPr>
        <w:ind w:firstLine="656"/>
        <w:spacing w:after="0" w:line="386" w:lineRule="auto"/>
        <w:tabs>
          <w:tab w:leader="none" w:pos="97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Pursuant to Sections 2.9 and 5.2 of the Credit Agreement, the Borrower hereby requests that the Issuing Bank [issue, amend, renew or extend] Letter(s) of Credit on ______ __, 20__, in accordance with the information annexed hereto (attach additional sheets if necessary).</w:t>
      </w:r>
    </w:p>
    <w:p>
      <w:pPr>
        <w:spacing w:after="0" w:line="83" w:lineRule="exact"/>
        <w:rPr>
          <w:rFonts w:ascii="Arial" w:cs="Arial" w:eastAsia="Arial" w:hAnsi="Arial"/>
          <w:sz w:val="16"/>
          <w:szCs w:val="16"/>
          <w:color w:val="auto"/>
        </w:rPr>
      </w:pPr>
    </w:p>
    <w:p>
      <w:pPr>
        <w:jc w:val="both"/>
        <w:ind w:firstLine="656"/>
        <w:spacing w:after="0" w:line="244" w:lineRule="auto"/>
        <w:tabs>
          <w:tab w:leader="none" w:pos="104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Borrower hereby certifies that on the date hereof and on the Borrowing Date set forth above, and after giving effect to the Loans and Letters of Credit requested hereby, there exists and shall exist no Default and each of the representations and warranties contained in each Loan Document (other than the representations and warranties in Sections 4.4(b), 4.5 and 4.6 of the Credit Agreement) is and shall be true and correct except to the extent such representations and warranties specifically relate to an earlier date, in which case such representations and warranties were true and correct on and as of such earlier date.</w:t>
      </w:r>
    </w:p>
    <w:p>
      <w:pPr>
        <w:spacing w:after="0" w:line="194" w:lineRule="exact"/>
        <w:rPr>
          <w:rFonts w:ascii="Arial" w:cs="Arial" w:eastAsia="Arial" w:hAnsi="Arial"/>
          <w:sz w:val="20"/>
          <w:szCs w:val="20"/>
          <w:color w:val="auto"/>
        </w:rPr>
      </w:pPr>
    </w:p>
    <w:p>
      <w:pPr>
        <w:ind w:left="980" w:hanging="324"/>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is as follows: [Insert Wire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20"/>
          </w:cols>
          <w:pgMar w:left="240" w:top="116"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6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IN WITNESS WHEREOF, the Borrower has caused this Credit Request to be executed by its authorized signatory as of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spacing w:after="0" w:line="324"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w:t>
      </w:r>
    </w:p>
    <w:p>
      <w:pPr>
        <w:spacing w:after="0" w:line="1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_____________________________________</w:t>
      </w:r>
    </w:p>
    <w:p>
      <w:pPr>
        <w:ind w:left="3900"/>
        <w:spacing w:after="0"/>
        <w:tabs>
          <w:tab w:leader="none" w:pos="4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1420"/>
          </w:cols>
          <w:pgMar w:left="240" w:top="116"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____________, 2019</w:t>
      </w:r>
    </w:p>
    <w:p>
      <w:pPr>
        <w:spacing w:after="0" w:line="2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FOR VALUE RECEIVED, the undersigned, ALLETE, Inc., a Minnesota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the order of [INSERT LENDER NAME] (the “</w:t>
      </w:r>
      <w:r>
        <w:rPr>
          <w:rFonts w:ascii="Arial" w:cs="Arial" w:eastAsia="Arial" w:hAnsi="Arial"/>
          <w:sz w:val="19"/>
          <w:szCs w:val="19"/>
          <w:u w:val="single" w:color="auto"/>
          <w:color w:val="auto"/>
        </w:rPr>
        <w:t>Lender</w:t>
      </w:r>
      <w:r>
        <w:rPr>
          <w:rFonts w:ascii="Arial" w:cs="Arial" w:eastAsia="Arial" w:hAnsi="Arial"/>
          <w:sz w:val="19"/>
          <w:szCs w:val="19"/>
          <w:color w:val="auto"/>
        </w:rPr>
        <w:t>”) the unpaid principal amount of the Loans made by the Lender to the Borrower, in the amounts and at the times set forth in the Amended and Restated Credit Agreement dated as of January 10, 2019, among the Borrower, the Lenders party thereto and JPMorgan Chase Bank, N.A., as Administrative Agent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to pay interest from the date hereof on the principal balance of such Loans from time to time outstanding at the rate or rates and at the times set forth in the Credit Agreement, in each case at the office of the Administrative Agent located at Ten South Dearborn Street, Chicago, Illinois, or at such other place as the Administrative Agent may specify from time to time, in lawful money of the United States in immediately available funds. Terms not otherwise defined herein but defined in the Credit Agreement are used herein with the same meanings.</w:t>
      </w:r>
    </w:p>
    <w:p>
      <w:pPr>
        <w:spacing w:after="0" w:line="185"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19"/>
          <w:szCs w:val="19"/>
          <w:color w:val="auto"/>
        </w:rPr>
        <w:t>The Loans evidenced by this Note are prepayable in the amounts, and under the circumstances, and their respective maturities are subject to acceleration upon the terms, set forth in the Credit Agreement. This Note is subject to, and shall be construed in accordance with, the provisions of the Credit Agreement and is entitled to the benefits and security set forth in the Loan Documents.</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The Lender is hereby authorized to record on the Schedule annexed hereto, and any continuation sheets which the Lender may attach hereto, (i) the date of each Loan made by the Lender to the Borrower, (ii) the Type and amount thereof, (iii) the interest rate (without regard to the Applicable Margin) and Interest Period applicable to each Eurodollar Loan and (iv) the date and amount of each conversion of, and each payment or prepayment of the principal of, any such Loan. The entries made on such Schedule shall be prima facie evidence of the existence and amounts of the obligations recorded thereon, provided that the failure to so record or any error therein shall not in any manner affect the obligation of the Borrower to repay the Loans in accordance with the terms of the Credit Agreement.</w:t>
      </w:r>
    </w:p>
    <w:p>
      <w:pPr>
        <w:spacing w:after="0" w:line="16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Except as specifically otherwise provided in the Credit Agreement, the Borrower hereby waives presentment, demand, notice of dishonor, protest, notice of protest and all other demands, protests and notices in connection with the execution, delivery, performance, collection and enforcement of this Note.</w:t>
      </w:r>
    </w:p>
    <w:p>
      <w:pPr>
        <w:spacing w:after="0" w:line="18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Whenever in this Note either party hereto is referred to, such reference shall be deemed to include the successors and assigns of such party. The Borrower shall not have the right to assign its rights or obligations hereunder or any interest herein (and any such attempted assignment shall be void), except as expressly permitted by the Loan Documents. No failure or delay of the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Neither this Note nor any provision hereof may be waived, amended or modified, nor shall any departure therefrom be consented to, except pursuant to a written agreement entered into between the Borrower and the Lender with respect to which such waiver, amendment, modification or consent is to apply, subject to any consent required in accordance with Section 10.2 of the Credit Agreement.</w:t>
      </w:r>
    </w:p>
    <w:p>
      <w:pPr>
        <w:spacing w:after="0" w:line="16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THIS NOTE SHALL BE GOVERNED BY, AND CONSTRUED IN ACCORDANCE WITH, THE LAWS OF THE STATE OF NEW YORK.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communications and notices hereunder shall be in writing and given as provided in Section 10.1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420"/>
          </w:cols>
          <w:pgMar w:left="240" w:top="118"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Borrower, and by accepting the Note, the Lender,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Note or the other Loan Documents, or for recognition or enforcement of any judgment, and each of the Borrower and the Lender hereby irrevocably and unconditionally agrees that, to the extent permitted by applicable law, all claims in respect of any such action or proceeding may be heard and determined in such New York State court or, to the extent permitted by applicable law, in such Federal court. The Borrower, and by accepting this Note, the Lender, agrees that a final judgment in any such action or proceeding shall be conclusive and may be enforced in other jurisdictions by suit on the judgment or in any other manner provided by law. Nothing in this Note shall affect any right that the Borrower or the Lender may otherwise have to bring any action or proceeding relating to this Note or the other Loan Documents against the other party, or any of its property, in the courts of any jurisdiction.</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Borrower, and by accepting this Note, the Lender, hereby irrevocably and unconditionally waives, to the fullest extent it may legally and effectively do so, any objection that it may now or hereafter have to the laying of venue of any suit, action or proceeding arising out of or relating to this Note or the other Loan Documents in any court referred to in the preceding paragraph hereof. The Borrower, and by accepting this Note, the Lender, hereby irrevocably waives, to the fullest extent permitted by applicable law, the defense of an inconvenient forum to the maintenance of such action or proceeding in any such court.</w:t>
      </w:r>
    </w:p>
    <w:p>
      <w:pPr>
        <w:spacing w:after="0" w:line="181" w:lineRule="exact"/>
        <w:rPr>
          <w:sz w:val="20"/>
          <w:szCs w:val="20"/>
          <w:color w:val="auto"/>
        </w:rPr>
      </w:pPr>
    </w:p>
    <w:p>
      <w:pPr>
        <w:jc w:val="both"/>
        <w:ind w:right="20" w:firstLine="1297"/>
        <w:spacing w:after="0" w:line="316" w:lineRule="auto"/>
        <w:rPr>
          <w:sz w:val="20"/>
          <w:szCs w:val="20"/>
          <w:color w:val="auto"/>
        </w:rPr>
      </w:pPr>
      <w:r>
        <w:rPr>
          <w:rFonts w:ascii="Arial" w:cs="Arial" w:eastAsia="Arial" w:hAnsi="Arial"/>
          <w:sz w:val="18"/>
          <w:szCs w:val="18"/>
          <w:color w:val="auto"/>
        </w:rPr>
        <w:t>The Borrower, and by accepting this Note, the Lender, irrevocably consents to service of process in the manner provided for notices herein. Nothing herein will affect the right of the Borrower or the Lender to serve process in any other manner permitted by law.</w:t>
      </w:r>
    </w:p>
    <w:p>
      <w:pPr>
        <w:spacing w:after="0" w:line="12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b w:val="1"/>
          <w:bCs w:val="1"/>
          <w:color w:val="auto"/>
        </w:rPr>
        <w:t>THE BORROWER, AND BY ACCEPTING THIS NOTE, THE LENDER, EACH HEREBY WAIVES, TO THE FULLEST EXTENT PERMITTED BY APPLICABLE LAW, ANY RIGHT IT MAY HAVE TO A TRIAL BY JURY IN RESPECT OF ANY LEGAL PROCEEDING DIRECTLY OR INDIRECTLY ARISING OUT OF, UNDER OR RELATING TO THIS NOTE. THE BORROWER, AND BY ACCEPTING THIS NOTE, THE LENDER, (A) CERTIFIES THAT NO REPRESENTATIVE, AGENT OR ATTORNEY OF THE OTHER PARTY HAS REPRESENTED, EXPRESSLY OR OTHERWISE, THAT SUCH OTHER PARTY WOULD NOT, IN THE EVENT OF LITIGATION, SEEK TO ENFORCE THE FOREGOING WAIVER AND (B) ACKNOWLEDGES THAT SUCH OTHER PARTY HAS BEEN INDUCED TO ENTER INTO THE LOAN DOCUMENTS TO WHICH IT IS A PARTY BY, AMONG OTHER THINGS, THE WAIVERS AND CERTIFICATIONS IN THIS PARAGRAPH.</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C-2</w:t>
      </w:r>
    </w:p>
    <w:p>
      <w:pPr>
        <w:sectPr>
          <w:pgSz w:w="11900" w:h="16838" w:orient="portrait"/>
          <w:cols w:equalWidth="0" w:num="1">
            <w:col w:w="11420"/>
          </w:cols>
          <w:pgMar w:left="240" w:top="116" w:right="239" w:bottom="144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ALLETE, INC.</w:t>
      </w:r>
    </w:p>
    <w:p>
      <w:pPr>
        <w:spacing w:after="0" w:line="324"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w:t>
      </w:r>
    </w:p>
    <w:p>
      <w:pPr>
        <w:spacing w:after="0" w:line="15"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w:t>
      </w:r>
    </w:p>
    <w:p>
      <w:pPr>
        <w:ind w:left="2700"/>
        <w:spacing w:after="0"/>
        <w:tabs>
          <w:tab w:leader="none" w:pos="3320" w:val="left"/>
        </w:tabs>
        <w:rPr>
          <w:sz w:val="20"/>
          <w:szCs w:val="20"/>
          <w:color w:val="auto"/>
        </w:rPr>
      </w:pPr>
      <w:r>
        <w:rPr>
          <w:rFonts w:ascii="Arial" w:cs="Arial" w:eastAsia="Arial" w:hAnsi="Arial"/>
          <w:sz w:val="20"/>
          <w:szCs w:val="20"/>
          <w:color w:val="auto"/>
        </w:rPr>
        <w:t>Title:</w:t>
        <w:tab/>
        <w:t>______________________________</w:t>
      </w:r>
    </w:p>
    <w:p>
      <w:pPr>
        <w:sectPr>
          <w:pgSz w:w="11900" w:h="16838" w:orient="portrait"/>
          <w:cols w:equalWidth="0" w:num="1">
            <w:col w:w="10220"/>
          </w:cols>
          <w:pgMar w:left="14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Exhibit C-3</w:t>
      </w:r>
    </w:p>
    <w:p>
      <w:pPr>
        <w:sectPr>
          <w:pgSz w:w="11900" w:h="16838" w:orient="portrait"/>
          <w:cols w:equalWidth="0" w:num="1">
            <w:col w:w="10220"/>
          </w:cols>
          <w:pgMar w:left="1440" w:top="116" w:right="23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60"/>
        <w:spacing w:after="0"/>
        <w:rPr>
          <w:sz w:val="20"/>
          <w:szCs w:val="20"/>
          <w:color w:val="auto"/>
        </w:rPr>
      </w:pPr>
      <w:r>
        <w:rPr>
          <w:rFonts w:ascii="Arial" w:cs="Arial" w:eastAsia="Arial" w:hAnsi="Arial"/>
          <w:sz w:val="20"/>
          <w:szCs w:val="20"/>
          <w:u w:val="single" w:color="auto"/>
          <w:color w:val="auto"/>
        </w:rPr>
        <w:t>SCHEDULE TO NOTE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882"/>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168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shd w:val="clear" w:color="auto" w:fill="D9D9D9"/>
          </w:tcPr>
          <w:p>
            <w:pPr>
              <w:spacing w:after="0"/>
              <w:rPr>
                <w:sz w:val="24"/>
                <w:szCs w:val="24"/>
                <w:color w:val="auto"/>
              </w:rPr>
            </w:pPr>
          </w:p>
        </w:tc>
        <w:tc>
          <w:tcPr>
            <w:tcW w:w="14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Amount of</w:t>
            </w:r>
          </w:p>
        </w:tc>
        <w:tc>
          <w:tcPr>
            <w:tcW w:w="1460" w:type="dxa"/>
            <w:vAlign w:val="bottom"/>
            <w:tcBorders>
              <w:top w:val="single" w:sz="8" w:color="auto"/>
              <w:right w:val="single" w:sz="8" w:color="auto"/>
            </w:tcBorders>
            <w:shd w:val="clear" w:color="auto" w:fill="D9D9D9"/>
          </w:tcPr>
          <w:p>
            <w:pPr>
              <w:spacing w:after="0"/>
              <w:rPr>
                <w:sz w:val="24"/>
                <w:szCs w:val="24"/>
                <w:color w:val="auto"/>
              </w:rPr>
            </w:pPr>
          </w:p>
        </w:tc>
        <w:tc>
          <w:tcPr>
            <w:tcW w:w="1440" w:type="dxa"/>
            <w:vAlign w:val="bottom"/>
            <w:tcBorders>
              <w:top w:val="single" w:sz="8" w:color="auto"/>
              <w:right w:val="single" w:sz="8" w:color="auto"/>
            </w:tcBorders>
            <w:shd w:val="clear" w:color="auto" w:fill="D9D9D9"/>
          </w:tcPr>
          <w:p>
            <w:pPr>
              <w:spacing w:after="0"/>
              <w:rPr>
                <w:sz w:val="24"/>
                <w:szCs w:val="24"/>
                <w:color w:val="auto"/>
              </w:rPr>
            </w:pPr>
          </w:p>
        </w:tc>
        <w:tc>
          <w:tcPr>
            <w:tcW w:w="1440" w:type="dxa"/>
            <w:vAlign w:val="bottom"/>
            <w:tcBorders>
              <w:top w:val="single" w:sz="8" w:color="auto"/>
              <w:right w:val="single" w:sz="8" w:color="auto"/>
            </w:tcBorders>
            <w:shd w:val="clear" w:color="auto" w:fill="D9D9D9"/>
          </w:tcPr>
          <w:p>
            <w:pPr>
              <w:ind w:left="340"/>
              <w:spacing w:after="0"/>
              <w:rPr>
                <w:sz w:val="20"/>
                <w:szCs w:val="20"/>
                <w:color w:val="auto"/>
              </w:rPr>
            </w:pPr>
            <w:r>
              <w:rPr>
                <w:rFonts w:ascii="Arial" w:cs="Arial" w:eastAsia="Arial" w:hAnsi="Arial"/>
                <w:sz w:val="20"/>
                <w:szCs w:val="20"/>
                <w:color w:val="auto"/>
              </w:rPr>
              <w:t>Notation</w:t>
            </w: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shd w:val="clear" w:color="auto" w:fill="000000"/>
          </w:tcPr>
          <w:p>
            <w:pPr>
              <w:spacing w:after="0"/>
              <w:rPr>
                <w:sz w:val="8"/>
                <w:szCs w:val="8"/>
                <w:color w:val="auto"/>
              </w:rPr>
            </w:pPr>
          </w:p>
        </w:tc>
        <w:tc>
          <w:tcPr>
            <w:tcW w:w="1680" w:type="dxa"/>
            <w:vAlign w:val="bottom"/>
            <w:tcBorders>
              <w:right w:val="single" w:sz="8" w:color="auto"/>
            </w:tcBorders>
            <w:shd w:val="clear" w:color="auto" w:fill="D9D9D9"/>
          </w:tcPr>
          <w:p>
            <w:pPr>
              <w:spacing w:after="0"/>
              <w:rPr>
                <w:sz w:val="8"/>
                <w:szCs w:val="8"/>
                <w:color w:val="auto"/>
              </w:rPr>
            </w:pPr>
          </w:p>
        </w:tc>
        <w:tc>
          <w:tcPr>
            <w:tcW w:w="1460" w:type="dxa"/>
            <w:vAlign w:val="bottom"/>
            <w:tcBorders>
              <w:right w:val="single" w:sz="8" w:color="auto"/>
            </w:tcBorders>
            <w:shd w:val="clear" w:color="auto" w:fill="D9D9D9"/>
          </w:tcPr>
          <w:p>
            <w:pPr>
              <w:spacing w:after="0"/>
              <w:rPr>
                <w:sz w:val="8"/>
                <w:szCs w:val="8"/>
                <w:color w:val="auto"/>
              </w:rPr>
            </w:pPr>
          </w:p>
        </w:tc>
        <w:tc>
          <w:tcPr>
            <w:tcW w:w="1460" w:type="dxa"/>
            <w:vAlign w:val="bottom"/>
            <w:tcBorders>
              <w:right w:val="single" w:sz="8" w:color="auto"/>
            </w:tcBorders>
            <w:shd w:val="clear" w:color="auto" w:fill="D9D9D9"/>
          </w:tcPr>
          <w:p>
            <w:pPr>
              <w:spacing w:after="0"/>
              <w:rPr>
                <w:sz w:val="8"/>
                <w:szCs w:val="8"/>
                <w:color w:val="auto"/>
              </w:rPr>
            </w:pPr>
          </w:p>
        </w:tc>
        <w:tc>
          <w:tcPr>
            <w:tcW w:w="1460" w:type="dxa"/>
            <w:vAlign w:val="bottom"/>
            <w:tcBorders>
              <w:right w:val="single" w:sz="8" w:color="auto"/>
            </w:tcBorders>
            <w:vMerge w:val="continue"/>
            <w:shd w:val="clear" w:color="auto" w:fill="D9D9D9"/>
          </w:tcPr>
          <w:p>
            <w:pPr>
              <w:spacing w:after="0"/>
              <w:rPr>
                <w:sz w:val="8"/>
                <w:szCs w:val="8"/>
                <w:color w:val="auto"/>
              </w:rPr>
            </w:pPr>
          </w:p>
        </w:tc>
        <w:tc>
          <w:tcPr>
            <w:tcW w:w="1460" w:type="dxa"/>
            <w:vAlign w:val="bottom"/>
            <w:tcBorders>
              <w:right w:val="single" w:sz="8" w:color="auto"/>
            </w:tcBorders>
            <w:shd w:val="clear" w:color="auto" w:fill="D9D9D9"/>
          </w:tcPr>
          <w:p>
            <w:pPr>
              <w:spacing w:after="0"/>
              <w:rPr>
                <w:sz w:val="8"/>
                <w:szCs w:val="8"/>
                <w:color w:val="auto"/>
              </w:rPr>
            </w:pPr>
          </w:p>
        </w:tc>
        <w:tc>
          <w:tcPr>
            <w:tcW w:w="1440" w:type="dxa"/>
            <w:vAlign w:val="bottom"/>
            <w:tcBorders>
              <w:right w:val="single" w:sz="8" w:color="auto"/>
            </w:tcBorders>
            <w:shd w:val="clear" w:color="auto" w:fill="D9D9D9"/>
          </w:tcPr>
          <w:p>
            <w:pPr>
              <w:spacing w:after="0"/>
              <w:rPr>
                <w:sz w:val="8"/>
                <w:szCs w:val="8"/>
                <w:color w:val="auto"/>
              </w:rPr>
            </w:pPr>
          </w:p>
        </w:tc>
        <w:tc>
          <w:tcPr>
            <w:tcW w:w="144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3"/>
              </w:rPr>
              <w:t>principal</w:t>
            </w:r>
          </w:p>
        </w:tc>
        <w:tc>
          <w:tcPr>
            <w:tcW w:w="1460" w:type="dxa"/>
            <w:vAlign w:val="bottom"/>
            <w:tcBorders>
              <w:right w:val="single" w:sz="8" w:color="auto"/>
            </w:tcBorders>
            <w:shd w:val="clear" w:color="auto" w:fill="D9D9D9"/>
          </w:tcPr>
          <w:p>
            <w:pPr>
              <w:spacing w:after="0"/>
              <w:rPr>
                <w:sz w:val="19"/>
                <w:szCs w:val="19"/>
                <w:color w:val="auto"/>
              </w:rPr>
            </w:pPr>
          </w:p>
        </w:tc>
        <w:tc>
          <w:tcPr>
            <w:tcW w:w="14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Interest Period</w:t>
            </w:r>
          </w:p>
        </w:tc>
        <w:tc>
          <w:tcPr>
            <w:tcW w:w="14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converted, paid</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7"/>
              </w:rPr>
              <w:t>Interest Rate on</w:t>
            </w:r>
          </w:p>
        </w:tc>
        <w:tc>
          <w:tcPr>
            <w:tcW w:w="14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4"/>
              </w:rPr>
              <w:t>for Eurodollar</w:t>
            </w:r>
          </w:p>
        </w:tc>
        <w:tc>
          <w:tcPr>
            <w:tcW w:w="144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1680" w:type="dxa"/>
            <w:vAlign w:val="bottom"/>
            <w:tcBorders>
              <w:bottom w:val="single" w:sz="8" w:color="D9D9D9"/>
              <w:right w:val="single" w:sz="8" w:color="auto"/>
            </w:tcBorders>
            <w:shd w:val="clear" w:color="auto" w:fill="D9D9D9"/>
          </w:tcPr>
          <w:p>
            <w:pPr>
              <w:ind w:left="640"/>
              <w:spacing w:after="0"/>
              <w:rPr>
                <w:sz w:val="20"/>
                <w:szCs w:val="20"/>
                <w:color w:val="auto"/>
              </w:rPr>
            </w:pPr>
            <w:r>
              <w:rPr>
                <w:rFonts w:ascii="Arial" w:cs="Arial" w:eastAsia="Arial" w:hAnsi="Arial"/>
                <w:sz w:val="20"/>
                <w:szCs w:val="20"/>
                <w:color w:val="auto"/>
              </w:rPr>
              <w:t>Date</w:t>
            </w:r>
          </w:p>
        </w:tc>
        <w:tc>
          <w:tcPr>
            <w:tcW w:w="1460" w:type="dxa"/>
            <w:vAlign w:val="bottom"/>
            <w:tcBorders>
              <w:bottom w:val="single" w:sz="8" w:color="D9D9D9"/>
              <w:right w:val="single" w:sz="8" w:color="auto"/>
            </w:tcBorders>
            <w:shd w:val="clear" w:color="auto" w:fill="D9D9D9"/>
          </w:tcPr>
          <w:p>
            <w:pPr>
              <w:ind w:left="180"/>
              <w:spacing w:after="0"/>
              <w:rPr>
                <w:sz w:val="20"/>
                <w:szCs w:val="20"/>
                <w:color w:val="auto"/>
              </w:rPr>
            </w:pPr>
            <w:r>
              <w:rPr>
                <w:rFonts w:ascii="Arial" w:cs="Arial" w:eastAsia="Arial" w:hAnsi="Arial"/>
                <w:sz w:val="20"/>
                <w:szCs w:val="20"/>
                <w:color w:val="auto"/>
              </w:rPr>
              <w:t>Type of Loan</w:t>
            </w:r>
          </w:p>
        </w:tc>
        <w:tc>
          <w:tcPr>
            <w:tcW w:w="146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20"/>
                <w:szCs w:val="20"/>
                <w:color w:val="auto"/>
                <w:w w:val="97"/>
              </w:rPr>
              <w:t>Amount of Loan</w:t>
            </w:r>
          </w:p>
        </w:tc>
        <w:tc>
          <w:tcPr>
            <w:tcW w:w="14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or prepaid</w:t>
            </w:r>
          </w:p>
        </w:tc>
        <w:tc>
          <w:tcPr>
            <w:tcW w:w="14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1"/>
              </w:rPr>
              <w:t>Eurodollar Loans</w:t>
            </w:r>
          </w:p>
        </w:tc>
        <w:tc>
          <w:tcPr>
            <w:tcW w:w="14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Loans</w:t>
            </w:r>
          </w:p>
        </w:tc>
        <w:tc>
          <w:tcPr>
            <w:tcW w:w="144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Arial" w:cs="Arial" w:eastAsia="Arial" w:hAnsi="Arial"/>
                <w:sz w:val="20"/>
                <w:szCs w:val="20"/>
                <w:color w:val="auto"/>
              </w:rPr>
              <w:t>Made By</w:t>
            </w:r>
          </w:p>
        </w:tc>
        <w:tc>
          <w:tcPr>
            <w:tcW w:w="0" w:type="dxa"/>
            <w:vAlign w:val="bottom"/>
          </w:tcPr>
          <w:p>
            <w:pPr>
              <w:spacing w:after="0"/>
              <w:rPr>
                <w:sz w:val="1"/>
                <w:szCs w:val="1"/>
                <w:color w:val="auto"/>
              </w:rPr>
            </w:pPr>
          </w:p>
        </w:tc>
      </w:tr>
      <w:tr>
        <w:trPr>
          <w:trHeight w:val="318"/>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1680" w:type="dxa"/>
            <w:vAlign w:val="bottom"/>
            <w:tcBorders>
              <w:top w:val="single" w:sz="8" w:color="auto"/>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740" w:top="11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Exhibit C-4</w:t>
      </w:r>
    </w:p>
    <w:p>
      <w:pPr>
        <w:sectPr>
          <w:pgSz w:w="11900" w:h="16838" w:orient="portrait"/>
          <w:cols w:equalWidth="0" w:num="1">
            <w:col w:w="10920"/>
          </w:cols>
          <w:pgMar w:left="740" w:top="118" w:right="239" w:bottom="1440" w:gutter="0" w:footer="0" w:header="0"/>
          <w:type w:val="continuous"/>
        </w:sectPr>
      </w:pPr>
    </w:p>
    <w:bookmarkStart w:id="228" w:name="page229"/>
    <w:bookmarkEnd w:id="228"/>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COMPLIANCE CERTIFICATE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______________, do hereby certify that I am the ______________ of ALLETE, Inc. (the “</w:t>
      </w:r>
      <w:r>
        <w:rPr>
          <w:rFonts w:ascii="Arial" w:cs="Arial" w:eastAsia="Arial" w:hAnsi="Arial"/>
          <w:sz w:val="18"/>
          <w:szCs w:val="18"/>
          <w:u w:val="single" w:color="auto"/>
          <w:color w:val="auto"/>
        </w:rPr>
        <w:t>Borrower</w:t>
      </w:r>
      <w:r>
        <w:rPr>
          <w:rFonts w:ascii="Arial" w:cs="Arial" w:eastAsia="Arial" w:hAnsi="Arial"/>
          <w:sz w:val="18"/>
          <w:szCs w:val="18"/>
          <w:color w:val="auto"/>
        </w:rPr>
        <w:t>”), and that, as such, I</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am duly authorized to execute and deliver this Compliance Certificate on the Borrower’s behalf pursuant to Section 6.1(c) of the Amended and Restated Credit Agreement dated as of January 10, 2019 among the Borrower, the Lenders party thereto and JPMorgan Chase Bank, N.A., as Administrative Agent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herein which are not defined herein shall have the meanings assigned to such terms in the Credit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 hereby certify that:</w:t>
      </w:r>
    </w:p>
    <w:p>
      <w:pPr>
        <w:spacing w:after="0" w:line="216" w:lineRule="exact"/>
        <w:rPr>
          <w:sz w:val="20"/>
          <w:szCs w:val="20"/>
          <w:color w:val="auto"/>
        </w:rPr>
      </w:pPr>
    </w:p>
    <w:p>
      <w:pPr>
        <w:jc w:val="both"/>
        <w:ind w:firstLine="1305"/>
        <w:spacing w:after="0" w:line="253" w:lineRule="auto"/>
        <w:tabs>
          <w:tab w:leader="none" w:pos="167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To the best of my knowledge, all financial statements delivered herewith have been prepared in accordance with GAAP. There have been no changes in GAAP pertinent to the Borrower or in the application thereof to Borrower and that affects the computation of any financial covenant set forth in Section 7.5 of the Credit Agreement, since the date of the audited financial statements referred to in Section 4.4(a) of the Credit Agreement, [, except as follows:</w:t>
      </w:r>
      <w:r>
        <w:rPr>
          <w:rFonts w:ascii="Arial" w:cs="Arial" w:eastAsia="Arial" w:hAnsi="Arial"/>
          <w:sz w:val="25"/>
          <w:szCs w:val="25"/>
          <w:color w:val="auto"/>
          <w:vertAlign w:val="superscript"/>
        </w:rPr>
        <w:t>12</w:t>
      </w:r>
      <w:r>
        <w:rPr>
          <w:rFonts w:ascii="Arial" w:cs="Arial" w:eastAsia="Arial" w:hAnsi="Arial"/>
          <w:sz w:val="20"/>
          <w:szCs w:val="20"/>
          <w:color w:val="auto"/>
        </w:rPr>
        <w:t>]</w:t>
      </w:r>
    </w:p>
    <w:p>
      <w:pPr>
        <w:spacing w:after="0" w:line="104" w:lineRule="exact"/>
        <w:rPr>
          <w:rFonts w:ascii="Arial" w:cs="Arial" w:eastAsia="Arial" w:hAnsi="Arial"/>
          <w:sz w:val="20"/>
          <w:szCs w:val="20"/>
          <w:color w:val="auto"/>
        </w:rPr>
      </w:pPr>
    </w:p>
    <w:p>
      <w:pPr>
        <w:ind w:firstLine="1305"/>
        <w:spacing w:after="0" w:line="276" w:lineRule="auto"/>
        <w:tabs>
          <w:tab w:leader="none" w:pos="163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There existed no Default on the last day of the fiscal quarter ended _________, 20__, and there exists no Default as of the date hereof [, except as follows</w:t>
      </w:r>
      <w:r>
        <w:rPr>
          <w:rFonts w:ascii="Arial" w:cs="Arial" w:eastAsia="Arial" w:hAnsi="Arial"/>
          <w:sz w:val="25"/>
          <w:szCs w:val="25"/>
          <w:color w:val="auto"/>
          <w:vertAlign w:val="superscript"/>
        </w:rPr>
        <w:t>13</w:t>
      </w:r>
      <w:r>
        <w:rPr>
          <w:rFonts w:ascii="Arial" w:cs="Arial" w:eastAsia="Arial" w:hAnsi="Arial"/>
          <w:sz w:val="20"/>
          <w:szCs w:val="20"/>
          <w:color w:val="auto"/>
        </w:rPr>
        <w:t>]</w:t>
      </w:r>
    </w:p>
    <w:p>
      <w:pPr>
        <w:spacing w:after="0" w:line="80" w:lineRule="exact"/>
        <w:rPr>
          <w:rFonts w:ascii="Arial" w:cs="Arial" w:eastAsia="Arial" w:hAnsi="Arial"/>
          <w:sz w:val="20"/>
          <w:szCs w:val="20"/>
          <w:color w:val="auto"/>
        </w:rPr>
      </w:pPr>
    </w:p>
    <w:p>
      <w:pPr>
        <w:ind w:firstLine="1305"/>
        <w:spacing w:after="0" w:line="260" w:lineRule="auto"/>
        <w:tabs>
          <w:tab w:leader="none" w:pos="167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Attached are true and correct calculations demonstrating compliance with Section 7.5 of the Credit Agreement as of the fiscal quarter ended _________, 20__.</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I have executed this Compliance Certificate on this ___ day of ________________,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12 Specify each such change and the effect thereof on the financial statements accompanying this Compliance Certificate as set forth in Section 1.4 of the Credit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13 Specify all such violations, conditions and events, the nature and status thereof and any action taken or proposed to be taken with respect thereto.</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1420"/>
          </w:cols>
          <w:pgMar w:left="240" w:top="116"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930" w:type="dxa"/>
        <w:tblCellMar>
          <w:top w:w="0" w:type="dxa"/>
          <w:left w:w="0" w:type="dxa"/>
          <w:bottom w:w="0" w:type="dxa"/>
          <w:right w:w="0" w:type="dxa"/>
        </w:tblCellMar>
      </w:tblPr>
      <w:tr>
        <w:trPr>
          <w:trHeight w:val="256"/>
        </w:trPr>
        <w:tc>
          <w:tcPr>
            <w:tcW w:w="1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80" w:type="dxa"/>
            <w:vAlign w:val="bottom"/>
          </w:tcPr>
          <w:p>
            <w:pPr>
              <w:jc w:val="center"/>
              <w:ind w:left="821"/>
              <w:spacing w:after="0"/>
              <w:rPr>
                <w:sz w:val="20"/>
                <w:szCs w:val="20"/>
                <w:color w:val="auto"/>
              </w:rPr>
            </w:pPr>
            <w:r>
              <w:rPr>
                <w:rFonts w:ascii="Arial" w:cs="Arial" w:eastAsia="Arial" w:hAnsi="Arial"/>
                <w:sz w:val="20"/>
                <w:szCs w:val="20"/>
                <w:b w:val="1"/>
                <w:bCs w:val="1"/>
                <w:color w:val="auto"/>
                <w:w w:val="87"/>
              </w:rPr>
              <w:t>Section 7.5</w:t>
            </w:r>
          </w:p>
        </w:tc>
        <w:tc>
          <w:tcPr>
            <w:tcW w:w="780" w:type="dxa"/>
            <w:vAlign w:val="bottom"/>
          </w:tcPr>
          <w:p>
            <w:pPr>
              <w:spacing w:after="0"/>
              <w:rPr>
                <w:sz w:val="22"/>
                <w:szCs w:val="22"/>
                <w:color w:val="auto"/>
              </w:rPr>
            </w:pPr>
          </w:p>
        </w:tc>
        <w:tc>
          <w:tcPr>
            <w:tcW w:w="2740" w:type="dxa"/>
            <w:vAlign w:val="bottom"/>
          </w:tcPr>
          <w:p>
            <w:pPr>
              <w:spacing w:after="0"/>
              <w:rPr>
                <w:sz w:val="22"/>
                <w:szCs w:val="22"/>
                <w:color w:val="auto"/>
              </w:rPr>
            </w:pPr>
          </w:p>
        </w:tc>
      </w:tr>
      <w:tr>
        <w:trPr>
          <w:trHeight w:val="833"/>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0" w:type="dxa"/>
            <w:vAlign w:val="bottom"/>
            <w:gridSpan w:val="3"/>
          </w:tcPr>
          <w:p>
            <w:pPr>
              <w:jc w:val="center"/>
              <w:ind w:right="2620"/>
              <w:spacing w:after="0"/>
              <w:rPr>
                <w:sz w:val="20"/>
                <w:szCs w:val="20"/>
                <w:color w:val="auto"/>
              </w:rPr>
            </w:pPr>
            <w:r>
              <w:rPr>
                <w:rFonts w:ascii="Arial" w:cs="Arial" w:eastAsia="Arial" w:hAnsi="Arial"/>
                <w:sz w:val="20"/>
                <w:szCs w:val="20"/>
                <w:b w:val="1"/>
                <w:bCs w:val="1"/>
                <w:color w:val="auto"/>
                <w:w w:val="88"/>
              </w:rPr>
              <w:t>Ratio of Total Indebtedness to Total Capitalization</w:t>
            </w:r>
            <w:r>
              <w:rPr>
                <w:rFonts w:ascii="Arial" w:cs="Arial" w:eastAsia="Arial" w:hAnsi="Arial"/>
                <w:sz w:val="25"/>
                <w:szCs w:val="25"/>
                <w:color w:val="auto"/>
                <w:w w:val="88"/>
                <w:vertAlign w:val="superscript"/>
              </w:rPr>
              <w:t>14</w:t>
            </w:r>
          </w:p>
        </w:tc>
      </w:tr>
      <w:tr>
        <w:trPr>
          <w:trHeight w:val="412"/>
        </w:trPr>
        <w:tc>
          <w:tcPr>
            <w:tcW w:w="1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41"/>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1.</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Sum of all Indebtedness</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0"/>
                <w:szCs w:val="20"/>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0"/>
        </w:trPr>
        <w:tc>
          <w:tcPr>
            <w:tcW w:w="1180" w:type="dxa"/>
            <w:vAlign w:val="bottom"/>
            <w:tcBorders>
              <w:left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1180" w:type="dxa"/>
            <w:vAlign w:val="bottom"/>
            <w:tcBorders>
              <w:left w:val="single" w:sz="8" w:color="auto"/>
              <w:right w:val="single" w:sz="8" w:color="auto"/>
            </w:tcBorders>
          </w:tcPr>
          <w:p>
            <w:pPr>
              <w:spacing w:after="0"/>
              <w:rPr>
                <w:sz w:val="19"/>
                <w:szCs w:val="19"/>
                <w:color w:val="auto"/>
              </w:rPr>
            </w:pPr>
          </w:p>
        </w:tc>
        <w:tc>
          <w:tcPr>
            <w:tcW w:w="4900" w:type="dxa"/>
            <w:vAlign w:val="bottom"/>
            <w:tcBorders>
              <w:right w:val="single" w:sz="8" w:color="auto"/>
            </w:tcBorders>
            <w:gridSpan w:val="2"/>
          </w:tcPr>
          <w:p>
            <w:pPr>
              <w:ind w:left="20"/>
              <w:spacing w:after="0" w:line="220" w:lineRule="exact"/>
              <w:rPr>
                <w:sz w:val="20"/>
                <w:szCs w:val="20"/>
                <w:color w:val="auto"/>
              </w:rPr>
            </w:pPr>
            <w:r>
              <w:rPr>
                <w:rFonts w:ascii="Arial" w:cs="Arial" w:eastAsia="Arial" w:hAnsi="Arial"/>
                <w:sz w:val="20"/>
                <w:szCs w:val="20"/>
                <w:color w:val="auto"/>
                <w:w w:val="90"/>
              </w:rPr>
              <w:t>Unamortized premium and discount (as such term is used in</w:t>
            </w:r>
          </w:p>
        </w:tc>
        <w:tc>
          <w:tcPr>
            <w:tcW w:w="780" w:type="dxa"/>
            <w:vAlign w:val="bottom"/>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0"/>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2.</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the Borrower Financial Statements)</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1"/>
                <w:szCs w:val="21"/>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3.</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Total Indebtedness (Item 1 minus Item 2)</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4.</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Preferred Equity Interests</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3"/>
        </w:trPr>
        <w:tc>
          <w:tcPr>
            <w:tcW w:w="1180" w:type="dxa"/>
            <w:vAlign w:val="bottom"/>
            <w:tcBorders>
              <w:left w:val="single" w:sz="8" w:color="auto"/>
              <w:right w:val="single" w:sz="8" w:color="auto"/>
            </w:tcBorders>
          </w:tcPr>
          <w:p>
            <w:pPr>
              <w:spacing w:after="0"/>
              <w:rPr>
                <w:sz w:val="20"/>
                <w:szCs w:val="20"/>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Common Equity Interests and any premium on Equity</w:t>
            </w:r>
          </w:p>
        </w:tc>
        <w:tc>
          <w:tcPr>
            <w:tcW w:w="78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230"/>
        </w:trPr>
        <w:tc>
          <w:tcPr>
            <w:tcW w:w="1180" w:type="dxa"/>
            <w:vAlign w:val="bottom"/>
            <w:tcBorders>
              <w:left w:val="single" w:sz="8" w:color="auto"/>
              <w:right w:val="single" w:sz="8" w:color="auto"/>
            </w:tcBorders>
          </w:tcPr>
          <w:p>
            <w:pPr>
              <w:spacing w:after="0"/>
              <w:rPr>
                <w:sz w:val="19"/>
                <w:szCs w:val="19"/>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9"/>
              </w:rPr>
              <w:t>Interests thereon (as such term is used in the Borrower</w:t>
            </w:r>
          </w:p>
        </w:tc>
        <w:tc>
          <w:tcPr>
            <w:tcW w:w="780" w:type="dxa"/>
            <w:vAlign w:val="bottom"/>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30"/>
        </w:trPr>
        <w:tc>
          <w:tcPr>
            <w:tcW w:w="1180" w:type="dxa"/>
            <w:vAlign w:val="bottom"/>
            <w:tcBorders>
              <w:left w:val="single" w:sz="8" w:color="auto"/>
              <w:right w:val="single" w:sz="8" w:color="auto"/>
            </w:tcBorders>
          </w:tcPr>
          <w:p>
            <w:pPr>
              <w:spacing w:after="0"/>
              <w:rPr>
                <w:sz w:val="19"/>
                <w:szCs w:val="19"/>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Financial Statements) excluding accumulated other</w:t>
            </w:r>
          </w:p>
        </w:tc>
        <w:tc>
          <w:tcPr>
            <w:tcW w:w="780" w:type="dxa"/>
            <w:vAlign w:val="bottom"/>
          </w:tcPr>
          <w:p>
            <w:pPr>
              <w:spacing w:after="0"/>
              <w:rPr>
                <w:sz w:val="19"/>
                <w:szCs w:val="19"/>
                <w:color w:val="auto"/>
              </w:rPr>
            </w:pPr>
          </w:p>
        </w:tc>
        <w:tc>
          <w:tcPr>
            <w:tcW w:w="2740" w:type="dxa"/>
            <w:vAlign w:val="bottom"/>
            <w:tcBorders>
              <w:right w:val="single" w:sz="8" w:color="auto"/>
            </w:tcBorders>
          </w:tcPr>
          <w:p>
            <w:pPr>
              <w:spacing w:after="0"/>
              <w:rPr>
                <w:sz w:val="19"/>
                <w:szCs w:val="19"/>
                <w:color w:val="auto"/>
              </w:rPr>
            </w:pPr>
          </w:p>
        </w:tc>
      </w:tr>
      <w:tr>
        <w:trPr>
          <w:trHeight w:val="250"/>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5.</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comprehensive income or loss</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1"/>
                <w:szCs w:val="21"/>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6.</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Retained earnings</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7.</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Sum of Items 3, 4, 5 and 6</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3"/>
        </w:trPr>
        <w:tc>
          <w:tcPr>
            <w:tcW w:w="1180" w:type="dxa"/>
            <w:vAlign w:val="bottom"/>
            <w:tcBorders>
              <w:left w:val="single" w:sz="8" w:color="auto"/>
              <w:right w:val="single" w:sz="8" w:color="auto"/>
            </w:tcBorders>
          </w:tcPr>
          <w:p>
            <w:pPr>
              <w:spacing w:after="0"/>
              <w:rPr>
                <w:sz w:val="20"/>
                <w:szCs w:val="20"/>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4"/>
              </w:rPr>
              <w:t>Stock of the Borrower acquired by the Borrower and stock</w:t>
            </w:r>
          </w:p>
        </w:tc>
        <w:tc>
          <w:tcPr>
            <w:tcW w:w="78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250"/>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8.</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of a Subsidiary acquired by such Subsidiary</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1"/>
                <w:szCs w:val="21"/>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9.</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Total Capitalization (Item 7 minus Item 8)</w:t>
            </w:r>
          </w:p>
        </w:tc>
        <w:tc>
          <w:tcPr>
            <w:tcW w:w="780" w:type="dxa"/>
            <w:vAlign w:val="bottom"/>
          </w:tcPr>
          <w:p>
            <w:pPr>
              <w:spacing w:after="0"/>
              <w:rPr>
                <w:sz w:val="20"/>
                <w:szCs w:val="20"/>
                <w:color w:val="auto"/>
              </w:rPr>
            </w:pPr>
            <w:r>
              <w:rPr>
                <w:rFonts w:ascii="Arial" w:cs="Arial" w:eastAsia="Arial" w:hAnsi="Arial"/>
                <w:sz w:val="20"/>
                <w:szCs w:val="20"/>
                <w:color w:val="auto"/>
              </w:rPr>
              <w:t>$</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33"/>
        </w:trPr>
        <w:tc>
          <w:tcPr>
            <w:tcW w:w="1180" w:type="dxa"/>
            <w:vAlign w:val="bottom"/>
            <w:tcBorders>
              <w:left w:val="single" w:sz="8" w:color="auto"/>
              <w:right w:val="single" w:sz="8" w:color="auto"/>
            </w:tcBorders>
          </w:tcPr>
          <w:p>
            <w:pPr>
              <w:spacing w:after="0"/>
              <w:rPr>
                <w:sz w:val="20"/>
                <w:szCs w:val="20"/>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4"/>
              </w:rPr>
              <w:t>Ratio of Total Indebtedness to Total Capitalization (Item 3</w:t>
            </w:r>
          </w:p>
        </w:tc>
        <w:tc>
          <w:tcPr>
            <w:tcW w:w="78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250"/>
        </w:trPr>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Item 10.</w:t>
            </w: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divided by Item 9)</w:t>
            </w:r>
          </w:p>
        </w:tc>
        <w:tc>
          <w:tcPr>
            <w:tcW w:w="35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_.__: 1.00</w:t>
            </w: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spacing w:after="0"/>
              <w:rPr>
                <w:sz w:val="22"/>
                <w:szCs w:val="22"/>
                <w:color w:val="auto"/>
              </w:rPr>
            </w:pPr>
          </w:p>
        </w:tc>
        <w:tc>
          <w:tcPr>
            <w:tcW w:w="490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Maximum permitted ratio</w:t>
            </w:r>
          </w:p>
        </w:tc>
        <w:tc>
          <w:tcPr>
            <w:tcW w:w="780" w:type="dxa"/>
            <w:vAlign w:val="bottom"/>
          </w:tcPr>
          <w:p>
            <w:pPr>
              <w:spacing w:after="0"/>
              <w:rPr>
                <w:sz w:val="20"/>
                <w:szCs w:val="20"/>
                <w:color w:val="auto"/>
              </w:rPr>
            </w:pPr>
            <w:r>
              <w:rPr>
                <w:rFonts w:ascii="Arial" w:cs="Arial" w:eastAsia="Arial" w:hAnsi="Arial"/>
                <w:sz w:val="20"/>
                <w:szCs w:val="20"/>
                <w:color w:val="auto"/>
                <w:w w:val="91"/>
              </w:rPr>
              <w:t>0.65:1.00</w:t>
            </w:r>
          </w:p>
        </w:tc>
        <w:tc>
          <w:tcPr>
            <w:tcW w:w="2740" w:type="dxa"/>
            <w:vAlign w:val="bottom"/>
            <w:tcBorders>
              <w:right w:val="single" w:sz="8" w:color="auto"/>
            </w:tcBorders>
          </w:tcPr>
          <w:p>
            <w:pPr>
              <w:spacing w:after="0"/>
              <w:rPr>
                <w:sz w:val="22"/>
                <w:szCs w:val="22"/>
                <w:color w:val="auto"/>
              </w:rPr>
            </w:pP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14 Each of the computations is based on the Borrower and its Subsidiaries determined on a consolidated basis in accordance with GAAP.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w:t>
      </w:r>
    </w:p>
    <w:p>
      <w:pPr>
        <w:sectPr>
          <w:pgSz w:w="11900" w:h="16838" w:orient="portrait"/>
          <w:cols w:equalWidth="0" w:num="1">
            <w:col w:w="11420"/>
          </w:cols>
          <w:pgMar w:left="240" w:top="116"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INCREASE SUPPLEMENT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 SUPPLEMENT, dated as of __________________, 20__ to the Amended and Restated Credit Agreement, dated</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January 10, 2019, among ALLETE,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JPMorgan Chase Bank, N.A., as Administrative Agent (the “Administrative Agent”)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that are defined in the Credit Agreement shall have the meanings therein defined.</w:t>
      </w:r>
    </w:p>
    <w:p>
      <w:pPr>
        <w:spacing w:after="0" w:line="159" w:lineRule="exact"/>
        <w:rPr>
          <w:sz w:val="20"/>
          <w:szCs w:val="20"/>
          <w:color w:val="auto"/>
        </w:rPr>
      </w:pPr>
    </w:p>
    <w:p>
      <w:pPr>
        <w:ind w:firstLine="1305"/>
        <w:spacing w:after="0" w:line="260" w:lineRule="auto"/>
        <w:tabs>
          <w:tab w:leader="none" w:pos="177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Pursuant to Section 2.5(d) of the Credit Agreement, the Borrower hereby proposes to increase (the “</w:t>
      </w:r>
      <w:r>
        <w:rPr>
          <w:rFonts w:ascii="Arial" w:cs="Arial" w:eastAsia="Arial" w:hAnsi="Arial"/>
          <w:sz w:val="20"/>
          <w:szCs w:val="20"/>
          <w:u w:val="single" w:color="auto"/>
          <w:color w:val="auto"/>
        </w:rPr>
        <w:t>Increase</w:t>
      </w:r>
      <w:r>
        <w:rPr>
          <w:rFonts w:ascii="Arial" w:cs="Arial" w:eastAsia="Arial" w:hAnsi="Arial"/>
          <w:sz w:val="20"/>
          <w:szCs w:val="20"/>
          <w:color w:val="auto"/>
        </w:rPr>
        <w:t>”) the aggregate Commitments from $________________ to $________________.</w:t>
      </w:r>
    </w:p>
    <w:p>
      <w:pPr>
        <w:spacing w:after="0" w:line="176" w:lineRule="exact"/>
        <w:rPr>
          <w:rFonts w:ascii="Arial" w:cs="Arial" w:eastAsia="Arial" w:hAnsi="Arial"/>
          <w:sz w:val="20"/>
          <w:szCs w:val="20"/>
          <w:color w:val="auto"/>
        </w:rPr>
      </w:pPr>
    </w:p>
    <w:p>
      <w:pPr>
        <w:ind w:firstLine="1305"/>
        <w:spacing w:after="0" w:line="260" w:lineRule="auto"/>
        <w:tabs>
          <w:tab w:leader="none" w:pos="163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of the following Lenders (each an “</w:t>
      </w:r>
      <w:r>
        <w:rPr>
          <w:rFonts w:ascii="Arial" w:cs="Arial" w:eastAsia="Arial" w:hAnsi="Arial"/>
          <w:sz w:val="20"/>
          <w:szCs w:val="20"/>
          <w:u w:val="single" w:color="auto"/>
          <w:color w:val="auto"/>
        </w:rPr>
        <w:t>Increasing Lender</w:t>
      </w:r>
      <w:r>
        <w:rPr>
          <w:rFonts w:ascii="Arial" w:cs="Arial" w:eastAsia="Arial" w:hAnsi="Arial"/>
          <w:sz w:val="20"/>
          <w:szCs w:val="20"/>
          <w:color w:val="auto"/>
        </w:rPr>
        <w:t>”) has been invited by the Borrower, and has agreed, subject to the terms hereof, to increase its Commitment as follows:</w:t>
      </w:r>
    </w:p>
    <w:p>
      <w:pPr>
        <w:spacing w:after="0" w:line="309" w:lineRule="exact"/>
        <w:rPr>
          <w:sz w:val="20"/>
          <w:szCs w:val="20"/>
          <w:color w:val="auto"/>
        </w:rPr>
      </w:pPr>
    </w:p>
    <w:tbl>
      <w:tblPr>
        <w:tblLayout w:type="fixed"/>
        <w:tblInd w:w="38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6920" w:type="dxa"/>
            <w:vAlign w:val="bottom"/>
            <w:tcBorders>
              <w:top w:val="single" w:sz="8" w:color="auto"/>
              <w:bottom w:val="single" w:sz="8" w:color="auto"/>
            </w:tcBorders>
          </w:tcPr>
          <w:p>
            <w:pPr>
              <w:spacing w:after="0"/>
              <w:rPr>
                <w:sz w:val="3"/>
                <w:szCs w:val="3"/>
                <w:color w:val="auto"/>
              </w:rPr>
            </w:pPr>
          </w:p>
        </w:tc>
        <w:tc>
          <w:tcPr>
            <w:tcW w:w="37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6920" w:type="dxa"/>
            <w:vAlign w:val="bottom"/>
            <w:tcBorders>
              <w:right w:val="single" w:sz="8" w:color="auto"/>
            </w:tcBorders>
            <w:vMerge w:val="restart"/>
          </w:tcPr>
          <w:p>
            <w:pPr>
              <w:ind w:left="2800"/>
              <w:spacing w:after="0"/>
              <w:rPr>
                <w:sz w:val="20"/>
                <w:szCs w:val="20"/>
                <w:color w:val="auto"/>
              </w:rPr>
            </w:pPr>
            <w:r>
              <w:rPr>
                <w:rFonts w:ascii="Arial" w:cs="Arial" w:eastAsia="Arial" w:hAnsi="Arial"/>
                <w:sz w:val="20"/>
                <w:szCs w:val="20"/>
                <w:color w:val="auto"/>
              </w:rPr>
              <w:t>Name of Lender</w:t>
            </w:r>
          </w:p>
        </w:tc>
        <w:tc>
          <w:tcPr>
            <w:tcW w:w="37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1"/>
              </w:rPr>
              <w:t>Commitment</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shd w:val="clear" w:color="auto" w:fill="000000"/>
          </w:tcPr>
          <w:p>
            <w:pPr>
              <w:spacing w:after="0"/>
              <w:rPr>
                <w:sz w:val="11"/>
                <w:szCs w:val="11"/>
                <w:color w:val="auto"/>
              </w:rPr>
            </w:pPr>
          </w:p>
        </w:tc>
        <w:tc>
          <w:tcPr>
            <w:tcW w:w="6920" w:type="dxa"/>
            <w:vAlign w:val="bottom"/>
            <w:tcBorders>
              <w:right w:val="single" w:sz="8" w:color="auto"/>
            </w:tcBorders>
            <w:vMerge w:val="continue"/>
          </w:tcPr>
          <w:p>
            <w:pPr>
              <w:spacing w:after="0"/>
              <w:rPr>
                <w:sz w:val="11"/>
                <w:szCs w:val="11"/>
                <w:color w:val="auto"/>
              </w:rPr>
            </w:pPr>
          </w:p>
        </w:tc>
        <w:tc>
          <w:tcPr>
            <w:tcW w:w="3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(after giving effect to the Increase)</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shd w:val="clear" w:color="auto" w:fill="000000"/>
          </w:tcPr>
          <w:p>
            <w:pPr>
              <w:spacing w:after="0"/>
              <w:rPr>
                <w:sz w:val="10"/>
                <w:szCs w:val="10"/>
                <w:color w:val="auto"/>
              </w:rPr>
            </w:pPr>
          </w:p>
        </w:tc>
        <w:tc>
          <w:tcPr>
            <w:tcW w:w="6920" w:type="dxa"/>
            <w:vAlign w:val="bottom"/>
            <w:tcBorders>
              <w:right w:val="single" w:sz="8" w:color="auto"/>
            </w:tcBorders>
          </w:tcPr>
          <w:p>
            <w:pPr>
              <w:spacing w:after="0"/>
              <w:rPr>
                <w:sz w:val="10"/>
                <w:szCs w:val="10"/>
                <w:color w:val="auto"/>
              </w:rPr>
            </w:pP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6920" w:type="dxa"/>
            <w:vAlign w:val="bottom"/>
            <w:tcBorders>
              <w:right w:val="single" w:sz="8" w:color="auto"/>
            </w:tcBorders>
          </w:tcPr>
          <w:p>
            <w:pPr>
              <w:spacing w:after="0"/>
              <w:rPr>
                <w:sz w:val="22"/>
                <w:szCs w:val="22"/>
                <w:color w:val="auto"/>
              </w:rPr>
            </w:pP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6920" w:type="dxa"/>
            <w:vAlign w:val="bottom"/>
            <w:tcBorders>
              <w:right w:val="single" w:sz="8" w:color="auto"/>
            </w:tcBorders>
          </w:tcPr>
          <w:p>
            <w:pPr>
              <w:spacing w:after="0"/>
              <w:rPr>
                <w:sz w:val="22"/>
                <w:szCs w:val="22"/>
                <w:color w:val="auto"/>
              </w:rPr>
            </w:pP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1305"/>
        <w:spacing w:after="0" w:line="260" w:lineRule="auto"/>
        <w:tabs>
          <w:tab w:leader="none" w:pos="1625"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Each of the following Persons (each a “</w:t>
      </w:r>
      <w:r>
        <w:rPr>
          <w:rFonts w:ascii="Arial" w:cs="Arial" w:eastAsia="Arial" w:hAnsi="Arial"/>
          <w:sz w:val="20"/>
          <w:szCs w:val="20"/>
          <w:u w:val="single" w:color="auto"/>
          <w:color w:val="auto"/>
        </w:rPr>
        <w:t>Proposed Lender</w:t>
      </w:r>
      <w:r>
        <w:rPr>
          <w:rFonts w:ascii="Arial" w:cs="Arial" w:eastAsia="Arial" w:hAnsi="Arial"/>
          <w:sz w:val="20"/>
          <w:szCs w:val="20"/>
          <w:color w:val="auto"/>
        </w:rPr>
        <w:t>”) has been invited by the Borrower, and has agreed, subject to the terms hereof, to become a “Lender” under the Credit Agreement with a Commitment in the amount set forth below:</w:t>
      </w:r>
    </w:p>
    <w:p>
      <w:pPr>
        <w:spacing w:after="0" w:line="309" w:lineRule="exact"/>
        <w:rPr>
          <w:sz w:val="20"/>
          <w:szCs w:val="20"/>
          <w:color w:val="auto"/>
        </w:rPr>
      </w:pPr>
    </w:p>
    <w:tbl>
      <w:tblPr>
        <w:tblLayout w:type="fixed"/>
        <w:tblInd w:w="380" w:type="dxa"/>
        <w:tblCellMar>
          <w:top w:w="0" w:type="dxa"/>
          <w:left w:w="0" w:type="dxa"/>
          <w:bottom w:w="0" w:type="dxa"/>
          <w:right w:w="0" w:type="dxa"/>
        </w:tblCellMar>
      </w:tblPr>
      <w:tr>
        <w:trPr>
          <w:trHeight w:val="329"/>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6920" w:type="dxa"/>
            <w:vAlign w:val="bottom"/>
            <w:tcBorders>
              <w:top w:val="single" w:sz="8" w:color="auto"/>
              <w:bottom w:val="single" w:sz="8" w:color="D9D9D9"/>
              <w:right w:val="single" w:sz="8" w:color="auto"/>
            </w:tcBorders>
            <w:shd w:val="clear" w:color="auto" w:fill="D9D9D9"/>
          </w:tcPr>
          <w:p>
            <w:pPr>
              <w:ind w:left="2800"/>
              <w:spacing w:after="0"/>
              <w:rPr>
                <w:sz w:val="20"/>
                <w:szCs w:val="20"/>
                <w:color w:val="auto"/>
              </w:rPr>
            </w:pPr>
            <w:r>
              <w:rPr>
                <w:rFonts w:ascii="Arial" w:cs="Arial" w:eastAsia="Arial" w:hAnsi="Arial"/>
                <w:sz w:val="20"/>
                <w:szCs w:val="20"/>
                <w:color w:val="auto"/>
              </w:rPr>
              <w:t>Name of Lender</w:t>
            </w:r>
          </w:p>
        </w:tc>
        <w:tc>
          <w:tcPr>
            <w:tcW w:w="37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1"/>
              </w:rPr>
              <w:t>Commitment</w:t>
            </w:r>
          </w:p>
        </w:tc>
      </w:tr>
      <w:tr>
        <w:trPr>
          <w:trHeight w:val="254"/>
        </w:trPr>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6920" w:type="dxa"/>
            <w:vAlign w:val="bottom"/>
            <w:tcBorders>
              <w:top w:val="single" w:sz="8" w:color="auto"/>
              <w:right w:val="single" w:sz="8" w:color="auto"/>
            </w:tcBorders>
          </w:tcPr>
          <w:p>
            <w:pPr>
              <w:spacing w:after="0"/>
              <w:rPr>
                <w:sz w:val="22"/>
                <w:szCs w:val="22"/>
                <w:color w:val="auto"/>
              </w:rPr>
            </w:pP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6920" w:type="dxa"/>
            <w:vAlign w:val="bottom"/>
            <w:tcBorders>
              <w:right w:val="single" w:sz="8" w:color="auto"/>
            </w:tcBorders>
          </w:tcPr>
          <w:p>
            <w:pPr>
              <w:spacing w:after="0"/>
              <w:rPr>
                <w:sz w:val="22"/>
                <w:szCs w:val="22"/>
                <w:color w:val="auto"/>
              </w:rPr>
            </w:pP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6920" w:type="dxa"/>
            <w:vAlign w:val="bottom"/>
            <w:tcBorders>
              <w:right w:val="single" w:sz="8" w:color="auto"/>
            </w:tcBorders>
          </w:tcPr>
          <w:p>
            <w:pPr>
              <w:spacing w:after="0"/>
              <w:rPr>
                <w:sz w:val="22"/>
                <w:szCs w:val="22"/>
                <w:color w:val="auto"/>
              </w:rPr>
            </w:pP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69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firstLine="1305"/>
        <w:spacing w:after="0" w:line="246" w:lineRule="auto"/>
        <w:tabs>
          <w:tab w:leader="none" w:pos="17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Borrower hereby represents and warrants to the Administrative Agent, each Lender and each such Person that immediately before and after giving effect to the Increase, (a) no Default exists or would exist under the Loan Documents and (b) the representations and warranties of the Borrower set forth in the Loan Documents are true and correct on the date hereof except to the extent such representations and warranties specifically relate to an earlier date.</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65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Pursuant to Section 2.5(d) of the Credit Agreement, by execution and delivery of this Increase Supplement, together with the satisfaction of all of the requirements set forth in clauses (A) through (E) of such Section 2.5(d) (the date of such satisfaction being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(i) each of the Increasing Lenders shall have, on and as of the Increase Effective Date of the Increase, a Commitment equal to the amount set forth above next to its name, and (ii) each such Proposed Lender as of the Increase Effective Date shall be deemed to be a “Lender” under, and as such term is defined in, the Credit Agreement, and shall have a Commitment equal to the amount set forth above next to its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6"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Increase Supplement to be duly executed and delivered by their proper and duly authorized officers as of the day and year first above written.</w:t>
      </w:r>
    </w:p>
    <w:p>
      <w:pPr>
        <w:spacing w:after="0" w:line="17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w:t>
      </w: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pacing w:after="0" w:line="200" w:lineRule="exact"/>
        <w:rPr>
          <w:sz w:val="20"/>
          <w:szCs w:val="20"/>
          <w:color w:val="auto"/>
        </w:rPr>
      </w:pPr>
    </w:p>
    <w:p>
      <w:pPr>
        <w:spacing w:after="0" w:line="216" w:lineRule="exact"/>
        <w:rPr>
          <w:sz w:val="20"/>
          <w:szCs w:val="20"/>
          <w:color w:val="auto"/>
        </w:rPr>
      </w:pPr>
    </w:p>
    <w:p>
      <w:pPr>
        <w:ind w:left="9740"/>
        <w:spacing w:after="0"/>
        <w:rPr>
          <w:sz w:val="20"/>
          <w:szCs w:val="20"/>
          <w:color w:val="auto"/>
        </w:rPr>
      </w:pPr>
      <w:r>
        <w:rPr>
          <w:rFonts w:ascii="Arial" w:cs="Arial" w:eastAsia="Arial" w:hAnsi="Arial"/>
          <w:sz w:val="20"/>
          <w:szCs w:val="20"/>
          <w:color w:val="auto"/>
        </w:rPr>
        <w:t>JPMORGAN</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CHASE BANK, N.A., as Administrative Agent</w:t>
      </w: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w:t>
      </w: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[INCREASING LENDER]</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w:t>
      </w: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[PROPOSED LENDER]</w:t>
      </w:r>
    </w:p>
    <w:p>
      <w:pPr>
        <w:spacing w:after="0" w:line="200" w:lineRule="exact"/>
        <w:rPr>
          <w:sz w:val="20"/>
          <w:szCs w:val="20"/>
          <w:color w:val="auto"/>
        </w:rPr>
      </w:pPr>
    </w:p>
    <w:p>
      <w:pPr>
        <w:spacing w:after="0" w:line="23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w:t>
      </w:r>
    </w:p>
    <w:p>
      <w:pPr>
        <w:ind w:left="584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6"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Reference is hereby made to the Amended and Restated Credit Agreement dated as of January 10, 2019 (as amended, supplemented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Pursuant to the provisions of Section 3.7 of the Credit Agreement, the undersigned hereby certifies that (i) it is the sole record and beneficial owner of the Loan(s) (as well as any promissory note(s) evidencing such Loan(s)) in respect of which it is providing this certificate,</w:t>
      </w:r>
    </w:p>
    <w:p>
      <w:pPr>
        <w:spacing w:after="0" w:line="1" w:lineRule="exact"/>
        <w:rPr>
          <w:sz w:val="20"/>
          <w:szCs w:val="20"/>
          <w:color w:val="auto"/>
        </w:rPr>
      </w:pPr>
    </w:p>
    <w:p>
      <w:pPr>
        <w:jc w:val="both"/>
        <w:ind w:right="180" w:firstLine="8"/>
        <w:spacing w:after="0" w:line="241" w:lineRule="auto"/>
        <w:tabs>
          <w:tab w:leader="none" w:pos="29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88"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8"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Reference is hereby made to the Amended and Restated Credit Agreement dated as of January 10, 2019 (as amended, supplemented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Pursuant to the provisions of Section 3.7 of the Credit Agreement, the undersigned hereby certifies that (i) it is the sole record and beneficial owner of the participation in respect of which it is providing this certificate, (ii) it is not a bank within the meaning of Section 881(c)</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(3)(A) of the Code, (iii) it is not a ten percent shareholder of the Borrower within the meaning of Section 871(h)(3)(B) of the Code, and (iv) it is not a controlled foreign corporation related to the Borrower as described in Section 881(c)(3)(C) of the Code.</w:t>
      </w:r>
    </w:p>
    <w:p>
      <w:pPr>
        <w:spacing w:after="0" w:line="84"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8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6"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Reference is hereby made to the Amended and Restated Credit Agreement dated as of January 10, 2019 (as amended, supplemented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Pursuant to the provisions of Section 3.7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w:t>
      </w:r>
    </w:p>
    <w:p>
      <w:pPr>
        <w:spacing w:after="0" w:line="3" w:lineRule="exact"/>
        <w:rPr>
          <w:sz w:val="20"/>
          <w:szCs w:val="20"/>
          <w:color w:val="auto"/>
        </w:rPr>
      </w:pPr>
    </w:p>
    <w:p>
      <w:pPr>
        <w:jc w:val="both"/>
        <w:ind w:right="500"/>
        <w:spacing w:after="0" w:line="241" w:lineRule="auto"/>
        <w:rPr>
          <w:sz w:val="20"/>
          <w:szCs w:val="20"/>
          <w:color w:val="auto"/>
        </w:rPr>
      </w:pPr>
      <w:r>
        <w:rPr>
          <w:rFonts w:ascii="Arial" w:cs="Arial" w:eastAsia="Arial" w:hAnsi="Arial"/>
          <w:sz w:val="20"/>
          <w:szCs w:val="20"/>
          <w:color w:val="auto"/>
        </w:rPr>
        <w:t>(3)(A)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88"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7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6"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b w:val="1"/>
          <w:bCs w:val="1"/>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Reference is hereby made to the Amended and Restated Credit Agreement dated as of January 10, 2019 (as amended, supplemented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Pursuant to the provisions of Section 3.7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61" w:lineRule="exact"/>
        <w:rPr>
          <w:sz w:val="20"/>
          <w:szCs w:val="20"/>
          <w:color w:val="auto"/>
        </w:rPr>
      </w:pPr>
    </w:p>
    <w:p>
      <w:pPr>
        <w:ind w:right="80" w:firstLine="648"/>
        <w:spacing w:after="0" w:line="242" w:lineRule="auto"/>
        <w:rPr>
          <w:sz w:val="20"/>
          <w:szCs w:val="20"/>
          <w:color w:val="auto"/>
        </w:rPr>
      </w:pPr>
      <w:r>
        <w:rPr>
          <w:rFonts w:ascii="Arial" w:cs="Arial" w:eastAsia="Arial" w:hAnsi="Arial"/>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 or Form W-8BEN-E or (ii) an IRS Form W-8IMY accompanied by an IRS Form W-8BEN or IRS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0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118" w:right="239" w:bottom="1440" w:gutter="0" w:footer="0" w:header="0"/>
        </w:sectPr>
      </w:pPr>
    </w:p>
    <w:bookmarkStart w:id="236" w:name="page237"/>
    <w:bookmarkEnd w:id="236"/>
    <w:tbl>
      <w:tblPr>
        <w:tblLayout w:type="fixed"/>
        <w:tblInd w:w="8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 10(e)7</w:t>
            </w:r>
          </w:p>
        </w:tc>
      </w:tr>
      <w:tr>
        <w:trPr>
          <w:trHeight w:val="486"/>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0" w:type="dxa"/>
            <w:vAlign w:val="bottom"/>
            <w:gridSpan w:val="12"/>
          </w:tcPr>
          <w:p>
            <w:pPr>
              <w:jc w:val="center"/>
              <w:ind w:right="2700"/>
              <w:spacing w:after="0"/>
              <w:rPr>
                <w:sz w:val="20"/>
                <w:szCs w:val="20"/>
                <w:color w:val="auto"/>
              </w:rPr>
            </w:pPr>
            <w:r>
              <w:rPr>
                <w:rFonts w:ascii="Arial" w:cs="Arial" w:eastAsia="Arial" w:hAnsi="Arial"/>
                <w:sz w:val="22"/>
                <w:szCs w:val="22"/>
                <w:b w:val="1"/>
                <w:bCs w:val="1"/>
                <w:color w:val="auto"/>
                <w:w w:val="91"/>
              </w:rPr>
              <w:t>ALLETE Executive Annual Incentive Plan</w:t>
            </w:r>
          </w:p>
        </w:tc>
      </w:tr>
      <w:tr>
        <w:trPr>
          <w:trHeight w:val="257"/>
        </w:trPr>
        <w:tc>
          <w:tcPr>
            <w:tcW w:w="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Form of Award</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81"/>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Effective 2019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1"/>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20" w:type="dxa"/>
            <w:vAlign w:val="bottom"/>
            <w:gridSpan w:val="10"/>
          </w:tcPr>
          <w:p>
            <w:pPr>
              <w:jc w:val="center"/>
              <w:ind w:right="3180"/>
              <w:spacing w:after="0"/>
              <w:rPr>
                <w:sz w:val="20"/>
                <w:szCs w:val="20"/>
                <w:color w:val="auto"/>
              </w:rPr>
            </w:pPr>
            <w:r>
              <w:rPr>
                <w:rFonts w:ascii="Arial" w:cs="Arial" w:eastAsia="Arial" w:hAnsi="Arial"/>
                <w:sz w:val="22"/>
                <w:szCs w:val="22"/>
                <w:b w:val="1"/>
                <w:bCs w:val="1"/>
                <w:color w:val="auto"/>
                <w:w w:val="88"/>
              </w:rPr>
              <w:t>[Eligible Executive Employees]</w:t>
            </w:r>
          </w:p>
        </w:tc>
      </w:tr>
      <w:tr>
        <w:trPr>
          <w:trHeight w:val="476"/>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0" w:type="dxa"/>
            <w:vAlign w:val="bottom"/>
            <w:gridSpan w:val="9"/>
          </w:tcPr>
          <w:p>
            <w:pPr>
              <w:jc w:val="center"/>
              <w:ind w:right="3500"/>
              <w:spacing w:after="0"/>
              <w:rPr>
                <w:sz w:val="20"/>
                <w:szCs w:val="20"/>
                <w:color w:val="auto"/>
              </w:rPr>
            </w:pPr>
            <w:r>
              <w:rPr>
                <w:rFonts w:ascii="Arial" w:cs="Arial" w:eastAsia="Arial" w:hAnsi="Arial"/>
                <w:sz w:val="22"/>
                <w:szCs w:val="22"/>
                <w:b w:val="1"/>
                <w:bCs w:val="1"/>
                <w:color w:val="auto"/>
                <w:w w:val="91"/>
              </w:rPr>
              <w:t>Target Award Opportunity</w:t>
            </w:r>
          </w:p>
        </w:tc>
      </w:tr>
      <w:tr>
        <w:trPr>
          <w:trHeight w:val="20"/>
        </w:trPr>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31"/>
        </w:trPr>
        <w:tc>
          <w:tcPr>
            <w:tcW w:w="284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94"/>
        </w:trPr>
        <w:tc>
          <w:tcPr>
            <w:tcW w:w="20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Times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54"/>
        </w:trPr>
        <w:tc>
          <w:tcPr>
            <w:tcW w:w="6140" w:type="dxa"/>
            <w:vAlign w:val="bottom"/>
            <w:gridSpan w:val="8"/>
          </w:tcPr>
          <w:p>
            <w:pPr>
              <w:spacing w:after="0"/>
              <w:rPr>
                <w:sz w:val="20"/>
                <w:szCs w:val="20"/>
                <w:color w:val="auto"/>
              </w:rPr>
            </w:pPr>
            <w:r>
              <w:rPr>
                <w:rFonts w:ascii="Arial" w:cs="Arial" w:eastAsia="Arial" w:hAnsi="Arial"/>
                <w:sz w:val="18"/>
                <w:szCs w:val="18"/>
                <w:color w:val="auto"/>
              </w:rPr>
              <w:t>Award Opportunity (percent of base salary)</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15"/>
        </w:trPr>
        <w:tc>
          <w:tcPr>
            <w:tcW w:w="20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Equals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94"/>
        </w:trPr>
        <w:tc>
          <w:tcPr>
            <w:tcW w:w="2840" w:type="dxa"/>
            <w:vAlign w:val="bottom"/>
            <w:gridSpan w:val="2"/>
          </w:tcPr>
          <w:p>
            <w:pPr>
              <w:spacing w:after="0"/>
              <w:rPr>
                <w:sz w:val="20"/>
                <w:szCs w:val="20"/>
                <w:color w:val="auto"/>
              </w:rPr>
            </w:pPr>
            <w:r>
              <w:rPr>
                <w:rFonts w:ascii="Arial" w:cs="Arial" w:eastAsia="Arial" w:hAnsi="Arial"/>
                <w:sz w:val="18"/>
                <w:szCs w:val="18"/>
                <w:color w:val="auto"/>
              </w:rPr>
              <w:t>Target Award</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0" w:type="dxa"/>
            <w:vAlign w:val="bottom"/>
            <w:gridSpan w:val="12"/>
          </w:tcPr>
          <w:p>
            <w:pPr>
              <w:jc w:val="center"/>
              <w:ind w:right="270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center"/>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7"/>
              </w:rPr>
              <w:t>Goal Performance Level</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1"/>
              </w:rPr>
              <w:t>Target Award</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Superior</w:t>
            </w:r>
          </w:p>
        </w:tc>
        <w:tc>
          <w:tcPr>
            <w:tcW w:w="1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1"/>
              </w:rPr>
              <w:t>200%</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Target</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1"/>
              </w:rPr>
              <w:t>100%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Threshold</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4"/>
              </w:rPr>
              <w:t>45%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Below Threshold</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26"/>
              <w:spacing w:after="0"/>
              <w:rPr>
                <w:sz w:val="20"/>
                <w:szCs w:val="20"/>
                <w:color w:val="auto"/>
              </w:rPr>
            </w:pPr>
            <w:r>
              <w:rPr>
                <w:rFonts w:ascii="Arial" w:cs="Arial" w:eastAsia="Arial" w:hAnsi="Arial"/>
                <w:sz w:val="18"/>
                <w:szCs w:val="18"/>
                <w:color w:val="auto"/>
                <w:w w:val="92"/>
              </w:rPr>
              <w:t>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Goals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7"/>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2840" w:type="dxa"/>
            <w:vAlign w:val="bottom"/>
            <w:gridSpan w:val="2"/>
          </w:tcPr>
          <w:p>
            <w:pPr>
              <w:ind w:left="140"/>
              <w:spacing w:after="0"/>
              <w:rPr>
                <w:sz w:val="20"/>
                <w:szCs w:val="20"/>
                <w:color w:val="auto"/>
              </w:rPr>
            </w:pPr>
            <w:r>
              <w:rPr>
                <w:rFonts w:ascii="Arial" w:cs="Arial" w:eastAsia="Arial" w:hAnsi="Arial"/>
                <w:sz w:val="20"/>
                <w:szCs w:val="20"/>
                <w:b w:val="1"/>
                <w:bCs w:val="1"/>
                <w:color w:val="auto"/>
              </w:rPr>
              <w:t>Financial Goals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640" w:type="dxa"/>
            <w:vAlign w:val="bottom"/>
          </w:tcPr>
          <w:p>
            <w:pPr>
              <w:ind w:left="1640"/>
              <w:spacing w:after="0"/>
              <w:rPr>
                <w:sz w:val="20"/>
                <w:szCs w:val="20"/>
                <w:color w:val="auto"/>
              </w:rPr>
            </w:pPr>
            <w:r>
              <w:rPr>
                <w:rFonts w:ascii="Arial" w:cs="Arial" w:eastAsia="Arial" w:hAnsi="Arial"/>
                <w:sz w:val="20"/>
                <w:szCs w:val="20"/>
                <w:color w:val="auto"/>
                <w:w w:val="95"/>
              </w:rPr>
              <w:t>Net Income</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60" w:type="dxa"/>
            <w:vAlign w:val="bottom"/>
            <w:gridSpan w:val="5"/>
          </w:tcPr>
          <w:p>
            <w:pPr>
              <w:jc w:val="center"/>
              <w:ind w:left="2625"/>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40" w:type="dxa"/>
            <w:vAlign w:val="bottom"/>
            <w:gridSpan w:val="7"/>
          </w:tcPr>
          <w:p>
            <w:pPr>
              <w:ind w:left="1640"/>
              <w:spacing w:after="0"/>
              <w:rPr>
                <w:sz w:val="20"/>
                <w:szCs w:val="20"/>
                <w:color w:val="auto"/>
              </w:rPr>
            </w:pPr>
            <w:r>
              <w:rPr>
                <w:rFonts w:ascii="Arial" w:cs="Arial" w:eastAsia="Arial" w:hAnsi="Arial"/>
                <w:sz w:val="20"/>
                <w:szCs w:val="20"/>
                <w:color w:val="auto"/>
              </w:rPr>
              <w:t>Cash from Operating Activities</w:t>
            </w:r>
          </w:p>
        </w:tc>
        <w:tc>
          <w:tcPr>
            <w:tcW w:w="3260" w:type="dxa"/>
            <w:vAlign w:val="bottom"/>
            <w:gridSpan w:val="5"/>
          </w:tcPr>
          <w:p>
            <w:pPr>
              <w:jc w:val="center"/>
              <w:ind w:left="2625"/>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r>
      <w:tr>
        <w:trPr>
          <w:trHeight w:val="563"/>
        </w:trPr>
        <w:tc>
          <w:tcPr>
            <w:tcW w:w="6140" w:type="dxa"/>
            <w:vAlign w:val="bottom"/>
            <w:gridSpan w:val="8"/>
          </w:tcPr>
          <w:p>
            <w:pPr>
              <w:ind w:left="140"/>
              <w:spacing w:after="0"/>
              <w:rPr>
                <w:sz w:val="20"/>
                <w:szCs w:val="20"/>
                <w:color w:val="auto"/>
              </w:rPr>
            </w:pPr>
            <w:r>
              <w:rPr>
                <w:rFonts w:ascii="Arial" w:cs="Arial" w:eastAsia="Arial" w:hAnsi="Arial"/>
                <w:sz w:val="20"/>
                <w:szCs w:val="20"/>
                <w:b w:val="1"/>
                <w:bCs w:val="1"/>
                <w:color w:val="auto"/>
              </w:rPr>
              <w:t>Strategic &amp; Operational &amp; Values Goals</w:t>
            </w:r>
          </w:p>
        </w:tc>
        <w:tc>
          <w:tcPr>
            <w:tcW w:w="272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60" w:type="dxa"/>
            <w:vAlign w:val="bottom"/>
            <w:gridSpan w:val="5"/>
          </w:tcPr>
          <w:p>
            <w:pPr>
              <w:jc w:val="center"/>
              <w:ind w:left="262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Annual Incentive Plan Compensation is subject to recoupment as defined in the Compensation Recovery policy.</w:t>
      </w:r>
    </w:p>
    <w:p>
      <w:pPr>
        <w:sectPr>
          <w:pgSz w:w="11900" w:h="16838" w:orient="portrait"/>
          <w:cols w:equalWidth="0" w:num="1">
            <w:col w:w="10440"/>
          </w:cols>
          <w:pgMar w:left="240" w:top="121" w:right="1219" w:bottom="1440" w:gutter="0" w:footer="0" w:header="0"/>
        </w:sectPr>
      </w:pPr>
    </w:p>
    <w:bookmarkStart w:id="237" w:name="page238"/>
    <w:bookmarkEnd w:id="237"/>
    <w:p>
      <w:pPr>
        <w:jc w:val="right"/>
        <w:ind w:right="1359"/>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Effective January 1, 2019</w:t>
      </w:r>
    </w:p>
    <w:p>
      <w:pPr>
        <w:sectPr>
          <w:pgSz w:w="11900" w:h="16838" w:orient="portrait"/>
          <w:cols w:equalWidth="0" w:num="1">
            <w:col w:w="9019"/>
          </w:cols>
          <w:pgMar w:left="1440" w:top="122" w:right="1440"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7220" w:type="dxa"/>
            <w:vAlign w:val="bottom"/>
          </w:tcPr>
          <w:p>
            <w:pPr>
              <w:ind w:left="5180"/>
              <w:spacing w:after="0"/>
              <w:rPr>
                <w:sz w:val="20"/>
                <w:szCs w:val="20"/>
                <w:color w:val="auto"/>
              </w:rPr>
            </w:pPr>
            <w:r>
              <w:rPr>
                <w:rFonts w:ascii="Arial" w:cs="Arial" w:eastAsia="Arial" w:hAnsi="Arial"/>
                <w:sz w:val="18"/>
                <w:szCs w:val="18"/>
                <w:b w:val="1"/>
                <w:bCs w:val="1"/>
                <w:color w:val="auto"/>
              </w:rPr>
              <w:t>Exhibit 10(f)4</w:t>
            </w:r>
          </w:p>
        </w:tc>
        <w:tc>
          <w:tcPr>
            <w:tcW w:w="1160" w:type="dxa"/>
            <w:vAlign w:val="bottom"/>
          </w:tcPr>
          <w:p>
            <w:pPr>
              <w:spacing w:after="0"/>
              <w:rPr>
                <w:sz w:val="20"/>
                <w:szCs w:val="20"/>
                <w:color w:val="auto"/>
              </w:rPr>
            </w:pPr>
          </w:p>
        </w:tc>
      </w:tr>
      <w:tr>
        <w:trPr>
          <w:trHeight w:val="510"/>
        </w:trPr>
        <w:tc>
          <w:tcPr>
            <w:tcW w:w="2220" w:type="dxa"/>
            <w:vAlign w:val="bottom"/>
          </w:tcPr>
          <w:p>
            <w:pPr>
              <w:spacing w:after="0"/>
              <w:rPr>
                <w:sz w:val="24"/>
                <w:szCs w:val="24"/>
                <w:color w:val="auto"/>
              </w:rPr>
            </w:pPr>
          </w:p>
        </w:tc>
        <w:tc>
          <w:tcPr>
            <w:tcW w:w="7220" w:type="dxa"/>
            <w:vAlign w:val="bottom"/>
          </w:tcPr>
          <w:p>
            <w:pPr>
              <w:ind w:left="3120"/>
              <w:spacing w:after="0"/>
              <w:rPr>
                <w:sz w:val="20"/>
                <w:szCs w:val="20"/>
                <w:color w:val="auto"/>
              </w:rPr>
            </w:pPr>
            <w:r>
              <w:rPr>
                <w:rFonts w:ascii="Arial" w:cs="Arial" w:eastAsia="Arial" w:hAnsi="Arial"/>
                <w:sz w:val="22"/>
                <w:szCs w:val="22"/>
                <w:b w:val="1"/>
                <w:bCs w:val="1"/>
                <w:color w:val="auto"/>
              </w:rPr>
              <w:t>TABLE OF CONTENTS Page</w:t>
            </w:r>
          </w:p>
        </w:tc>
        <w:tc>
          <w:tcPr>
            <w:tcW w:w="1160" w:type="dxa"/>
            <w:vAlign w:val="bottom"/>
          </w:tcPr>
          <w:p>
            <w:pPr>
              <w:spacing w:after="0"/>
              <w:rPr>
                <w:sz w:val="24"/>
                <w:szCs w:val="24"/>
                <w:color w:val="auto"/>
              </w:rPr>
            </w:pPr>
          </w:p>
        </w:tc>
      </w:tr>
      <w:tr>
        <w:trPr>
          <w:trHeight w:val="602"/>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Establishment and Purpose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1.1</w:t>
            </w:r>
          </w:p>
        </w:tc>
        <w:tc>
          <w:tcPr>
            <w:tcW w:w="7220" w:type="dxa"/>
            <w:vAlign w:val="bottom"/>
          </w:tcPr>
          <w:p>
            <w:pPr>
              <w:ind w:left="660"/>
              <w:spacing w:after="0"/>
              <w:rPr>
                <w:sz w:val="20"/>
                <w:szCs w:val="20"/>
                <w:color w:val="auto"/>
              </w:rPr>
            </w:pPr>
            <w:r>
              <w:rPr>
                <w:rFonts w:ascii="Arial" w:cs="Arial" w:eastAsia="Arial" w:hAnsi="Arial"/>
                <w:sz w:val="18"/>
                <w:szCs w:val="18"/>
                <w:color w:val="auto"/>
              </w:rPr>
              <w:t>Establishment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1.2</w:t>
            </w:r>
          </w:p>
        </w:tc>
        <w:tc>
          <w:tcPr>
            <w:tcW w:w="7220" w:type="dxa"/>
            <w:vAlign w:val="bottom"/>
          </w:tcPr>
          <w:p>
            <w:pPr>
              <w:ind w:left="660"/>
              <w:spacing w:after="0"/>
              <w:rPr>
                <w:sz w:val="20"/>
                <w:szCs w:val="20"/>
                <w:color w:val="auto"/>
              </w:rPr>
            </w:pPr>
            <w:r>
              <w:rPr>
                <w:rFonts w:ascii="Arial" w:cs="Arial" w:eastAsia="Arial" w:hAnsi="Arial"/>
                <w:sz w:val="18"/>
                <w:szCs w:val="18"/>
                <w:color w:val="auto"/>
              </w:rPr>
              <w:t>Compensation Recovery Policy</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Section 409A Plans and Organizations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2.1</w:t>
            </w:r>
          </w:p>
        </w:tc>
        <w:tc>
          <w:tcPr>
            <w:tcW w:w="7220" w:type="dxa"/>
            <w:vAlign w:val="bottom"/>
          </w:tcPr>
          <w:p>
            <w:pPr>
              <w:ind w:left="660"/>
              <w:spacing w:after="0"/>
              <w:rPr>
                <w:sz w:val="20"/>
                <w:szCs w:val="20"/>
                <w:color w:val="auto"/>
              </w:rPr>
            </w:pPr>
            <w:r>
              <w:rPr>
                <w:rFonts w:ascii="Arial" w:cs="Arial" w:eastAsia="Arial" w:hAnsi="Arial"/>
                <w:sz w:val="18"/>
                <w:szCs w:val="18"/>
                <w:color w:val="auto"/>
              </w:rPr>
              <w:t>Section 409A Plans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2.2</w:t>
            </w:r>
          </w:p>
        </w:tc>
        <w:tc>
          <w:tcPr>
            <w:tcW w:w="7220" w:type="dxa"/>
            <w:vAlign w:val="bottom"/>
          </w:tcPr>
          <w:p>
            <w:pPr>
              <w:ind w:left="660"/>
              <w:spacing w:after="0"/>
              <w:rPr>
                <w:sz w:val="20"/>
                <w:szCs w:val="20"/>
                <w:color w:val="auto"/>
              </w:rPr>
            </w:pPr>
            <w:r>
              <w:rPr>
                <w:rFonts w:ascii="Arial" w:cs="Arial" w:eastAsia="Arial" w:hAnsi="Arial"/>
                <w:sz w:val="18"/>
                <w:szCs w:val="18"/>
                <w:color w:val="auto"/>
              </w:rPr>
              <w:t>Organization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2.3</w:t>
            </w:r>
          </w:p>
        </w:tc>
        <w:tc>
          <w:tcPr>
            <w:tcW w:w="7220" w:type="dxa"/>
            <w:vAlign w:val="bottom"/>
          </w:tcPr>
          <w:p>
            <w:pPr>
              <w:ind w:left="660"/>
              <w:spacing w:after="0"/>
              <w:rPr>
                <w:sz w:val="20"/>
                <w:szCs w:val="20"/>
                <w:color w:val="auto"/>
              </w:rPr>
            </w:pPr>
            <w:r>
              <w:rPr>
                <w:rFonts w:ascii="Arial" w:cs="Arial" w:eastAsia="Arial" w:hAnsi="Arial"/>
                <w:sz w:val="18"/>
                <w:szCs w:val="18"/>
                <w:color w:val="auto"/>
              </w:rPr>
              <w:t>Section 409A Compliance</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Administration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3.1</w:t>
            </w:r>
          </w:p>
        </w:tc>
        <w:tc>
          <w:tcPr>
            <w:tcW w:w="7220" w:type="dxa"/>
            <w:vAlign w:val="bottom"/>
          </w:tcPr>
          <w:p>
            <w:pPr>
              <w:ind w:left="660"/>
              <w:spacing w:after="0"/>
              <w:rPr>
                <w:sz w:val="20"/>
                <w:szCs w:val="20"/>
                <w:color w:val="auto"/>
              </w:rPr>
            </w:pPr>
            <w:r>
              <w:rPr>
                <w:rFonts w:ascii="Arial" w:cs="Arial" w:eastAsia="Arial" w:hAnsi="Arial"/>
                <w:sz w:val="18"/>
                <w:szCs w:val="18"/>
                <w:color w:val="auto"/>
              </w:rPr>
              <w:t>Administrator</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3.2</w:t>
            </w:r>
          </w:p>
        </w:tc>
        <w:tc>
          <w:tcPr>
            <w:tcW w:w="7220" w:type="dxa"/>
            <w:vAlign w:val="bottom"/>
          </w:tcPr>
          <w:p>
            <w:pPr>
              <w:ind w:left="660"/>
              <w:spacing w:after="0"/>
              <w:rPr>
                <w:sz w:val="20"/>
                <w:szCs w:val="20"/>
                <w:color w:val="auto"/>
              </w:rPr>
            </w:pPr>
            <w:r>
              <w:rPr>
                <w:rFonts w:ascii="Arial" w:cs="Arial" w:eastAsia="Arial" w:hAnsi="Arial"/>
                <w:sz w:val="18"/>
                <w:szCs w:val="18"/>
                <w:color w:val="auto"/>
              </w:rPr>
              <w:t>Duties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3.3</w:t>
            </w:r>
          </w:p>
        </w:tc>
        <w:tc>
          <w:tcPr>
            <w:tcW w:w="7220" w:type="dxa"/>
            <w:vAlign w:val="bottom"/>
          </w:tcPr>
          <w:p>
            <w:pPr>
              <w:ind w:left="660"/>
              <w:spacing w:after="0"/>
              <w:rPr>
                <w:sz w:val="20"/>
                <w:szCs w:val="20"/>
                <w:color w:val="auto"/>
              </w:rPr>
            </w:pPr>
            <w:r>
              <w:rPr>
                <w:rFonts w:ascii="Arial" w:cs="Arial" w:eastAsia="Arial" w:hAnsi="Arial"/>
                <w:sz w:val="18"/>
                <w:szCs w:val="18"/>
                <w:color w:val="auto"/>
              </w:rPr>
              <w:t>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3.4</w:t>
            </w:r>
          </w:p>
        </w:tc>
        <w:tc>
          <w:tcPr>
            <w:tcW w:w="7220" w:type="dxa"/>
            <w:vAlign w:val="bottom"/>
          </w:tcPr>
          <w:p>
            <w:pPr>
              <w:ind w:left="660"/>
              <w:spacing w:after="0"/>
              <w:rPr>
                <w:sz w:val="20"/>
                <w:szCs w:val="20"/>
                <w:color w:val="auto"/>
              </w:rPr>
            </w:pPr>
            <w:r>
              <w:rPr>
                <w:rFonts w:ascii="Arial" w:cs="Arial" w:eastAsia="Arial" w:hAnsi="Arial"/>
                <w:sz w:val="18"/>
                <w:szCs w:val="18"/>
                <w:color w:val="auto"/>
              </w:rPr>
              <w:t>Binding Effect of Decisions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3.5</w:t>
            </w:r>
          </w:p>
        </w:tc>
        <w:tc>
          <w:tcPr>
            <w:tcW w:w="7220" w:type="dxa"/>
            <w:vAlign w:val="bottom"/>
          </w:tcPr>
          <w:p>
            <w:pPr>
              <w:ind w:left="660"/>
              <w:spacing w:after="0"/>
              <w:rPr>
                <w:sz w:val="20"/>
                <w:szCs w:val="20"/>
                <w:color w:val="auto"/>
              </w:rPr>
            </w:pPr>
            <w:r>
              <w:rPr>
                <w:rFonts w:ascii="Arial" w:cs="Arial" w:eastAsia="Arial" w:hAnsi="Arial"/>
                <w:sz w:val="18"/>
                <w:szCs w:val="18"/>
                <w:color w:val="auto"/>
              </w:rPr>
              <w:t>Employer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Participation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4.1</w:t>
            </w:r>
          </w:p>
        </w:tc>
        <w:tc>
          <w:tcPr>
            <w:tcW w:w="7220" w:type="dxa"/>
            <w:vAlign w:val="bottom"/>
          </w:tcPr>
          <w:p>
            <w:pPr>
              <w:ind w:left="660"/>
              <w:spacing w:after="0"/>
              <w:rPr>
                <w:sz w:val="20"/>
                <w:szCs w:val="20"/>
                <w:color w:val="auto"/>
              </w:rPr>
            </w:pPr>
            <w:r>
              <w:rPr>
                <w:rFonts w:ascii="Arial" w:cs="Arial" w:eastAsia="Arial" w:hAnsi="Arial"/>
                <w:sz w:val="18"/>
                <w:szCs w:val="18"/>
                <w:color w:val="auto"/>
              </w:rPr>
              <w:t>Eligibility and Commencement of Participation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4.2</w:t>
            </w:r>
          </w:p>
        </w:tc>
        <w:tc>
          <w:tcPr>
            <w:tcW w:w="7220" w:type="dxa"/>
            <w:vAlign w:val="bottom"/>
          </w:tcPr>
          <w:p>
            <w:pPr>
              <w:ind w:left="660"/>
              <w:spacing w:after="0"/>
              <w:rPr>
                <w:sz w:val="20"/>
                <w:szCs w:val="20"/>
                <w:color w:val="auto"/>
              </w:rPr>
            </w:pPr>
            <w:r>
              <w:rPr>
                <w:rFonts w:ascii="Arial" w:cs="Arial" w:eastAsia="Arial" w:hAnsi="Arial"/>
                <w:sz w:val="18"/>
                <w:szCs w:val="18"/>
                <w:color w:val="auto"/>
              </w:rPr>
              <w:t>Special Rule for Initial Participation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4.3</w:t>
            </w:r>
          </w:p>
        </w:tc>
        <w:tc>
          <w:tcPr>
            <w:tcW w:w="7220" w:type="dxa"/>
            <w:vAlign w:val="bottom"/>
          </w:tcPr>
          <w:p>
            <w:pPr>
              <w:ind w:left="660"/>
              <w:spacing w:after="0"/>
              <w:rPr>
                <w:sz w:val="20"/>
                <w:szCs w:val="20"/>
                <w:color w:val="auto"/>
              </w:rPr>
            </w:pPr>
            <w:r>
              <w:rPr>
                <w:rFonts w:ascii="Arial" w:cs="Arial" w:eastAsia="Arial" w:hAnsi="Arial"/>
                <w:sz w:val="18"/>
                <w:szCs w:val="18"/>
                <w:color w:val="auto"/>
              </w:rPr>
              <w:t>Termination of Participation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Annual Make-Up Award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5.1</w:t>
            </w:r>
          </w:p>
        </w:tc>
        <w:tc>
          <w:tcPr>
            <w:tcW w:w="7220" w:type="dxa"/>
            <w:vAlign w:val="bottom"/>
          </w:tcPr>
          <w:p>
            <w:pPr>
              <w:ind w:left="660"/>
              <w:spacing w:after="0"/>
              <w:rPr>
                <w:sz w:val="20"/>
                <w:szCs w:val="20"/>
                <w:color w:val="auto"/>
              </w:rPr>
            </w:pPr>
            <w:r>
              <w:rPr>
                <w:rFonts w:ascii="Arial" w:cs="Arial" w:eastAsia="Arial" w:hAnsi="Arial"/>
                <w:sz w:val="18"/>
                <w:szCs w:val="18"/>
                <w:color w:val="auto"/>
              </w:rPr>
              <w:t>Eligibility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5.2</w:t>
            </w:r>
          </w:p>
        </w:tc>
        <w:tc>
          <w:tcPr>
            <w:tcW w:w="7220" w:type="dxa"/>
            <w:vAlign w:val="bottom"/>
          </w:tcPr>
          <w:p>
            <w:pPr>
              <w:ind w:left="660"/>
              <w:spacing w:after="0"/>
              <w:rPr>
                <w:sz w:val="20"/>
                <w:szCs w:val="20"/>
                <w:color w:val="auto"/>
              </w:rPr>
            </w:pPr>
            <w:r>
              <w:rPr>
                <w:rFonts w:ascii="Arial" w:cs="Arial" w:eastAsia="Arial" w:hAnsi="Arial"/>
                <w:sz w:val="18"/>
                <w:szCs w:val="18"/>
                <w:color w:val="auto"/>
              </w:rPr>
              <w:t>Amount of Annual Make-Up Award</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5.3</w:t>
            </w:r>
          </w:p>
        </w:tc>
        <w:tc>
          <w:tcPr>
            <w:tcW w:w="7220" w:type="dxa"/>
            <w:vAlign w:val="bottom"/>
          </w:tcPr>
          <w:p>
            <w:pPr>
              <w:ind w:left="660"/>
              <w:spacing w:after="0"/>
              <w:rPr>
                <w:sz w:val="20"/>
                <w:szCs w:val="20"/>
                <w:color w:val="auto"/>
              </w:rPr>
            </w:pPr>
            <w:r>
              <w:rPr>
                <w:rFonts w:ascii="Arial" w:cs="Arial" w:eastAsia="Arial" w:hAnsi="Arial"/>
                <w:sz w:val="18"/>
                <w:szCs w:val="18"/>
                <w:color w:val="auto"/>
              </w:rPr>
              <w:t>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5.4</w:t>
            </w:r>
          </w:p>
        </w:tc>
        <w:tc>
          <w:tcPr>
            <w:tcW w:w="7220" w:type="dxa"/>
            <w:vAlign w:val="bottom"/>
          </w:tcPr>
          <w:p>
            <w:pPr>
              <w:ind w:left="660"/>
              <w:spacing w:after="0"/>
              <w:rPr>
                <w:sz w:val="20"/>
                <w:szCs w:val="20"/>
                <w:color w:val="auto"/>
              </w:rPr>
            </w:pPr>
            <w:r>
              <w:rPr>
                <w:rFonts w:ascii="Arial" w:cs="Arial" w:eastAsia="Arial" w:hAnsi="Arial"/>
                <w:sz w:val="18"/>
                <w:szCs w:val="18"/>
                <w:color w:val="auto"/>
              </w:rPr>
              <w:t>Forfeiture of Annual make-Up Award</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SERP II Account Balance Plan for Employees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6.1</w:t>
            </w:r>
          </w:p>
        </w:tc>
        <w:tc>
          <w:tcPr>
            <w:tcW w:w="7220" w:type="dxa"/>
            <w:vAlign w:val="bottom"/>
          </w:tcPr>
          <w:p>
            <w:pPr>
              <w:ind w:left="660"/>
              <w:spacing w:after="0"/>
              <w:rPr>
                <w:sz w:val="20"/>
                <w:szCs w:val="20"/>
                <w:color w:val="auto"/>
              </w:rPr>
            </w:pPr>
            <w:r>
              <w:rPr>
                <w:rFonts w:ascii="Arial" w:cs="Arial" w:eastAsia="Arial" w:hAnsi="Arial"/>
                <w:sz w:val="18"/>
                <w:szCs w:val="18"/>
                <w:color w:val="auto"/>
              </w:rPr>
              <w:t>Elective Deferrals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6.2</w:t>
            </w:r>
          </w:p>
        </w:tc>
        <w:tc>
          <w:tcPr>
            <w:tcW w:w="7220" w:type="dxa"/>
            <w:vAlign w:val="bottom"/>
          </w:tcPr>
          <w:p>
            <w:pPr>
              <w:ind w:left="660"/>
              <w:spacing w:after="0"/>
              <w:rPr>
                <w:sz w:val="20"/>
                <w:szCs w:val="20"/>
                <w:color w:val="auto"/>
              </w:rPr>
            </w:pPr>
            <w:r>
              <w:rPr>
                <w:rFonts w:ascii="Arial" w:cs="Arial" w:eastAsia="Arial" w:hAnsi="Arial"/>
                <w:sz w:val="18"/>
                <w:szCs w:val="18"/>
                <w:color w:val="auto"/>
              </w:rPr>
              <w:t>Non-Elective Deferrals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6.3</w:t>
            </w:r>
          </w:p>
        </w:tc>
        <w:tc>
          <w:tcPr>
            <w:tcW w:w="7220" w:type="dxa"/>
            <w:vAlign w:val="bottom"/>
          </w:tcPr>
          <w:p>
            <w:pPr>
              <w:ind w:left="660"/>
              <w:spacing w:after="0"/>
              <w:rPr>
                <w:sz w:val="20"/>
                <w:szCs w:val="20"/>
                <w:color w:val="auto"/>
              </w:rPr>
            </w:pPr>
            <w:r>
              <w:rPr>
                <w:rFonts w:ascii="Arial" w:cs="Arial" w:eastAsia="Arial" w:hAnsi="Arial"/>
                <w:sz w:val="18"/>
                <w:szCs w:val="18"/>
                <w:color w:val="auto"/>
              </w:rPr>
              <w:t>FICA and Other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6.4</w:t>
            </w:r>
          </w:p>
        </w:tc>
        <w:tc>
          <w:tcPr>
            <w:tcW w:w="722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6.5</w:t>
            </w:r>
          </w:p>
        </w:tc>
        <w:tc>
          <w:tcPr>
            <w:tcW w:w="7220" w:type="dxa"/>
            <w:vAlign w:val="bottom"/>
          </w:tcPr>
          <w:p>
            <w:pPr>
              <w:ind w:left="660"/>
              <w:spacing w:after="0"/>
              <w:rPr>
                <w:sz w:val="20"/>
                <w:szCs w:val="20"/>
                <w:color w:val="auto"/>
              </w:rPr>
            </w:pPr>
            <w:r>
              <w:rPr>
                <w:rFonts w:ascii="Arial" w:cs="Arial" w:eastAsia="Arial" w:hAnsi="Arial"/>
                <w:sz w:val="18"/>
                <w:szCs w:val="18"/>
                <w:color w:val="auto"/>
              </w:rPr>
              <w:t>Additional Distribution Rules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6.6</w:t>
            </w:r>
          </w:p>
        </w:tc>
        <w:tc>
          <w:tcPr>
            <w:tcW w:w="7220" w:type="dxa"/>
            <w:vAlign w:val="bottom"/>
          </w:tcPr>
          <w:p>
            <w:pPr>
              <w:ind w:left="660"/>
              <w:spacing w:after="0"/>
              <w:rPr>
                <w:sz w:val="20"/>
                <w:szCs w:val="20"/>
                <w:color w:val="auto"/>
              </w:rPr>
            </w:pPr>
            <w:r>
              <w:rPr>
                <w:rFonts w:ascii="Arial" w:cs="Arial" w:eastAsia="Arial" w:hAnsi="Arial"/>
                <w:sz w:val="18"/>
                <w:szCs w:val="18"/>
                <w:color w:val="auto"/>
              </w:rPr>
              <w:t>Subsequent Changes in Time and Form of Distributions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Accounts and Investments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7.1</w:t>
            </w:r>
          </w:p>
        </w:tc>
        <w:tc>
          <w:tcPr>
            <w:tcW w:w="7220" w:type="dxa"/>
            <w:vAlign w:val="bottom"/>
          </w:tcPr>
          <w:p>
            <w:pPr>
              <w:ind w:left="660"/>
              <w:spacing w:after="0"/>
              <w:rPr>
                <w:sz w:val="20"/>
                <w:szCs w:val="20"/>
                <w:color w:val="auto"/>
              </w:rPr>
            </w:pPr>
            <w:r>
              <w:rPr>
                <w:rFonts w:ascii="Arial" w:cs="Arial" w:eastAsia="Arial" w:hAnsi="Arial"/>
                <w:sz w:val="18"/>
                <w:szCs w:val="18"/>
                <w:color w:val="auto"/>
              </w:rPr>
              <w:t>Establishment of Accounts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7.2</w:t>
            </w:r>
          </w:p>
        </w:tc>
        <w:tc>
          <w:tcPr>
            <w:tcW w:w="7220" w:type="dxa"/>
            <w:vAlign w:val="bottom"/>
          </w:tcPr>
          <w:p>
            <w:pPr>
              <w:ind w:left="660"/>
              <w:spacing w:after="0"/>
              <w:rPr>
                <w:sz w:val="20"/>
                <w:szCs w:val="20"/>
                <w:color w:val="auto"/>
              </w:rPr>
            </w:pPr>
            <w:r>
              <w:rPr>
                <w:rFonts w:ascii="Arial" w:cs="Arial" w:eastAsia="Arial" w:hAnsi="Arial"/>
                <w:sz w:val="18"/>
                <w:szCs w:val="18"/>
                <w:color w:val="auto"/>
              </w:rPr>
              <w:t>Timing of Credits to Accounts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7.3</w:t>
            </w:r>
          </w:p>
        </w:tc>
        <w:tc>
          <w:tcPr>
            <w:tcW w:w="7220" w:type="dxa"/>
            <w:vAlign w:val="bottom"/>
          </w:tcPr>
          <w:p>
            <w:pPr>
              <w:ind w:left="660"/>
              <w:spacing w:after="0"/>
              <w:rPr>
                <w:sz w:val="20"/>
                <w:szCs w:val="20"/>
                <w:color w:val="auto"/>
              </w:rPr>
            </w:pPr>
            <w:r>
              <w:rPr>
                <w:rFonts w:ascii="Arial" w:cs="Arial" w:eastAsia="Arial" w:hAnsi="Arial"/>
                <w:sz w:val="18"/>
                <w:szCs w:val="18"/>
                <w:color w:val="auto"/>
              </w:rPr>
              <w:t>Vesting</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7.4</w:t>
            </w:r>
          </w:p>
        </w:tc>
        <w:tc>
          <w:tcPr>
            <w:tcW w:w="7220" w:type="dxa"/>
            <w:vAlign w:val="bottom"/>
          </w:tcPr>
          <w:p>
            <w:pPr>
              <w:ind w:left="660"/>
              <w:spacing w:after="0"/>
              <w:rPr>
                <w:sz w:val="20"/>
                <w:szCs w:val="20"/>
                <w:color w:val="auto"/>
              </w:rPr>
            </w:pPr>
            <w:r>
              <w:rPr>
                <w:rFonts w:ascii="Arial" w:cs="Arial" w:eastAsia="Arial" w:hAnsi="Arial"/>
                <w:sz w:val="18"/>
                <w:szCs w:val="18"/>
                <w:color w:val="auto"/>
              </w:rPr>
              <w:t>Investments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7.5</w:t>
            </w:r>
          </w:p>
        </w:tc>
        <w:tc>
          <w:tcPr>
            <w:tcW w:w="7220" w:type="dxa"/>
            <w:vAlign w:val="bottom"/>
          </w:tcPr>
          <w:p>
            <w:pPr>
              <w:ind w:left="660"/>
              <w:spacing w:after="0"/>
              <w:rPr>
                <w:sz w:val="20"/>
                <w:szCs w:val="20"/>
                <w:color w:val="auto"/>
              </w:rPr>
            </w:pPr>
            <w:r>
              <w:rPr>
                <w:rFonts w:ascii="Arial" w:cs="Arial" w:eastAsia="Arial" w:hAnsi="Arial"/>
                <w:sz w:val="18"/>
                <w:szCs w:val="18"/>
                <w:color w:val="auto"/>
              </w:rPr>
              <w:t>Valuation Date</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8"/>
        </w:trPr>
        <w:tc>
          <w:tcPr>
            <w:tcW w:w="222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SERP II Retirement Benefit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66"/>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8.1</w:t>
            </w:r>
          </w:p>
        </w:tc>
        <w:tc>
          <w:tcPr>
            <w:tcW w:w="7220" w:type="dxa"/>
            <w:vAlign w:val="bottom"/>
          </w:tcPr>
          <w:p>
            <w:pPr>
              <w:ind w:left="660"/>
              <w:spacing w:after="0"/>
              <w:rPr>
                <w:sz w:val="20"/>
                <w:szCs w:val="20"/>
                <w:color w:val="auto"/>
              </w:rPr>
            </w:pPr>
            <w:r>
              <w:rPr>
                <w:rFonts w:ascii="Arial" w:cs="Arial" w:eastAsia="Arial" w:hAnsi="Arial"/>
                <w:sz w:val="18"/>
                <w:szCs w:val="18"/>
                <w:color w:val="auto"/>
              </w:rPr>
              <w:t>Eligibility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8.2</w:t>
            </w:r>
          </w:p>
        </w:tc>
        <w:tc>
          <w:tcPr>
            <w:tcW w:w="7220" w:type="dxa"/>
            <w:vAlign w:val="bottom"/>
          </w:tcPr>
          <w:p>
            <w:pPr>
              <w:ind w:left="660"/>
              <w:spacing w:after="0"/>
              <w:rPr>
                <w:sz w:val="20"/>
                <w:szCs w:val="20"/>
                <w:color w:val="auto"/>
              </w:rPr>
            </w:pPr>
            <w:r>
              <w:rPr>
                <w:rFonts w:ascii="Arial" w:cs="Arial" w:eastAsia="Arial" w:hAnsi="Arial"/>
                <w:sz w:val="18"/>
                <w:szCs w:val="18"/>
                <w:color w:val="auto"/>
              </w:rPr>
              <w:t>Vesting and Forfeiture</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8.3</w:t>
            </w:r>
          </w:p>
        </w:tc>
        <w:tc>
          <w:tcPr>
            <w:tcW w:w="7220" w:type="dxa"/>
            <w:vAlign w:val="bottom"/>
          </w:tcPr>
          <w:p>
            <w:pPr>
              <w:ind w:left="660"/>
              <w:spacing w:after="0"/>
              <w:rPr>
                <w:sz w:val="20"/>
                <w:szCs w:val="20"/>
                <w:color w:val="auto"/>
              </w:rPr>
            </w:pPr>
            <w:r>
              <w:rPr>
                <w:rFonts w:ascii="Arial" w:cs="Arial" w:eastAsia="Arial" w:hAnsi="Arial"/>
                <w:sz w:val="18"/>
                <w:szCs w:val="18"/>
                <w:color w:val="auto"/>
              </w:rPr>
              <w:t>Retirement Benefit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8.4</w:t>
            </w:r>
          </w:p>
        </w:tc>
        <w:tc>
          <w:tcPr>
            <w:tcW w:w="7220" w:type="dxa"/>
            <w:vAlign w:val="bottom"/>
          </w:tcPr>
          <w:p>
            <w:pPr>
              <w:ind w:left="660"/>
              <w:spacing w:after="0"/>
              <w:rPr>
                <w:sz w:val="20"/>
                <w:szCs w:val="20"/>
                <w:color w:val="auto"/>
              </w:rPr>
            </w:pPr>
            <w:r>
              <w:rPr>
                <w:rFonts w:ascii="Arial" w:cs="Arial" w:eastAsia="Arial" w:hAnsi="Arial"/>
                <w:sz w:val="18"/>
                <w:szCs w:val="18"/>
                <w:color w:val="auto"/>
              </w:rPr>
              <w:t>Forfeiture of Vested Retirement Benefit for Misconduct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8.5</w:t>
            </w:r>
          </w:p>
        </w:tc>
        <w:tc>
          <w:tcPr>
            <w:tcW w:w="7220" w:type="dxa"/>
            <w:vAlign w:val="bottom"/>
          </w:tcPr>
          <w:p>
            <w:pPr>
              <w:ind w:left="660"/>
              <w:spacing w:after="0"/>
              <w:rPr>
                <w:sz w:val="20"/>
                <w:szCs w:val="20"/>
                <w:color w:val="auto"/>
              </w:rPr>
            </w:pPr>
            <w:r>
              <w:rPr>
                <w:rFonts w:ascii="Arial" w:cs="Arial" w:eastAsia="Arial" w:hAnsi="Arial"/>
                <w:sz w:val="18"/>
                <w:szCs w:val="18"/>
                <w:color w:val="auto"/>
              </w:rPr>
              <w:t>Time and Form of Distributions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8.6</w:t>
            </w:r>
          </w:p>
        </w:tc>
        <w:tc>
          <w:tcPr>
            <w:tcW w:w="7220" w:type="dxa"/>
            <w:vAlign w:val="bottom"/>
          </w:tcPr>
          <w:p>
            <w:pPr>
              <w:ind w:left="660"/>
              <w:spacing w:after="0"/>
              <w:rPr>
                <w:sz w:val="20"/>
                <w:szCs w:val="20"/>
                <w:color w:val="auto"/>
              </w:rPr>
            </w:pPr>
            <w:r>
              <w:rPr>
                <w:rFonts w:ascii="Arial" w:cs="Arial" w:eastAsia="Arial" w:hAnsi="Arial"/>
                <w:sz w:val="18"/>
                <w:szCs w:val="18"/>
                <w:color w:val="auto"/>
              </w:rPr>
              <w:t>Additional Distribution Rules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8.7</w:t>
            </w:r>
          </w:p>
        </w:tc>
        <w:tc>
          <w:tcPr>
            <w:tcW w:w="7220" w:type="dxa"/>
            <w:vAlign w:val="bottom"/>
          </w:tcPr>
          <w:p>
            <w:pPr>
              <w:ind w:left="660"/>
              <w:spacing w:after="0"/>
              <w:rPr>
                <w:sz w:val="20"/>
                <w:szCs w:val="20"/>
                <w:color w:val="auto"/>
              </w:rPr>
            </w:pPr>
            <w:r>
              <w:rPr>
                <w:rFonts w:ascii="Arial" w:cs="Arial" w:eastAsia="Arial" w:hAnsi="Arial"/>
                <w:sz w:val="18"/>
                <w:szCs w:val="18"/>
                <w:color w:val="auto"/>
              </w:rPr>
              <w:t>Subsequent Changes in Time and Form of 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220" w:type="dxa"/>
            <w:vAlign w:val="bottom"/>
          </w:tcPr>
          <w:p>
            <w:pPr>
              <w:ind w:left="1360"/>
              <w:spacing w:after="0"/>
              <w:rPr>
                <w:sz w:val="20"/>
                <w:szCs w:val="20"/>
                <w:color w:val="auto"/>
              </w:rPr>
            </w:pPr>
            <w:r>
              <w:rPr>
                <w:rFonts w:ascii="Arial" w:cs="Arial" w:eastAsia="Arial" w:hAnsi="Arial"/>
                <w:sz w:val="18"/>
                <w:szCs w:val="18"/>
                <w:color w:val="auto"/>
                <w:w w:val="93"/>
              </w:rPr>
              <w:t>Section 8.8</w:t>
            </w:r>
          </w:p>
        </w:tc>
        <w:tc>
          <w:tcPr>
            <w:tcW w:w="7220" w:type="dxa"/>
            <w:vAlign w:val="bottom"/>
          </w:tcPr>
          <w:p>
            <w:pPr>
              <w:ind w:left="660"/>
              <w:spacing w:after="0"/>
              <w:rPr>
                <w:sz w:val="20"/>
                <w:szCs w:val="20"/>
                <w:color w:val="auto"/>
              </w:rPr>
            </w:pPr>
            <w:r>
              <w:rPr>
                <w:rFonts w:ascii="Arial" w:cs="Arial" w:eastAsia="Arial" w:hAnsi="Arial"/>
                <w:sz w:val="18"/>
                <w:szCs w:val="18"/>
                <w:color w:val="auto"/>
              </w:rPr>
              <w:t>FICA and Other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600"/>
          </w:cols>
          <w:pgMar w:left="620" w:top="121" w:right="679"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40" w:type="dxa"/>
            <w:vAlign w:val="bottom"/>
          </w:tcPr>
          <w:p>
            <w:pPr>
              <w:jc w:val="right"/>
              <w:ind w:right="2030"/>
              <w:spacing w:after="0"/>
              <w:rPr>
                <w:sz w:val="20"/>
                <w:szCs w:val="20"/>
                <w:color w:val="auto"/>
              </w:rPr>
            </w:pPr>
            <w:r>
              <w:rPr>
                <w:rFonts w:ascii="Arial" w:cs="Arial" w:eastAsia="Arial" w:hAnsi="Arial"/>
                <w:sz w:val="18"/>
                <w:szCs w:val="18"/>
                <w:b w:val="1"/>
                <w:bCs w:val="1"/>
                <w:color w:val="auto"/>
              </w:rPr>
              <w:t>Exhibit 10(f)4</w:t>
            </w:r>
          </w:p>
        </w:tc>
      </w:tr>
      <w:tr>
        <w:trPr>
          <w:trHeight w:val="855"/>
        </w:trPr>
        <w:tc>
          <w:tcPr>
            <w:tcW w:w="226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Payment Acceleration and Delay</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66"/>
        </w:trPr>
        <w:tc>
          <w:tcPr>
            <w:tcW w:w="2260" w:type="dxa"/>
            <w:vAlign w:val="bottom"/>
          </w:tcPr>
          <w:p>
            <w:pPr>
              <w:ind w:left="1360"/>
              <w:spacing w:after="0"/>
              <w:rPr>
                <w:sz w:val="20"/>
                <w:szCs w:val="20"/>
                <w:color w:val="auto"/>
              </w:rPr>
            </w:pPr>
            <w:r>
              <w:rPr>
                <w:rFonts w:ascii="Arial" w:cs="Arial" w:eastAsia="Arial" w:hAnsi="Arial"/>
                <w:sz w:val="18"/>
                <w:szCs w:val="18"/>
                <w:color w:val="auto"/>
                <w:w w:val="97"/>
              </w:rPr>
              <w:t>Section 9.1</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Permitted Accelerations</w:t>
            </w:r>
          </w:p>
        </w:tc>
        <w:tc>
          <w:tcPr>
            <w:tcW w:w="4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97"/>
              </w:rPr>
              <w:t>Section 9.2</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Permissible Payment Delays</w:t>
            </w:r>
          </w:p>
        </w:tc>
        <w:tc>
          <w:tcPr>
            <w:tcW w:w="4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97"/>
              </w:rPr>
              <w:t>Section 9.3</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Suspension Not Allowed</w:t>
            </w:r>
          </w:p>
        </w:tc>
        <w:tc>
          <w:tcPr>
            <w:tcW w:w="4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8"/>
        </w:trPr>
        <w:tc>
          <w:tcPr>
            <w:tcW w:w="226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Beneficiary Designation</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66"/>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10.1</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Beneficiary</w:t>
            </w:r>
          </w:p>
        </w:tc>
        <w:tc>
          <w:tcPr>
            <w:tcW w:w="4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10.2</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No Beneficiary Designation</w:t>
            </w:r>
          </w:p>
        </w:tc>
        <w:tc>
          <w:tcPr>
            <w:tcW w:w="4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2260" w:type="dxa"/>
            <w:vAlign w:val="bottom"/>
          </w:tcPr>
          <w:p>
            <w:pPr>
              <w:spacing w:after="0"/>
              <w:rPr>
                <w:sz w:val="20"/>
                <w:szCs w:val="20"/>
                <w:color w:val="auto"/>
              </w:rPr>
            </w:pPr>
            <w:r>
              <w:rPr>
                <w:rFonts w:ascii="Arial" w:cs="Arial" w:eastAsia="Arial" w:hAnsi="Arial"/>
                <w:sz w:val="20"/>
                <w:szCs w:val="20"/>
                <w:b w:val="1"/>
                <w:bCs w:val="1"/>
                <w:color w:val="auto"/>
              </w:rPr>
              <w:t>Article 11.</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Claims Procedures</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66"/>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11.1</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Presentation of Claim</w:t>
            </w:r>
          </w:p>
        </w:tc>
        <w:tc>
          <w:tcPr>
            <w:tcW w:w="4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11.2</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Notification of Decision</w:t>
            </w:r>
          </w:p>
        </w:tc>
        <w:tc>
          <w:tcPr>
            <w:tcW w:w="4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11.3</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Review of a Denied Claim</w:t>
            </w:r>
          </w:p>
        </w:tc>
        <w:tc>
          <w:tcPr>
            <w:tcW w:w="4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11.4</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Decision on Review</w:t>
            </w:r>
          </w:p>
        </w:tc>
        <w:tc>
          <w:tcPr>
            <w:tcW w:w="4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11.5</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Other Remedies</w:t>
            </w:r>
          </w:p>
        </w:tc>
        <w:tc>
          <w:tcPr>
            <w:tcW w:w="4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2260" w:type="dxa"/>
            <w:vAlign w:val="bottom"/>
          </w:tcPr>
          <w:p>
            <w:pPr>
              <w:spacing w:after="0"/>
              <w:rPr>
                <w:sz w:val="20"/>
                <w:szCs w:val="20"/>
                <w:color w:val="auto"/>
              </w:rPr>
            </w:pPr>
            <w:r>
              <w:rPr>
                <w:rFonts w:ascii="Arial" w:cs="Arial" w:eastAsia="Arial" w:hAnsi="Arial"/>
                <w:sz w:val="20"/>
                <w:szCs w:val="20"/>
                <w:b w:val="1"/>
                <w:bCs w:val="1"/>
                <w:color w:val="auto"/>
              </w:rPr>
              <w:t>Article 12.</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Amendment of Termination</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84"/>
        </w:trPr>
        <w:tc>
          <w:tcPr>
            <w:tcW w:w="2260" w:type="dxa"/>
            <w:vAlign w:val="bottom"/>
          </w:tcPr>
          <w:p>
            <w:pPr>
              <w:spacing w:after="0"/>
              <w:rPr>
                <w:sz w:val="20"/>
                <w:szCs w:val="20"/>
                <w:color w:val="auto"/>
              </w:rPr>
            </w:pPr>
            <w:r>
              <w:rPr>
                <w:rFonts w:ascii="Arial" w:cs="Arial" w:eastAsia="Arial" w:hAnsi="Arial"/>
                <w:sz w:val="20"/>
                <w:szCs w:val="20"/>
                <w:b w:val="1"/>
                <w:bCs w:val="1"/>
                <w:color w:val="auto"/>
              </w:rPr>
              <w:t>Article 13.</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Miscellaneous Provisions</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66"/>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13.1</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Unsecured General Creditor</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13.2</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Employer's Liability</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13.3</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Nonassignability</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13.4</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No Right to Employment</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13.5</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Incompetency</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13.6</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Tax Withholding</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13.7</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Furnishing Information</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13.8</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Notice</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260" w:type="dxa"/>
            <w:vAlign w:val="bottom"/>
          </w:tcPr>
          <w:p>
            <w:pPr>
              <w:ind w:left="1360"/>
              <w:spacing w:after="0"/>
              <w:rPr>
                <w:sz w:val="20"/>
                <w:szCs w:val="20"/>
                <w:color w:val="auto"/>
              </w:rPr>
            </w:pPr>
            <w:r>
              <w:rPr>
                <w:rFonts w:ascii="Arial" w:cs="Arial" w:eastAsia="Arial" w:hAnsi="Arial"/>
                <w:sz w:val="18"/>
                <w:szCs w:val="18"/>
                <w:color w:val="auto"/>
                <w:w w:val="87"/>
              </w:rPr>
              <w:t>Section 13.9</w:t>
            </w:r>
          </w:p>
        </w:tc>
        <w:tc>
          <w:tcPr>
            <w:tcW w:w="360" w:type="dxa"/>
            <w:vAlign w:val="bottom"/>
          </w:tcPr>
          <w:p>
            <w:pPr>
              <w:spacing w:after="0"/>
              <w:rPr>
                <w:sz w:val="23"/>
                <w:szCs w:val="23"/>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Gender and Number</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620" w:type="dxa"/>
            <w:vAlign w:val="bottom"/>
            <w:gridSpan w:val="2"/>
          </w:tcPr>
          <w:p>
            <w:pPr>
              <w:ind w:left="1360"/>
              <w:spacing w:after="0"/>
              <w:rPr>
                <w:sz w:val="20"/>
                <w:szCs w:val="20"/>
                <w:color w:val="auto"/>
              </w:rPr>
            </w:pPr>
            <w:r>
              <w:rPr>
                <w:rFonts w:ascii="Arial" w:cs="Arial" w:eastAsia="Arial" w:hAnsi="Arial"/>
                <w:sz w:val="18"/>
                <w:szCs w:val="18"/>
                <w:color w:val="auto"/>
              </w:rPr>
              <w:t>Section 13.10</w:t>
            </w:r>
          </w:p>
        </w:tc>
        <w:tc>
          <w:tcPr>
            <w:tcW w:w="3840" w:type="dxa"/>
            <w:vAlign w:val="bottom"/>
          </w:tcPr>
          <w:p>
            <w:pPr>
              <w:ind w:left="260"/>
              <w:spacing w:after="0"/>
              <w:rPr>
                <w:sz w:val="20"/>
                <w:szCs w:val="20"/>
                <w:color w:val="auto"/>
              </w:rPr>
            </w:pPr>
            <w:r>
              <w:rPr>
                <w:rFonts w:ascii="Arial" w:cs="Arial" w:eastAsia="Arial" w:hAnsi="Arial"/>
                <w:sz w:val="18"/>
                <w:szCs w:val="18"/>
                <w:color w:val="auto"/>
              </w:rPr>
              <w:t>Headings</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620" w:type="dxa"/>
            <w:vAlign w:val="bottom"/>
            <w:gridSpan w:val="2"/>
          </w:tcPr>
          <w:p>
            <w:pPr>
              <w:ind w:left="1360"/>
              <w:spacing w:after="0"/>
              <w:rPr>
                <w:sz w:val="20"/>
                <w:szCs w:val="20"/>
                <w:color w:val="auto"/>
              </w:rPr>
            </w:pPr>
            <w:r>
              <w:rPr>
                <w:rFonts w:ascii="Arial" w:cs="Arial" w:eastAsia="Arial" w:hAnsi="Arial"/>
                <w:sz w:val="18"/>
                <w:szCs w:val="18"/>
                <w:color w:val="auto"/>
              </w:rPr>
              <w:t>Section 13.11</w:t>
            </w:r>
          </w:p>
        </w:tc>
        <w:tc>
          <w:tcPr>
            <w:tcW w:w="3840" w:type="dxa"/>
            <w:vAlign w:val="bottom"/>
          </w:tcPr>
          <w:p>
            <w:pPr>
              <w:ind w:left="260"/>
              <w:spacing w:after="0"/>
              <w:rPr>
                <w:sz w:val="20"/>
                <w:szCs w:val="20"/>
                <w:color w:val="auto"/>
              </w:rPr>
            </w:pPr>
            <w:r>
              <w:rPr>
                <w:rFonts w:ascii="Arial" w:cs="Arial" w:eastAsia="Arial" w:hAnsi="Arial"/>
                <w:sz w:val="18"/>
                <w:szCs w:val="18"/>
                <w:color w:val="auto"/>
              </w:rPr>
              <w:t>Applicable Law and Construction</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620" w:type="dxa"/>
            <w:vAlign w:val="bottom"/>
            <w:gridSpan w:val="2"/>
          </w:tcPr>
          <w:p>
            <w:pPr>
              <w:ind w:left="1360"/>
              <w:spacing w:after="0"/>
              <w:rPr>
                <w:sz w:val="20"/>
                <w:szCs w:val="20"/>
                <w:color w:val="auto"/>
              </w:rPr>
            </w:pPr>
            <w:r>
              <w:rPr>
                <w:rFonts w:ascii="Arial" w:cs="Arial" w:eastAsia="Arial" w:hAnsi="Arial"/>
                <w:sz w:val="18"/>
                <w:szCs w:val="18"/>
                <w:color w:val="auto"/>
              </w:rPr>
              <w:t>Section 13.12</w:t>
            </w:r>
          </w:p>
        </w:tc>
        <w:tc>
          <w:tcPr>
            <w:tcW w:w="3840" w:type="dxa"/>
            <w:vAlign w:val="bottom"/>
          </w:tcPr>
          <w:p>
            <w:pPr>
              <w:ind w:left="260"/>
              <w:spacing w:after="0"/>
              <w:rPr>
                <w:sz w:val="20"/>
                <w:szCs w:val="20"/>
                <w:color w:val="auto"/>
              </w:rPr>
            </w:pPr>
            <w:r>
              <w:rPr>
                <w:rFonts w:ascii="Arial" w:cs="Arial" w:eastAsia="Arial" w:hAnsi="Arial"/>
                <w:sz w:val="18"/>
                <w:szCs w:val="18"/>
                <w:color w:val="auto"/>
              </w:rPr>
              <w:t>Invalid or Unenforceable Provisions</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620" w:type="dxa"/>
            <w:vAlign w:val="bottom"/>
            <w:gridSpan w:val="2"/>
          </w:tcPr>
          <w:p>
            <w:pPr>
              <w:ind w:left="1360"/>
              <w:spacing w:after="0"/>
              <w:rPr>
                <w:sz w:val="20"/>
                <w:szCs w:val="20"/>
                <w:color w:val="auto"/>
              </w:rPr>
            </w:pPr>
            <w:r>
              <w:rPr>
                <w:rFonts w:ascii="Arial" w:cs="Arial" w:eastAsia="Arial" w:hAnsi="Arial"/>
                <w:sz w:val="18"/>
                <w:szCs w:val="18"/>
                <w:color w:val="auto"/>
              </w:rPr>
              <w:t>Section 13.13</w:t>
            </w:r>
          </w:p>
        </w:tc>
        <w:tc>
          <w:tcPr>
            <w:tcW w:w="3840" w:type="dxa"/>
            <w:vAlign w:val="bottom"/>
          </w:tcPr>
          <w:p>
            <w:pPr>
              <w:ind w:left="260"/>
              <w:spacing w:after="0"/>
              <w:rPr>
                <w:sz w:val="20"/>
                <w:szCs w:val="20"/>
                <w:color w:val="auto"/>
              </w:rPr>
            </w:pPr>
            <w:r>
              <w:rPr>
                <w:rFonts w:ascii="Arial" w:cs="Arial" w:eastAsia="Arial" w:hAnsi="Arial"/>
                <w:sz w:val="18"/>
                <w:szCs w:val="18"/>
                <w:color w:val="auto"/>
              </w:rPr>
              <w:t>Successors</w:t>
            </w:r>
          </w:p>
        </w:tc>
        <w:tc>
          <w:tcPr>
            <w:tcW w:w="4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226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36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600"/>
          </w:cols>
          <w:pgMar w:left="620" w:top="121" w:right="679" w:bottom="1440" w:gutter="0" w:footer="0" w:header="0"/>
        </w:sectPr>
      </w:pPr>
    </w:p>
    <w:bookmarkStart w:id="240" w:name="page241"/>
    <w:bookmarkEnd w:id="240"/>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January 1,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Establishment, Purpose and Intent</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Establishment</w:t>
      </w:r>
      <w:r>
        <w:rPr>
          <w:rFonts w:ascii="Arial" w:cs="Arial" w:eastAsia="Arial" w:hAnsi="Arial"/>
          <w:sz w:val="22"/>
          <w:szCs w:val="22"/>
          <w:color w:val="auto"/>
        </w:rPr>
        <w:t>. This document includes the terms of the ALLETE and Affiliated Companies Supplemental Executive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Plan II. The purpose of SERP II is to provide eligible Employees an opportunity to elect to defer compensation. SERP II also provides eligible Employees a supplemental Retirement Benefit designed to compensate for annual compensation limits and maximum benefit limitations imposed by the Code on Retirement Plans maintained by the Company.</w:t>
      </w:r>
    </w:p>
    <w:p>
      <w:pPr>
        <w:spacing w:after="0" w:line="193"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The Company amended and restated SERP II in its entirety, effective January 1, 2009, to comply with Section 409A.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w:t>
      </w:r>
    </w:p>
    <w:p>
      <w:pPr>
        <w:spacing w:after="0" w:line="155"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Effective January 20, 2009, the Company amended SERP II to narrow the salary-grade eligibility requirements to receive an Annual Make-Up Award for employees who first became eligible to participate in SERP II after September 30, 2006.</w:t>
      </w:r>
    </w:p>
    <w:p>
      <w:pPr>
        <w:spacing w:after="0" w:line="105"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Effective January 1, 2011, the Company amended SERP II to incorporate any compensation recovery policy adopted by the Company and to provide that certain benefits may be subject to forfeiture for Misconduct.</w:t>
      </w:r>
    </w:p>
    <w:p>
      <w:pPr>
        <w:spacing w:after="0" w:line="175"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Effective January 1, 2015, the Company amended SERP II to reflect the reduction to the Flexible Dollar Makeup in connection with amendments to the ALLETE and Affiliated Companies Flexible Compensation Plan that eliminate the life insurance percentage (age-rated) flexible dollars benefit commencing with the Plan Year that begins on January 1, 2015.</w:t>
      </w:r>
    </w:p>
    <w:p>
      <w:pPr>
        <w:sectPr>
          <w:pgSz w:w="11900" w:h="16838" w:orient="portrait"/>
          <w:cols w:equalWidth="0" w:num="1">
            <w:col w:w="11420"/>
          </w:cols>
          <w:pgMar w:left="240" w:top="121" w:right="239" w:bottom="1440" w:gutter="0" w:footer="0" w:header="0"/>
        </w:sectPr>
      </w:pPr>
    </w:p>
    <w:bookmarkStart w:id="241" w:name="page242"/>
    <w:bookmarkEnd w:id="241"/>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Effective January 1, 2019, the Company hereby amends SERP II to and to narrow the salary-grade eligibility requirements to defer compensation, to reflect the discontinuation of additional non-elective 162(m) Deferrals beginning with the Plan Year that commences on January 1, 2019 , to freeze credited service as of December 31, 2018, for all Participants eligible for a SERP II Retirement Benefit, and to modify the amount of the Annual Make-up Award.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unless otherwise defined herein, shall have the meaning provided in Appendix A.</w:t>
      </w:r>
    </w:p>
    <w:p>
      <w:pPr>
        <w:spacing w:after="0" w:line="214"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u w:val="single" w:color="auto"/>
          <w:color w:val="auto"/>
        </w:rPr>
        <w:t>Compensation Recovery Policy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All amounts payable to Participants in accordance with this Plan are subject to, and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 hereby incorporates into this SERP II, the terms of any compensation recovery policy or policies established and amended by the Company from time to time (“Compensation Recovery Policy”).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Section 409A Plans and Organization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Section 409A Plans</w:t>
      </w:r>
      <w:r>
        <w:rPr>
          <w:rFonts w:ascii="Arial" w:cs="Arial" w:eastAsia="Arial" w:hAnsi="Arial"/>
          <w:sz w:val="19"/>
          <w:szCs w:val="19"/>
          <w:b w:val="1"/>
          <w:bCs w:val="1"/>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SERP II include terms and conditions applicable to the following 409A Plans: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An elective account balance plan for Employees for purposes of Elective Deferrals;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A non-elective account balance plan for Employees for purposes of Non-Elective Deferrals; and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A non-account balance plan for Employees.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u w:val="single" w:color="auto"/>
          <w:color w:val="auto"/>
        </w:rPr>
        <w:t>Organization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Except as otherwise provided in this section or in a specific section, all provisions of the Plan apply to all amounts deferred under any Article of the Plan.</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2.2.1</w:t>
        <w:tab/>
        <w:t>The provisions of Article 5 apply only for purposes of identifying employees eligible to receive an Annual Make-Up Award and the amount of the award, if any.</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2.2.2</w:t>
        <w:tab/>
        <w:t>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spacing w:after="0" w:line="18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2.2.3</w:t>
        <w:tab/>
        <w:t>The provisions of Article 8 apply only to the extent that SERP II provides for Retirement Benefits, which represent the non-account balance plan identified in subsection 2.1.3.</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u w:val="single" w:color="auto"/>
          <w:color w:val="auto"/>
        </w:rPr>
        <w:t>Section 409A Compliance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ectPr>
          <w:pgSz w:w="11900" w:h="16838" w:orient="portrait"/>
          <w:cols w:equalWidth="0" w:num="1">
            <w:col w:w="11420"/>
          </w:cols>
          <w:pgMar w:left="240" w:top="121" w:right="239" w:bottom="1440" w:gutter="0" w:footer="0" w:header="0"/>
        </w:sectPr>
      </w:pPr>
    </w:p>
    <w:bookmarkStart w:id="242" w:name="page243"/>
    <w:bookmarkEnd w:id="242"/>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Administrator</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Administrator shall administer the Plan or may delegate any of its duties to such other person or 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Duties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Administrator has the authority to construe and interpret all provisions of the Plan and, to the extent 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b w:val="1"/>
          <w:bCs w:val="1"/>
          <w:u w:val="single" w:color="auto"/>
          <w:color w:val="auto"/>
        </w:rPr>
        <w:t>Agents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u w:val="single" w:color="auto"/>
          <w:color w:val="auto"/>
        </w:rPr>
        <w:t>Employer Information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To enable the Administrator to perform its duties, each Employer shall supply full and timely 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sectPr>
          <w:pgSz w:w="11900" w:h="16838" w:orient="portrait"/>
          <w:cols w:equalWidth="0" w:num="1">
            <w:col w:w="11420"/>
          </w:cols>
          <w:pgMar w:left="240" w:top="121" w:right="239" w:bottom="1440" w:gutter="0" w:footer="0" w:header="0"/>
        </w:sectPr>
      </w:pPr>
    </w:p>
    <w:bookmarkStart w:id="243" w:name="page244"/>
    <w:bookmarkEnd w:id="243"/>
    <w:p>
      <w:pPr>
        <w:ind w:left="7780"/>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u w:val="single" w:color="auto"/>
          <w:color w:val="auto"/>
        </w:rPr>
        <w:t>Participation</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u w:val="single" w:color="auto"/>
          <w:color w:val="auto"/>
        </w:rPr>
        <w:t>Eligibility and Commencement of Participation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Eligible Employees may participate in the Plan, except to the extent provided in Section 8.1 regarding eligibility for Retirement Benefits. Each Plan Year, the Administrator shall notify Eligible Employees of their eligibility to participate in the Plan during the following Plan Year. An Eligible Employee shall become a Participant either upon the initial submission of an election form on which the Eligible Employee has elected Elective Deferrals or upon first receiving an allocation of Non-Elective Deferrals.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u w:val="single" w:color="auto"/>
          <w:color w:val="auto"/>
        </w:rPr>
        <w:t>Special Rule for Initial Participation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Within 30 days after the date an individual first becomes an Eligible Employee, 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 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u w:val="single" w:color="auto"/>
          <w:color w:val="auto"/>
        </w:rPr>
        <w:t>Termination of Participation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the Administrator determines in good faith that a Participant is no longer an Eligible 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Annual Make-Up Award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An Employee who: (i) was a Participant as of September 30, 2006, (ii) has continuously remained an 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w:t>
      </w:r>
    </w:p>
    <w:p>
      <w:pPr>
        <w:sectPr>
          <w:pgSz w:w="11900" w:h="16838" w:orient="portrait"/>
          <w:cols w:equalWidth="0" w:num="1">
            <w:col w:w="11420"/>
          </w:cols>
          <w:pgMar w:left="240" w:top="121" w:right="239" w:bottom="1440" w:gutter="0" w:footer="0" w:header="0"/>
        </w:sectPr>
      </w:pPr>
    </w:p>
    <w:bookmarkStart w:id="244" w:name="page245"/>
    <w:bookmarkEnd w:id="244"/>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u w:val="single" w:color="auto"/>
          <w:color w:val="auto"/>
        </w:rPr>
        <w:t>Amount of Annual Make-Up Award</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 xml:space="preserve">Commencing with the Plan Year that begins on January 1, 2019, the Annual Make-Up Award shall equal the product of 13% and an amount equal to the sum of: (a) the total of the Participant’s Annual Incentive Award and other awards (to the extent included in calculations for the Retirement Plans) for such year, and (b) the Participant’s Salary (determined as of October 1 of the prior Plan Year) in excess of the Code section 401(a)(17) limitation in effect for that Plan Year. </w:t>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w:t>
      </w:r>
    </w:p>
    <w:p>
      <w:pPr>
        <w:spacing w:after="0" w:line="143"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Except to the extent deferred in accordance with this Plan, the Annual Make-Up Award for any year shall be paid between January 1 and March 15 of the year following the year to which the award relates.</w:t>
      </w:r>
    </w:p>
    <w:p>
      <w:pPr>
        <w:spacing w:after="0" w:line="169" w:lineRule="exact"/>
        <w:rPr>
          <w:sz w:val="20"/>
          <w:szCs w:val="20"/>
          <w:color w:val="auto"/>
        </w:rPr>
      </w:pPr>
    </w:p>
    <w:p>
      <w:pPr>
        <w:jc w:val="both"/>
        <w:ind w:left="680" w:hanging="661"/>
        <w:spacing w:after="0" w:line="298" w:lineRule="auto"/>
        <w:tabs>
          <w:tab w:leader="none" w:pos="6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u w:val="single" w:color="auto"/>
          <w:color w:val="auto"/>
        </w:rPr>
        <w:t>Forfeiture of Annual Make-Up Award</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 other term or provision of this Article 5, if a Participant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engages in Misconduct, the Participant shall forfeit or repay, as necessary, any Annual Make-Up Award payable on account of the period during which the Misconduct occurred and any subsequent period. In addition, notwithstanding any other term or provison of this Article 5, if a Partipant has a Separation from Service that is not also a Retirement, the Participant shall forfeit any Annual Make-Up Award that has not yet been paid to the Participant.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SERP II Account Balance Plan for Employees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u w:val="single" w:color="auto"/>
          <w:color w:val="auto"/>
        </w:rPr>
        <w:t>Elective Deferrals</w:t>
      </w:r>
      <w:r>
        <w:rPr>
          <w:rFonts w:ascii="Arial" w:cs="Arial" w:eastAsia="Arial" w:hAnsi="Arial"/>
          <w:sz w:val="19"/>
          <w:szCs w:val="19"/>
          <w:b w:val="1"/>
          <w:bCs w:val="1"/>
          <w:color w:val="auto"/>
        </w:rPr>
        <w:t>.</w:t>
      </w:r>
    </w:p>
    <w:p>
      <w:pPr>
        <w:spacing w:after="0" w:line="220" w:lineRule="exact"/>
        <w:rPr>
          <w:sz w:val="20"/>
          <w:szCs w:val="20"/>
          <w:color w:val="auto"/>
        </w:rPr>
      </w:pPr>
    </w:p>
    <w:p>
      <w:pPr>
        <w:jc w:val="both"/>
        <w:ind w:left="1300" w:right="20" w:hanging="647"/>
        <w:spacing w:after="0" w:line="256" w:lineRule="auto"/>
        <w:tabs>
          <w:tab w:leader="none" w:pos="12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Beginning with the Plan year that commences on January 1, 2019, only employees in ALLETE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management salary grade SG-SM will be eligible to elect to make elective deferrals in accordance with this Article 6.</w:t>
      </w:r>
    </w:p>
    <w:p>
      <w:pPr>
        <w:spacing w:after="0" w:line="176"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1"/>
          <w:szCs w:val="21"/>
          <w:b w:val="1"/>
          <w:bCs w:val="1"/>
          <w:u w:val="single" w:color="auto"/>
          <w:color w:val="auto"/>
        </w:rPr>
        <w:t>Deferral Elections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For each Plan Year, an eligible Participant may elect to defer some or all of Salary, Bonus, and,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eligible, an Annual Make-up Award, Severance Pay, and Other Awards. Elections are effective on a calendar year basis and become irrevocable no later than the date specified by the Administrator, but in any event before the beginning of the Plan Year to which the elections relate. An eligible Participant’s elections will become effective only if the forms required by the Administrator have been properly completed and signed by the Participant, timely delivered to the Administrator, and accepted by the Administrator. An eligible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spacing w:after="0" w:line="180"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22"/>
          <w:szCs w:val="22"/>
          <w:b w:val="1"/>
          <w:bCs w:val="1"/>
          <w:u w:val="single" w:color="auto"/>
          <w:color w:val="auto"/>
        </w:rPr>
        <w:t>Special Rule for Performance-Based Compensation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in its complete and sole discretion, may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sectPr>
          <w:pgSz w:w="11900" w:h="16838" w:orient="portrait"/>
          <w:cols w:equalWidth="0" w:num="1">
            <w:col w:w="11420"/>
          </w:cols>
          <w:pgMar w:left="240" w:top="121" w:right="239" w:bottom="1440" w:gutter="0" w:footer="0" w:header="0"/>
        </w:sectPr>
      </w:pPr>
    </w:p>
    <w:bookmarkStart w:id="245" w:name="page246"/>
    <w:bookmarkEnd w:id="245"/>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22"/>
          <w:szCs w:val="22"/>
          <w:b w:val="1"/>
          <w:bCs w:val="1"/>
          <w:u w:val="single" w:color="auto"/>
          <w:color w:val="auto"/>
        </w:rPr>
        <w:t>Special Rule for Severance Pay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 eligible Participant may elect to defer all or a portion of Severance Pay by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filing with the Administrator an irrevocable deferral election no later than the date the Participant obtains a legally binding right to the Severance Pay.</w:t>
      </w:r>
    </w:p>
    <w:p>
      <w:pPr>
        <w:spacing w:after="0" w:line="176"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22"/>
          <w:szCs w:val="22"/>
          <w:b w:val="1"/>
          <w:bCs w:val="1"/>
          <w:u w:val="single" w:color="auto"/>
          <w:color w:val="auto"/>
        </w:rPr>
        <w:t>Cancellation of Deferral Election due to Disability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an eligible Participant becomes disabled, the Administrator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may, in its sole discretion, cancel the Participant’s deferral election, with respect to amounts to be deferred on or after the cancellation, by the end of the year during which the Participant becomes disabled, or, if later,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date on which the Participant becomes disabled. For purposes of this Section,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six months.</w:t>
      </w:r>
    </w:p>
    <w:p>
      <w:pPr>
        <w:spacing w:after="0" w:line="20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spacing w:after="0" w:line="180"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22"/>
          <w:szCs w:val="22"/>
          <w:color w:val="auto"/>
        </w:rPr>
        <w:t>6.1.6</w:t>
      </w:r>
      <w:r>
        <w:rPr>
          <w:sz w:val="20"/>
          <w:szCs w:val="20"/>
          <w:color w:val="auto"/>
        </w:rPr>
        <w:tab/>
      </w:r>
      <w:r>
        <w:rPr>
          <w:rFonts w:ascii="Arial" w:cs="Arial" w:eastAsia="Arial" w:hAnsi="Arial"/>
          <w:sz w:val="19"/>
          <w:szCs w:val="19"/>
          <w:b w:val="1"/>
          <w:bCs w:val="1"/>
          <w:u w:val="single" w:color="auto"/>
          <w:color w:val="auto"/>
        </w:rPr>
        <w:t>Cancellation of Deferral Election due to Unforeseeable Emergency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an eligible Participant experiences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spacing w:after="0" w:line="151"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22"/>
          <w:szCs w:val="22"/>
          <w:b w:val="1"/>
          <w:bCs w:val="1"/>
          <w:u w:val="single" w:color="auto"/>
          <w:color w:val="auto"/>
        </w:rPr>
        <w:t>Withholding of Deferrals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will withhold Elective Deferrals not later than the end of the calendar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b w:val="1"/>
          <w:bCs w:val="1"/>
          <w:u w:val="single" w:color="auto"/>
          <w:color w:val="auto"/>
        </w:rPr>
        <w:t>Non-Elective Deferrals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the Administrator determines that an eligible Participant’s Salary exceeds the Code section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401(a)(17) limit, the Administrator shall automatically credit the Participant’s Annual Make-up Award to the Participant’s Account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For each Plan Year during which a Participant has Deferrals, the Participant’s Employer(s) shall, 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sectPr>
          <w:pgSz w:w="11900" w:h="16838" w:orient="portrait"/>
          <w:cols w:equalWidth="0" w:num="1">
            <w:col w:w="11420"/>
          </w:cols>
          <w:pgMar w:left="240" w:top="121" w:right="239" w:bottom="1440" w:gutter="0" w:footer="0" w:header="0"/>
        </w:sectPr>
      </w:pPr>
    </w:p>
    <w:bookmarkStart w:id="246" w:name="page247"/>
    <w:bookmarkEnd w:id="246"/>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The Plan provides for distributions in a Specified Year, or upon a Separation from Service, death, 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Participant’s distribution elections are irrevocable and will govern the Deferrals to which the election relates until the amounts covered by the election are paid in full or until subsequently changed in accordance with Section 6.6. Notwithstanding any elections by a Participant, all distributions are subject to the provisions of Sections 1.2 and 6.5.</w:t>
      </w:r>
    </w:p>
    <w:p>
      <w:pPr>
        <w:spacing w:after="0" w:line="152"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6.4.1</w:t>
      </w:r>
      <w:r>
        <w:rPr>
          <w:sz w:val="20"/>
          <w:szCs w:val="20"/>
          <w:color w:val="auto"/>
        </w:rPr>
        <w:tab/>
      </w:r>
      <w:r>
        <w:rPr>
          <w:rFonts w:ascii="Arial" w:cs="Arial" w:eastAsia="Arial" w:hAnsi="Arial"/>
          <w:sz w:val="22"/>
          <w:szCs w:val="22"/>
          <w:b w:val="1"/>
          <w:bCs w:val="1"/>
          <w:u w:val="single" w:color="auto"/>
          <w:color w:val="auto"/>
        </w:rPr>
        <w:t>Specified Year</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of Elective Deferrals in a Specified Year, which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may be no earlier than the third Plan Year beginning after the date on which the Participant initially elects to receive a distribution in a Specified Year. Except as otherwise provided in this subsection 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Specified Year, subject, however, to the restrictions of this subsection. All amounts distributed in a Specified Year will be paid in a single lump sum.</w:t>
      </w:r>
    </w:p>
    <w:p>
      <w:pPr>
        <w:spacing w:after="0" w:line="186"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22"/>
          <w:szCs w:val="22"/>
          <w:color w:val="auto"/>
        </w:rPr>
        <w:t>6.4.2</w:t>
      </w:r>
      <w:r>
        <w:rPr>
          <w:sz w:val="20"/>
          <w:szCs w:val="20"/>
          <w:color w:val="auto"/>
        </w:rPr>
        <w:tab/>
      </w:r>
      <w:r>
        <w:rPr>
          <w:rFonts w:ascii="Arial" w:cs="Arial" w:eastAsia="Arial" w:hAnsi="Arial"/>
          <w:sz w:val="21"/>
          <w:szCs w:val="21"/>
          <w:b w:val="1"/>
          <w:bCs w:val="1"/>
          <w:u w:val="single" w:color="auto"/>
          <w:color w:val="auto"/>
        </w:rPr>
        <w:t>Separation from Service</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elect to receive a distribution commencing either upon a Separation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spacing w:after="0" w:line="168"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color w:val="auto"/>
        </w:rPr>
        <w:t>6.4.3</w:t>
      </w:r>
      <w:r>
        <w:rPr>
          <w:sz w:val="20"/>
          <w:szCs w:val="20"/>
          <w:color w:val="auto"/>
        </w:rPr>
        <w:tab/>
      </w:r>
      <w:r>
        <w:rPr>
          <w:rFonts w:ascii="Arial" w:cs="Arial" w:eastAsia="Arial" w:hAnsi="Arial"/>
          <w:sz w:val="22"/>
          <w:szCs w:val="22"/>
          <w:b w:val="1"/>
          <w:bCs w:val="1"/>
          <w:u w:val="single" w:color="auto"/>
          <w:color w:val="auto"/>
        </w:rPr>
        <w:t>Disability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on account of Disability. Distributions upon Disability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will commence on the earlier of the Participant’s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Participant dies after commencement of a Disability but before the year during which distributions would commence, the Participant’s Account shall be distributed in accordance with the Participant’s election regarding distributions upon death.</w:t>
      </w:r>
    </w:p>
    <w:p>
      <w:pPr>
        <w:spacing w:after="0" w:line="194"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6.4.4</w:t>
      </w:r>
      <w:r>
        <w:rPr>
          <w:sz w:val="20"/>
          <w:szCs w:val="20"/>
          <w:color w:val="auto"/>
        </w:rPr>
        <w:tab/>
      </w:r>
      <w:r>
        <w:rPr>
          <w:rFonts w:ascii="Arial" w:cs="Arial" w:eastAsia="Arial" w:hAnsi="Arial"/>
          <w:sz w:val="22"/>
          <w:szCs w:val="22"/>
          <w:b w:val="1"/>
          <w:bCs w:val="1"/>
          <w:u w:val="single" w:color="auto"/>
          <w:color w:val="auto"/>
        </w:rPr>
        <w:t>Death</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commencing upon death or during any of the first five years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following the year of death. A Participant may elect to receive a distribution in the form of a lump sum, monthly installments over a period of five (5), ten (10), or fifteen (15) years, or a combination of both a lump sum and installments.</w:t>
      </w:r>
    </w:p>
    <w:p>
      <w:pPr>
        <w:sectPr>
          <w:pgSz w:w="11900" w:h="16838" w:orient="portrait"/>
          <w:cols w:equalWidth="0" w:num="1">
            <w:col w:w="11420"/>
          </w:cols>
          <w:pgMar w:left="240" w:top="121" w:right="239" w:bottom="1440" w:gutter="0" w:footer="0" w:header="0"/>
        </w:sectPr>
      </w:pPr>
    </w:p>
    <w:bookmarkStart w:id="247" w:name="page248"/>
    <w:bookmarkEnd w:id="247"/>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22"/>
          <w:szCs w:val="22"/>
          <w:color w:val="auto"/>
        </w:rPr>
        <w:t>6.4.5</w:t>
      </w:r>
      <w:r>
        <w:rPr>
          <w:sz w:val="20"/>
          <w:szCs w:val="20"/>
          <w:color w:val="auto"/>
        </w:rPr>
        <w:tab/>
      </w:r>
      <w:r>
        <w:rPr>
          <w:rFonts w:ascii="Arial" w:cs="Arial" w:eastAsia="Arial" w:hAnsi="Arial"/>
          <w:sz w:val="21"/>
          <w:szCs w:val="21"/>
          <w:b w:val="1"/>
          <w:bCs w:val="1"/>
          <w:u w:val="single" w:color="auto"/>
          <w:color w:val="auto"/>
        </w:rPr>
        <w:t>Unforeseeable Emergency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submit a written request for a distribution on account of 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b w:val="1"/>
          <w:bCs w:val="1"/>
          <w:u w:val="single" w:color="auto"/>
          <w:color w:val="auto"/>
        </w:rPr>
        <w:t>Additional Distribution Rules</w:t>
      </w:r>
      <w:r>
        <w:rPr>
          <w:rFonts w:ascii="Arial" w:cs="Arial" w:eastAsia="Arial" w:hAnsi="Arial"/>
          <w:sz w:val="19"/>
          <w:szCs w:val="19"/>
          <w:b w:val="1"/>
          <w:bCs w:val="1"/>
          <w:color w:val="auto"/>
        </w:rPr>
        <w:t>.</w:t>
      </w:r>
    </w:p>
    <w:p>
      <w:pPr>
        <w:spacing w:after="0" w:line="22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2"/>
          <w:szCs w:val="22"/>
          <w:color w:val="auto"/>
        </w:rPr>
        <w:t>6.5.1</w:t>
      </w:r>
      <w:r>
        <w:rPr>
          <w:sz w:val="20"/>
          <w:szCs w:val="20"/>
          <w:color w:val="auto"/>
        </w:rPr>
        <w:tab/>
      </w:r>
      <w:r>
        <w:rPr>
          <w:rFonts w:ascii="Arial" w:cs="Arial" w:eastAsia="Arial" w:hAnsi="Arial"/>
          <w:sz w:val="22"/>
          <w:szCs w:val="22"/>
          <w:b w:val="1"/>
          <w:bCs w:val="1"/>
          <w:u w:val="single" w:color="auto"/>
          <w:color w:val="auto"/>
        </w:rPr>
        <w:t>Default Time and Form of Distribution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timely to elect a time and form of distribution,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will be distributed upon any Separation from Service, including death, in the form of a single lump sum payment.</w:t>
      </w:r>
    </w:p>
    <w:p>
      <w:pPr>
        <w:spacing w:after="0" w:line="392"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color w:val="auto"/>
        </w:rPr>
        <w:t>6.5.2</w:t>
      </w:r>
      <w:r>
        <w:rPr>
          <w:sz w:val="20"/>
          <w:szCs w:val="20"/>
          <w:color w:val="auto"/>
        </w:rPr>
        <w:tab/>
      </w:r>
      <w:r>
        <w:rPr>
          <w:rFonts w:ascii="Arial" w:cs="Arial" w:eastAsia="Arial" w:hAnsi="Arial"/>
          <w:sz w:val="20"/>
          <w:szCs w:val="20"/>
          <w:b w:val="1"/>
          <w:bCs w:val="1"/>
          <w:u w:val="single" w:color="auto"/>
          <w:color w:val="auto"/>
        </w:rPr>
        <w:t>Commencement of Distributions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Except as otherwise provided in this section, if a Participant has elected to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175"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6.5.3</w:t>
      </w:r>
      <w:r>
        <w:rPr>
          <w:sz w:val="20"/>
          <w:szCs w:val="20"/>
          <w:color w:val="auto"/>
        </w:rPr>
        <w:tab/>
      </w:r>
      <w:r>
        <w:rPr>
          <w:rFonts w:ascii="Arial" w:cs="Arial" w:eastAsia="Arial" w:hAnsi="Arial"/>
          <w:sz w:val="19"/>
          <w:szCs w:val="19"/>
          <w:b w:val="1"/>
          <w:bCs w:val="1"/>
          <w:u w:val="single" w:color="auto"/>
          <w:color w:val="auto"/>
        </w:rPr>
        <w:t>Installments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elects to receive distributions in monthly installments, the Participant’s Account will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one monthly installment for each calendar month beginning after the anniversary date of the Distribution Event. For deferrals made in connection with any Plan Year that commenced on or before January 1, 2018, during the distribution period, the Participant’s Account will be credited with interest compounded monthly at a rate of 7.5% per year. For deferrals made in connection with any Plan Year that commences on or after January 1, 2019, the Participant’s Account will be credited or debited with notional gains and losses based on the investment funds selected by the Participant, from among the options provided by the Company, until all amounts credited have been distributed. Any installment distribution that complies with this section shall be deemed for all purposes to comply with the Plan requirements regarding the time and form of distributions.</w:t>
      </w:r>
    </w:p>
    <w:p>
      <w:pPr>
        <w:sectPr>
          <w:pgSz w:w="11900" w:h="16838" w:orient="portrait"/>
          <w:cols w:equalWidth="0" w:num="1">
            <w:col w:w="11420"/>
          </w:cols>
          <w:pgMar w:left="240" w:top="121" w:right="239" w:bottom="1440" w:gutter="0" w:footer="0" w:header="0"/>
        </w:sectPr>
      </w:pPr>
    </w:p>
    <w:bookmarkStart w:id="248" w:name="page249"/>
    <w:bookmarkEnd w:id="248"/>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6.5.4</w:t>
      </w:r>
      <w:r>
        <w:rPr>
          <w:sz w:val="20"/>
          <w:szCs w:val="20"/>
          <w:color w:val="auto"/>
        </w:rPr>
        <w:tab/>
      </w:r>
      <w:r>
        <w:rPr>
          <w:rFonts w:ascii="Arial" w:cs="Arial" w:eastAsia="Arial" w:hAnsi="Arial"/>
          <w:sz w:val="22"/>
          <w:szCs w:val="22"/>
          <w:b w:val="1"/>
          <w:bCs w:val="1"/>
          <w:u w:val="single" w:color="auto"/>
          <w:color w:val="auto"/>
        </w:rPr>
        <w:t>Death After Commencement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the death of a Participant after distributions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spacing w:after="0" w:line="180"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6.5.5</w:t>
      </w:r>
      <w:r>
        <w:rPr>
          <w:sz w:val="20"/>
          <w:szCs w:val="20"/>
          <w:color w:val="auto"/>
        </w:rPr>
        <w:tab/>
      </w:r>
      <w:r>
        <w:rPr>
          <w:rFonts w:ascii="Arial" w:cs="Arial" w:eastAsia="Arial" w:hAnsi="Arial"/>
          <w:sz w:val="22"/>
          <w:szCs w:val="22"/>
          <w:b w:val="1"/>
          <w:bCs w:val="1"/>
          <w:u w:val="single" w:color="auto"/>
          <w:color w:val="auto"/>
        </w:rPr>
        <w:t>Distributions to Specified Employees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anything to the contrary in this Plan, if a Participant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becomes entitled to a distribution on account of a Separation from Service and is a Specified Employee on the date of the Separation from Service, distributions shall not commence until the earlier of: (i) 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month following the date of the Participant’s Separation from Service, or, if earlier, the date of the Participant’s death.</w:t>
      </w:r>
    </w:p>
    <w:p>
      <w:pPr>
        <w:spacing w:after="0" w:line="18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6.5.6</w:t>
      </w:r>
      <w:r>
        <w:rPr>
          <w:sz w:val="20"/>
          <w:szCs w:val="20"/>
          <w:color w:val="auto"/>
        </w:rPr>
        <w:tab/>
      </w:r>
      <w:r>
        <w:rPr>
          <w:rFonts w:ascii="Arial" w:cs="Arial" w:eastAsia="Arial" w:hAnsi="Arial"/>
          <w:sz w:val="22"/>
          <w:szCs w:val="22"/>
          <w:b w:val="1"/>
          <w:bCs w:val="1"/>
          <w:u w:val="single" w:color="auto"/>
          <w:color w:val="auto"/>
        </w:rPr>
        <w:t>Effect of Change in Control</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 Participant’s elections regarding distributions upon a Separation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from Service and a distribution in a Specified Year, if (a) the Participant has a Separation from Service within two years following a Change in Control or (b) a Change in Control occurs within six months after the Participant has a Separation from Service, the Participant shall receive a distribution of the Participant’s entire Account in a single lump sum upon the later of the Separation from Service or the Change in Control, whether or not distributions have already commenced.</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b w:val="1"/>
          <w:bCs w:val="1"/>
          <w:u w:val="single" w:color="auto"/>
          <w:color w:val="auto"/>
        </w:rPr>
        <w:t>Subsequent Changes in Time and Form of Distributions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A Participant may, in accordance with rules, procedures and 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ectPr>
          <w:pgSz w:w="11900" w:h="16838" w:orient="portrait"/>
          <w:cols w:equalWidth="0" w:num="1">
            <w:col w:w="11420"/>
          </w:cols>
          <w:pgMar w:left="240" w:top="121" w:right="239" w:bottom="1440" w:gutter="0" w:footer="0" w:header="0"/>
        </w:sectPr>
      </w:pPr>
    </w:p>
    <w:bookmarkStart w:id="249" w:name="page250"/>
    <w:bookmarkEnd w:id="249"/>
    <w:p>
      <w:pPr>
        <w:ind w:left="7780"/>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Accounts and Investments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Establishment of Accounts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Company will establish notional accounts for each Participant as the Administrator 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u w:val="single" w:color="auto"/>
          <w:color w:val="auto"/>
        </w:rPr>
        <w:t>Timing of Credits to Accounts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Administrator shall credit a Participant’s Elective Deferrals to the Participant’s 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Participant Accounts are fully vested at all times.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Administrator may select investment funds to use for measuring notional gains and losses credited or 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b w:val="1"/>
          <w:bCs w:val="1"/>
          <w:u w:val="single" w:color="auto"/>
          <w:color w:val="auto"/>
        </w:rPr>
        <w:t>Valuation Date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right="20"/>
        <w:spacing w:after="0" w:line="343" w:lineRule="auto"/>
        <w:rPr>
          <w:sz w:val="20"/>
          <w:szCs w:val="20"/>
          <w:color w:val="auto"/>
        </w:rPr>
      </w:pPr>
      <w:r>
        <w:rPr>
          <w:rFonts w:ascii="Arial" w:cs="Arial" w:eastAsia="Arial" w:hAnsi="Arial"/>
          <w:sz w:val="19"/>
          <w:szCs w:val="19"/>
          <w:color w:val="auto"/>
        </w:rPr>
        <w:t>As of each Valuation Date, each Account will be adjusted to reflect the effect of notional investment gains or losses, additions, distributions, transfers and all other transactions with respect to that Account since the previous Valuation Date.</w:t>
      </w:r>
    </w:p>
    <w:p>
      <w:pPr>
        <w:sectPr>
          <w:pgSz w:w="11900" w:h="16838" w:orient="portrait"/>
          <w:cols w:equalWidth="0" w:num="1">
            <w:col w:w="11420"/>
          </w:cols>
          <w:pgMar w:left="240" w:top="121" w:right="239" w:bottom="1440" w:gutter="0" w:footer="0" w:header="0"/>
        </w:sectPr>
      </w:pPr>
    </w:p>
    <w:bookmarkStart w:id="250" w:name="page251"/>
    <w:bookmarkEnd w:id="250"/>
    <w:p>
      <w:pPr>
        <w:ind w:left="7780"/>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SERP II Retirement Benefit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provisions of Article 8 apply only to Eligible Employees who were eligible for Retirement Benefits on 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u w:val="single" w:color="auto"/>
          <w:color w:val="auto"/>
        </w:rPr>
        <w:t>Vesting; Forfeiture of Unvested Retirement Benefit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Participants will fully vest in the Retirement Benefit upon: (i) Retirement; (ii) becoming Disabled after attaining both age 50 and 10 years of Vesting Service; or (iii) upon attaining age 50 and 10 years of Vesting Service after becoming Disabled. Participants will forfeit unvested Retirement Benefits and prior years of Vesting Service upon Separation from Service or death prior to full vesting.</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u w:val="single" w:color="auto"/>
          <w:color w:val="auto"/>
        </w:rPr>
        <w:t>Retirement Benefit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amount of the Retirement Benefit shall equal a single life annuity determined in the manner provided in the Retirement Plans, including any applicable early retirement factors and cost of living adjustments, but using a Participant’s Final Average Earnings and years of Credited Service as described in this section.</w:t>
      </w:r>
    </w:p>
    <w:p>
      <w:pPr>
        <w:spacing w:after="0" w:line="180"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0"/>
          <w:szCs w:val="20"/>
          <w:b w:val="1"/>
          <w:bCs w:val="1"/>
          <w:u w:val="single" w:color="auto"/>
          <w:color w:val="auto"/>
        </w:rPr>
        <w:t>Final Average Earnings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Final Average Earnings include the sum of: (i) the Participant’s four highest consecutive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401(a)(17). Compensation in excess of the limitation on compensation imposed by Code section 401(a)(17) shall be determined by using the limit in effect on the first day of the 48-month period described in (i) and the next three anniversaries of that date. With respect to a Participant who becomes entitled to a distribution upon Retirement, the “applicable 15-year period” shall be the fifteen (15) years preceding the date of Retirement. With respect to a Participant who becomes entitled to a distribution because of Disability, the “applicable 15-year period” shall be the 15-year period that: (i) ends no earlier than the Participant’s Disability and no later than the Participant’s sixty-fifth (65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and (ii) would result in the greatest Retirement Benefit.</w:t>
      </w:r>
    </w:p>
    <w:p>
      <w:pPr>
        <w:sectPr>
          <w:pgSz w:w="11900" w:h="16838" w:orient="portrait"/>
          <w:cols w:equalWidth="0" w:num="1">
            <w:col w:w="11420"/>
          </w:cols>
          <w:pgMar w:left="240" w:top="121" w:right="239" w:bottom="1440" w:gutter="0" w:footer="0" w:header="0"/>
        </w:sectPr>
      </w:pPr>
    </w:p>
    <w:bookmarkStart w:id="251" w:name="page252"/>
    <w:bookmarkEnd w:id="251"/>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Arial" w:cs="Arial" w:eastAsia="Arial" w:hAnsi="Arial"/>
          <w:sz w:val="22"/>
          <w:szCs w:val="22"/>
          <w:color w:val="auto"/>
        </w:rPr>
        <w:t>8.3.2</w:t>
      </w:r>
      <w:r>
        <w:rPr>
          <w:sz w:val="20"/>
          <w:szCs w:val="20"/>
          <w:color w:val="auto"/>
        </w:rPr>
        <w:tab/>
      </w:r>
      <w:r>
        <w:rPr>
          <w:rFonts w:ascii="Arial" w:cs="Arial" w:eastAsia="Arial" w:hAnsi="Arial"/>
          <w:sz w:val="22"/>
          <w:szCs w:val="22"/>
          <w:b w:val="1"/>
          <w:bCs w:val="1"/>
          <w:u w:val="single" w:color="auto"/>
          <w:color w:val="auto"/>
        </w:rPr>
        <w:t>Years of Credited Service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will receive credit for years of Credited Service after September 30, 2006,</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only to the extent that: (i) the Participant has been continuously employed since that date by a Related Company in management salary grades SA - SM; and (ii) distributions of Retirement Benefits have not commenced. Notwithstanding the foregoing, no Participant will receive credit for years of Credited Service after December 31, 2018.</w:t>
      </w:r>
    </w:p>
    <w:p>
      <w:pPr>
        <w:spacing w:after="0" w:line="200" w:lineRule="exact"/>
        <w:rPr>
          <w:sz w:val="20"/>
          <w:szCs w:val="20"/>
          <w:color w:val="auto"/>
        </w:rPr>
      </w:pPr>
    </w:p>
    <w:p>
      <w:pPr>
        <w:spacing w:after="0" w:line="20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1"/>
          <w:szCs w:val="21"/>
          <w:b w:val="1"/>
          <w:bCs w:val="1"/>
          <w:u w:val="single" w:color="auto"/>
          <w:color w:val="auto"/>
        </w:rPr>
        <w:t>Forfeiture of Vested Retirement Benefit for Misconduct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any other term or condition in this Article 8, 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spacing w:after="0" w:line="387"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b w:val="1"/>
          <w:bCs w:val="1"/>
          <w:u w:val="single" w:color="auto"/>
          <w:color w:val="auto"/>
        </w:rPr>
        <w:t>Time and Form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Subject to the provisions of Section 8.6, a Participant will become entitled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distribution of vested Retirement Benefits, in the form determined by this section, upon the earlier of: (i) Retirement; (ii) Disability; or (iii) solely with respect to a Participant who vests after becoming Disabled, the earlier of death or attainment of age 65.</w:t>
      </w:r>
    </w:p>
    <w:p>
      <w:pPr>
        <w:spacing w:after="0" w:line="180" w:lineRule="exact"/>
        <w:rPr>
          <w:sz w:val="20"/>
          <w:szCs w:val="20"/>
          <w:color w:val="auto"/>
        </w:rPr>
      </w:pPr>
    </w:p>
    <w:p>
      <w:pPr>
        <w:jc w:val="right"/>
        <w:ind w:left="660"/>
        <w:spacing w:after="0" w:line="295" w:lineRule="auto"/>
        <w:rPr>
          <w:sz w:val="20"/>
          <w:szCs w:val="20"/>
          <w:color w:val="auto"/>
        </w:rPr>
      </w:pPr>
      <w:r>
        <w:rPr>
          <w:rFonts w:ascii="Arial" w:cs="Arial" w:eastAsia="Arial" w:hAnsi="Arial"/>
          <w:sz w:val="19"/>
          <w:szCs w:val="19"/>
          <w:color w:val="auto"/>
        </w:rPr>
        <w:t xml:space="preserve">8.5.1  </w:t>
      </w:r>
      <w:r>
        <w:rPr>
          <w:rFonts w:ascii="Arial" w:cs="Arial" w:eastAsia="Arial" w:hAnsi="Arial"/>
          <w:sz w:val="19"/>
          <w:szCs w:val="19"/>
          <w:b w:val="1"/>
          <w:bCs w:val="1"/>
          <w:u w:val="single" w:color="auto"/>
          <w:color w:val="auto"/>
        </w:rPr>
        <w:t>Election of Alternative Forms of Distribution</w:t>
      </w:r>
      <w:r>
        <w:rPr>
          <w:rFonts w:ascii="Arial" w:cs="Arial" w:eastAsia="Arial" w:hAnsi="Arial"/>
          <w:sz w:val="19"/>
          <w:szCs w:val="19"/>
          <w:b w:val="1"/>
          <w:bCs w:val="1"/>
          <w:color w:val="auto"/>
        </w:rPr>
        <w:t>.</w:t>
      </w:r>
      <w:r>
        <w:rPr>
          <w:rFonts w:ascii="Arial" w:cs="Arial" w:eastAsia="Arial" w:hAnsi="Arial"/>
          <w:sz w:val="19"/>
          <w:szCs w:val="19"/>
          <w:color w:val="auto"/>
        </w:rPr>
        <w:t xml:space="preserve"> A Participant may elect to receive the Retirement Benefit in one of the following forms, each of which shall be actuarially equivalent: (i) monthly installments over a 15-year period,</w:t>
      </w:r>
    </w:p>
    <w:p>
      <w:pPr>
        <w:jc w:val="both"/>
        <w:ind w:left="1300" w:firstLine="5"/>
        <w:spacing w:after="0" w:line="244" w:lineRule="auto"/>
        <w:tabs>
          <w:tab w:leader="none" w:pos="164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8.7.</w:t>
      </w:r>
    </w:p>
    <w:p>
      <w:pPr>
        <w:spacing w:after="0" w:line="189"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8.5.2</w:t>
      </w:r>
      <w:r>
        <w:rPr>
          <w:sz w:val="20"/>
          <w:szCs w:val="20"/>
          <w:color w:val="auto"/>
        </w:rPr>
        <w:tab/>
      </w:r>
      <w:r>
        <w:rPr>
          <w:rFonts w:ascii="Arial" w:cs="Arial" w:eastAsia="Arial" w:hAnsi="Arial"/>
          <w:sz w:val="22"/>
          <w:szCs w:val="22"/>
          <w:b w:val="1"/>
          <w:bCs w:val="1"/>
          <w:u w:val="single" w:color="auto"/>
          <w:color w:val="auto"/>
        </w:rPr>
        <w:t>Default Form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to elect a form of payment with respect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Benefit before December 31, 2008, the Retirement Benefit will be paid in the form of monthly installments over a 15-year period unless the Participant elects to change the time and form of payment in accordance with Section 8.7.</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u w:val="single" w:color="auto"/>
          <w:color w:val="auto"/>
        </w:rPr>
        <w:t>Additional Distribution Rules</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22"/>
          <w:szCs w:val="22"/>
          <w:color w:val="auto"/>
        </w:rPr>
        <w:t>8.6.1</w:t>
      </w:r>
      <w:r>
        <w:rPr>
          <w:sz w:val="20"/>
          <w:szCs w:val="20"/>
          <w:color w:val="auto"/>
        </w:rPr>
        <w:tab/>
      </w:r>
      <w:r>
        <w:rPr>
          <w:rFonts w:ascii="Arial" w:cs="Arial" w:eastAsia="Arial" w:hAnsi="Arial"/>
          <w:sz w:val="20"/>
          <w:szCs w:val="20"/>
          <w:b w:val="1"/>
          <w:bCs w:val="1"/>
          <w:u w:val="single" w:color="auto"/>
          <w:color w:val="auto"/>
        </w:rPr>
        <w:t>Commencement of Distributions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Distributions on account of a Distribution Event other than Disability will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sectPr>
          <w:pgSz w:w="11900" w:h="16838" w:orient="portrait"/>
          <w:cols w:equalWidth="0" w:num="1">
            <w:col w:w="11420"/>
          </w:cols>
          <w:pgMar w:left="240" w:top="121" w:right="239" w:bottom="1440" w:gutter="0" w:footer="0" w:header="0"/>
        </w:sectPr>
      </w:pPr>
    </w:p>
    <w:bookmarkStart w:id="252" w:name="page253"/>
    <w:bookmarkEnd w:id="252"/>
    <w:p>
      <w:pPr>
        <w:ind w:left="65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00" w:hanging="647"/>
        <w:spacing w:after="0" w:line="260" w:lineRule="auto"/>
        <w:tabs>
          <w:tab w:leader="none" w:pos="80" w:val="left"/>
        </w:tabs>
        <w:rPr>
          <w:sz w:val="20"/>
          <w:szCs w:val="20"/>
          <w:color w:val="auto"/>
        </w:rPr>
      </w:pPr>
      <w:r>
        <w:rPr>
          <w:rFonts w:ascii="Arial" w:cs="Arial" w:eastAsia="Arial" w:hAnsi="Arial"/>
          <w:sz w:val="22"/>
          <w:szCs w:val="22"/>
          <w:color w:val="auto"/>
        </w:rPr>
        <w:t>8.6.2</w:t>
      </w:r>
      <w:r>
        <w:rPr>
          <w:sz w:val="20"/>
          <w:szCs w:val="20"/>
          <w:color w:val="auto"/>
        </w:rPr>
        <w:tab/>
      </w:r>
      <w:r>
        <w:rPr>
          <w:rFonts w:ascii="Arial" w:cs="Arial" w:eastAsia="Arial" w:hAnsi="Arial"/>
          <w:sz w:val="21"/>
          <w:szCs w:val="21"/>
          <w:b w:val="1"/>
          <w:bCs w:val="1"/>
          <w:u w:val="single" w:color="auto"/>
          <w:color w:val="auto"/>
        </w:rPr>
        <w:t>Distributions to Specified Employees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anything to the contrary in this Plan, if a Participant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entitled to a distribution on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seventh month following the date of the Participant’s Retirement, or, if earlier, the date of the Participant’s death.</w:t>
      </w:r>
    </w:p>
    <w:p>
      <w:pPr>
        <w:spacing w:after="0" w:line="176" w:lineRule="exact"/>
        <w:rPr>
          <w:sz w:val="20"/>
          <w:szCs w:val="20"/>
          <w:color w:val="auto"/>
        </w:rPr>
      </w:pPr>
    </w:p>
    <w:p>
      <w:pPr>
        <w:jc w:val="both"/>
        <w:ind w:left="100" w:right="20" w:hanging="647"/>
        <w:spacing w:after="0" w:line="297" w:lineRule="auto"/>
        <w:tabs>
          <w:tab w:leader="none" w:pos="80" w:val="left"/>
        </w:tabs>
        <w:rPr>
          <w:sz w:val="20"/>
          <w:szCs w:val="20"/>
          <w:color w:val="auto"/>
        </w:rPr>
      </w:pPr>
      <w:r>
        <w:rPr>
          <w:rFonts w:ascii="Arial" w:cs="Arial" w:eastAsia="Arial" w:hAnsi="Arial"/>
          <w:sz w:val="22"/>
          <w:szCs w:val="22"/>
          <w:color w:val="auto"/>
        </w:rPr>
        <w:t>8.6.3</w:t>
      </w:r>
      <w:r>
        <w:rPr>
          <w:sz w:val="20"/>
          <w:szCs w:val="20"/>
          <w:color w:val="auto"/>
        </w:rPr>
        <w:tab/>
      </w:r>
      <w:r>
        <w:rPr>
          <w:rFonts w:ascii="Arial" w:cs="Arial" w:eastAsia="Arial" w:hAnsi="Arial"/>
          <w:sz w:val="21"/>
          <w:szCs w:val="21"/>
          <w:b w:val="1"/>
          <w:bCs w:val="1"/>
          <w:u w:val="single" w:color="auto"/>
          <w:color w:val="auto"/>
        </w:rPr>
        <w:t>Disability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Unless subsequently changed in accordance with the Plan, distributions on account of Disability will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commence on the earlier of the Participant’s 65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or the second anniversary of the Disability.</w:t>
      </w:r>
    </w:p>
    <w:p>
      <w:pPr>
        <w:spacing w:after="0" w:line="46" w:lineRule="exact"/>
        <w:rPr>
          <w:sz w:val="20"/>
          <w:szCs w:val="20"/>
          <w:color w:val="auto"/>
        </w:rPr>
      </w:pPr>
    </w:p>
    <w:p>
      <w:pPr>
        <w:jc w:val="both"/>
        <w:ind w:left="100" w:hanging="647"/>
        <w:spacing w:after="0" w:line="287" w:lineRule="auto"/>
        <w:tabs>
          <w:tab w:leader="none" w:pos="80" w:val="left"/>
        </w:tabs>
        <w:rPr>
          <w:sz w:val="20"/>
          <w:szCs w:val="20"/>
          <w:color w:val="auto"/>
        </w:rPr>
      </w:pPr>
      <w:r>
        <w:rPr>
          <w:rFonts w:ascii="Arial" w:cs="Arial" w:eastAsia="Arial" w:hAnsi="Arial"/>
          <w:sz w:val="22"/>
          <w:szCs w:val="22"/>
          <w:color w:val="auto"/>
        </w:rPr>
        <w:t>8.6.4</w:t>
      </w:r>
      <w:r>
        <w:rPr>
          <w:sz w:val="20"/>
          <w:szCs w:val="20"/>
          <w:color w:val="auto"/>
        </w:rPr>
        <w:tab/>
      </w:r>
      <w:r>
        <w:rPr>
          <w:rFonts w:ascii="Arial" w:cs="Arial" w:eastAsia="Arial" w:hAnsi="Arial"/>
          <w:sz w:val="19"/>
          <w:szCs w:val="19"/>
          <w:b w:val="1"/>
          <w:bCs w:val="1"/>
          <w:u w:val="single" w:color="auto"/>
          <w:color w:val="auto"/>
        </w:rPr>
        <w:t>Annuity Payments and Installments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elects to receive all or a portion of the distributions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will be paid during the Plan Year in which it is due, commencing as described in Section 8.6.1.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spacing w:after="0" w:line="155" w:lineRule="exact"/>
        <w:rPr>
          <w:sz w:val="20"/>
          <w:szCs w:val="20"/>
          <w:color w:val="auto"/>
        </w:rPr>
      </w:pPr>
    </w:p>
    <w:p>
      <w:pPr>
        <w:jc w:val="both"/>
        <w:ind w:left="100" w:hanging="647"/>
        <w:spacing w:after="0" w:line="260" w:lineRule="auto"/>
        <w:tabs>
          <w:tab w:leader="none" w:pos="80" w:val="left"/>
        </w:tabs>
        <w:rPr>
          <w:sz w:val="20"/>
          <w:szCs w:val="20"/>
          <w:color w:val="auto"/>
        </w:rPr>
      </w:pPr>
      <w:r>
        <w:rPr>
          <w:rFonts w:ascii="Arial" w:cs="Arial" w:eastAsia="Arial" w:hAnsi="Arial"/>
          <w:sz w:val="22"/>
          <w:szCs w:val="22"/>
          <w:color w:val="auto"/>
        </w:rPr>
        <w:t>8.6.5</w:t>
      </w:r>
      <w:r>
        <w:rPr>
          <w:sz w:val="20"/>
          <w:szCs w:val="20"/>
          <w:color w:val="auto"/>
        </w:rPr>
        <w:tab/>
      </w:r>
      <w:r>
        <w:rPr>
          <w:rFonts w:ascii="Arial" w:cs="Arial" w:eastAsia="Arial" w:hAnsi="Arial"/>
          <w:sz w:val="21"/>
          <w:szCs w:val="21"/>
          <w:b w:val="1"/>
          <w:bCs w:val="1"/>
          <w:u w:val="single" w:color="auto"/>
          <w:color w:val="auto"/>
        </w:rPr>
        <w:t>Death After Commencement of Benefits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the death of a Participant after distributions of the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Retirement Benefit have commenced, the remainder of the Participant’s Retirement Benefit will continue to be distributed to the Participant’s Beneficiary at the same time and in the same form as the benefit would have been distributed to the Participant had the Participant 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annuity will cease as of the first day of the month following the month during which the Participant died.</w:t>
      </w:r>
    </w:p>
    <w:p>
      <w:pPr>
        <w:spacing w:after="0" w:line="176" w:lineRule="exact"/>
        <w:rPr>
          <w:sz w:val="20"/>
          <w:szCs w:val="20"/>
          <w:color w:val="auto"/>
        </w:rPr>
      </w:pPr>
    </w:p>
    <w:p>
      <w:pPr>
        <w:jc w:val="both"/>
        <w:ind w:left="100" w:hanging="647"/>
        <w:spacing w:after="0" w:line="295" w:lineRule="auto"/>
        <w:tabs>
          <w:tab w:leader="none" w:pos="80" w:val="left"/>
        </w:tabs>
        <w:rPr>
          <w:sz w:val="20"/>
          <w:szCs w:val="20"/>
          <w:color w:val="auto"/>
        </w:rPr>
      </w:pPr>
      <w:r>
        <w:rPr>
          <w:rFonts w:ascii="Arial" w:cs="Arial" w:eastAsia="Arial" w:hAnsi="Arial"/>
          <w:sz w:val="22"/>
          <w:szCs w:val="22"/>
          <w:color w:val="auto"/>
        </w:rPr>
        <w:t>8.6.6</w:t>
      </w:r>
      <w:r>
        <w:rPr>
          <w:sz w:val="20"/>
          <w:szCs w:val="20"/>
          <w:color w:val="auto"/>
        </w:rPr>
        <w:tab/>
      </w:r>
      <w:r>
        <w:rPr>
          <w:rFonts w:ascii="Arial" w:cs="Arial" w:eastAsia="Arial" w:hAnsi="Arial"/>
          <w:sz w:val="19"/>
          <w:szCs w:val="19"/>
          <w:b w:val="1"/>
          <w:bCs w:val="1"/>
          <w:u w:val="single" w:color="auto"/>
          <w:color w:val="auto"/>
        </w:rPr>
        <w:t>Effect of Change of Control</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respect to any Participant whose Retirement Benefit distributions have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commenced, or would commence, upon a Separation from Service, if (a) the Participant’s Separation from Service occurs within two years following a Change in Control or (b) a Change in Control occurs within six months after the Participant’s Separation from Service, then notwithstanding the Participant’s elections regarding distributions upon a Separation from Service, the Participant shall receive a distribution of the Participant’s entire remaining vested Retirement Benefit in a single lump sum upon the later of the Separation</w:t>
      </w:r>
    </w:p>
    <w:p>
      <w:pPr>
        <w:sectPr>
          <w:pgSz w:w="11900" w:h="16838" w:orient="portrait"/>
          <w:cols w:equalWidth="0" w:num="1">
            <w:col w:w="10220"/>
          </w:cols>
          <w:pgMar w:left="1440" w:top="121" w:right="239" w:bottom="1440" w:gutter="0" w:footer="0" w:header="0"/>
        </w:sectPr>
      </w:pPr>
    </w:p>
    <w:bookmarkStart w:id="253" w:name="page254"/>
    <w:bookmarkEnd w:id="253"/>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from Service or the Change in Control, whether or not distributions have already commenced. Any Retirement Benefit that does not become payable in a lump sum in accordance with this section will vest, if at all, in accordance with Section 8.2, will become payable in accordance with Section 8.5, and will otherwise remain subject to the provisions of Article 8.</w:t>
      </w:r>
    </w:p>
    <w:p>
      <w:pPr>
        <w:spacing w:after="0" w:line="39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b w:val="1"/>
          <w:bCs w:val="1"/>
          <w:u w:val="single" w:color="auto"/>
          <w:color w:val="auto"/>
        </w:rPr>
        <w:t>Subsequent Changes in Time and Form of Payment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8.6 and 8.7.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Payment Acceleration and Delay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u w:val="single" w:color="auto"/>
          <w:color w:val="auto"/>
        </w:rPr>
        <w:t>Permitted Accelerations of Payment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Except as otherwise provided herein or permitted by Section 409A, the Plan prohibits the acceleration of the time or schedule of any payment due under the Plan.</w:t>
      </w:r>
    </w:p>
    <w:p>
      <w:pPr>
        <w:spacing w:after="0" w:line="16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21"/>
          <w:szCs w:val="21"/>
          <w:b w:val="1"/>
          <w:bCs w:val="1"/>
          <w:u w:val="single" w:color="auto"/>
          <w:color w:val="auto"/>
        </w:rPr>
        <w:t>Distribution in the Event of Taxation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for any reason, all or any portion of any benefit provided by the Plan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taxable to a Participant because of a violation of Section 409A prior to receipt, the Participant may file a written request with the Administrator for a distribution of that portion of the Plan benefit 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Plan Year during which the approval occurred, or if later,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the date on which the Participant’s request is approved.</w:t>
      </w:r>
    </w:p>
    <w:p>
      <w:pPr>
        <w:sectPr>
          <w:pgSz w:w="11900" w:h="16838" w:orient="portrait"/>
          <w:cols w:equalWidth="0" w:num="1">
            <w:col w:w="11420"/>
          </w:cols>
          <w:pgMar w:left="240" w:top="121" w:right="239" w:bottom="1440" w:gutter="0" w:footer="0" w:header="0"/>
        </w:sectPr>
      </w:pPr>
    </w:p>
    <w:bookmarkStart w:id="254" w:name="page255"/>
    <w:bookmarkEnd w:id="254"/>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both"/>
        <w:ind w:left="1300" w:hanging="647"/>
        <w:spacing w:after="0" w:line="315" w:lineRule="auto"/>
        <w:tabs>
          <w:tab w:leader="none" w:pos="128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b w:val="1"/>
          <w:bCs w:val="1"/>
          <w:u w:val="single" w:color="auto"/>
          <w:color w:val="auto"/>
        </w:rPr>
        <w:t>Compliance with Ethics Laws or Conflicts of Interests Laws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is authorized, in its sole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discretion, to accelerate the time or schedule of a payment to the extent necessary to avoid the violation of any applicable federal, state, local, or foreign ethics law or conflicts of interest law as provided in Section 409A.</w:t>
      </w:r>
    </w:p>
    <w:p>
      <w:pPr>
        <w:spacing w:after="0" w:line="12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22"/>
          <w:szCs w:val="22"/>
          <w:b w:val="1"/>
          <w:bCs w:val="1"/>
          <w:u w:val="single" w:color="auto"/>
          <w:color w:val="auto"/>
        </w:rPr>
        <w:t>Small Accounts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distribute in a single lump sum the aggregate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402(g)(1)(B). The Administrator shall notify the Participant in writing if the Administrator exercises its discretion pursuant to this Section.</w:t>
      </w:r>
    </w:p>
    <w:p>
      <w:pPr>
        <w:spacing w:after="0" w:line="187"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2"/>
          <w:szCs w:val="22"/>
          <w:b w:val="1"/>
          <w:bCs w:val="1"/>
          <w:u w:val="single" w:color="auto"/>
          <w:color w:val="auto"/>
        </w:rPr>
        <w:t>Settlement of a Bona Fide Dispute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accelerate the time or schedule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w:t>
      </w:r>
    </w:p>
    <w:p>
      <w:pPr>
        <w:spacing w:after="0" w:line="18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22"/>
          <w:szCs w:val="22"/>
          <w:b w:val="1"/>
          <w:bCs w:val="1"/>
          <w:u w:val="single" w:color="auto"/>
          <w:color w:val="auto"/>
        </w:rPr>
        <w:t>Settlement of Debt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accelerate the time or schedule of a payment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satisfy an ordinary debt owed by the Participant to the Employer at the time the debt becomes due as provided in Section 409A.</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u w:val="single" w:color="auto"/>
          <w:color w:val="auto"/>
        </w:rPr>
        <w:t>Permissible Payment Delays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Notwithstanding anything in the Plan to the contrary, to the extent permitted by Section 409A, the Administrator may, in its sole discretion, delay a distribution to a Participant:</w:t>
      </w:r>
    </w:p>
    <w:p>
      <w:pPr>
        <w:spacing w:after="0" w:line="175"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If the distribution would jeopardize the Employer’s ability to continue as a going concern, provided that the delayed amount is distributed in the first calendar year in which the payment would not have such effect.</w:t>
      </w:r>
    </w:p>
    <w:p>
      <w:pPr>
        <w:spacing w:after="0" w:line="15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9.2.2</w:t>
        <w:tab/>
        <w:t>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spacing w:after="0" w:line="188"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22"/>
          <w:szCs w:val="22"/>
          <w:color w:val="auto"/>
        </w:rPr>
        <w:t>9.2.3</w:t>
        <w:tab/>
        <w:t>If the distribution would violate Federal securities or other applicable laws, provided that the delayed amount is distributed at the earliest date at which the Administrator reasonably anticipates that the distribution will not cause such violation.</w:t>
      </w:r>
    </w:p>
    <w:p>
      <w:pPr>
        <w:spacing w:after="0" w:line="186"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22"/>
          <w:szCs w:val="22"/>
          <w:color w:val="auto"/>
        </w:rPr>
        <w:t>9.2.4</w:t>
        <w:tab/>
        <w:t>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8"/>
          <w:szCs w:val="18"/>
          <w:b w:val="1"/>
          <w:bCs w:val="1"/>
          <w:u w:val="single" w:color="auto"/>
          <w:color w:val="auto"/>
        </w:rPr>
        <w:t>Suspension Not Allowed</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a Participant whose distributions have commenced becomes eligible again to defer compensation as a Participant in any plan subject to Section 409A maintained by a Related Company, distribution of the Participant’s Retirement Benefit or Account may not be suspended.</w:t>
      </w:r>
    </w:p>
    <w:p>
      <w:pPr>
        <w:sectPr>
          <w:pgSz w:w="11900" w:h="16838" w:orient="portrait"/>
          <w:cols w:equalWidth="0" w:num="1">
            <w:col w:w="11420"/>
          </w:cols>
          <w:pgMar w:left="240" w:top="121" w:right="239" w:bottom="1440" w:gutter="0" w:footer="0" w:header="0"/>
        </w:sectPr>
      </w:pPr>
    </w:p>
    <w:bookmarkStart w:id="255" w:name="page256"/>
    <w:bookmarkEnd w:id="255"/>
    <w:p>
      <w:pPr>
        <w:ind w:left="7780"/>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Beneficiary Designation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u w:val="single" w:color="auto"/>
          <w:color w:val="auto"/>
        </w:rPr>
        <w:t>Beneficiary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Each Participant shall have the right, in accordance with procedures established from time to time by the 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Plan in the event of the Participant’s death.</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u w:val="single" w:color="auto"/>
          <w:color w:val="auto"/>
        </w:rPr>
        <w:t>No Beneficiary Designation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1" w:lineRule="auto"/>
        <w:rPr>
          <w:sz w:val="20"/>
          <w:szCs w:val="20"/>
          <w:color w:val="auto"/>
        </w:rPr>
      </w:pPr>
      <w:r>
        <w:rPr>
          <w:rFonts w:ascii="Arial" w:cs="Arial" w:eastAsia="Arial" w:hAnsi="Arial"/>
          <w:sz w:val="19"/>
          <w:szCs w:val="19"/>
          <w:color w:val="auto"/>
        </w:rPr>
        <w:t>In the absence of an effective Beneficiary designation, or if all designated Beneficiaries predecease the Participant or die prior to the complete distribution of the Participant’s benefits, benefits shall be paid in the following order of precedence:</w:t>
      </w:r>
    </w:p>
    <w:p>
      <w:pPr>
        <w:spacing w:after="0" w:line="1" w:lineRule="exact"/>
        <w:rPr>
          <w:sz w:val="20"/>
          <w:szCs w:val="20"/>
          <w:color w:val="auto"/>
        </w:rPr>
      </w:pPr>
    </w:p>
    <w:p>
      <w:pPr>
        <w:ind w:left="660" w:hanging="4"/>
        <w:spacing w:after="0" w:line="246" w:lineRule="auto"/>
        <w:tabs>
          <w:tab w:leader="none" w:pos="98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Participant’s surviving spouse; (b) the Participant’s children (including adopted children), per stirpes; or (c) the Participant’s estate.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u w:val="single" w:color="auto"/>
          <w:color w:val="auto"/>
        </w:rPr>
        <w:t>Presentation of Claim</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Any Participant or Beneficiary of a deceased Participant (such Participant or Beneficiary being referred to below as a “Claimant”) may file with the Administrator a written claim for a determination with respect to Plan benefits. The claim must state with particularity the determination desired by the Claimant.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u w:val="single" w:color="auto"/>
          <w:color w:val="auto"/>
        </w:rPr>
        <w:t>Notification of Decision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Administrator shall consider a Claimant’s claim, and, except as provided below, within 90 days after the claim is received, shall notify the Claimant in writing: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11.2.1 That the claim has been allowed in full; or</w:t>
      </w:r>
    </w:p>
    <w:p>
      <w:pPr>
        <w:spacing w:after="0" w:line="220"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11.2.2 That the claim has been denied, in whole or in part, and such notice must set forth in a manner calculated to be understood by the Claimant:</w:t>
      </w:r>
    </w:p>
    <w:p>
      <w:pPr>
        <w:spacing w:after="0" w:line="175" w:lineRule="exact"/>
        <w:rPr>
          <w:sz w:val="20"/>
          <w:szCs w:val="20"/>
          <w:color w:val="auto"/>
        </w:rPr>
      </w:pPr>
    </w:p>
    <w:p>
      <w:pPr>
        <w:ind w:left="1960" w:hanging="655"/>
        <w:spacing w:after="0"/>
        <w:tabs>
          <w:tab w:leader="none" w:pos="19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specific reason(s) for the denial of the claim, or any part of it;</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Specific reference(s) to pertinent provisions of the Plan upon which such denial was based;</w:t>
      </w:r>
    </w:p>
    <w:p>
      <w:pPr>
        <w:sectPr>
          <w:pgSz w:w="11900" w:h="16838" w:orient="portrait"/>
          <w:cols w:equalWidth="0" w:num="1">
            <w:col w:w="11420"/>
          </w:cols>
          <w:pgMar w:left="240" w:top="121" w:right="239" w:bottom="1440" w:gutter="0" w:footer="0" w:header="0"/>
        </w:sectPr>
      </w:pPr>
    </w:p>
    <w:bookmarkStart w:id="256" w:name="page257"/>
    <w:bookmarkEnd w:id="256"/>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ind w:left="1960" w:hanging="655"/>
        <w:spacing w:after="0" w:line="263" w:lineRule="auto"/>
        <w:tabs>
          <w:tab w:leader="none" w:pos="19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An explanation of the claim review procedures and time limits, including a statement of the Claimant’s right to initiate a civil action pursuant to section 502(a) of ERISA following an adverse determination upon review.</w:t>
      </w:r>
    </w:p>
    <w:p>
      <w:pPr>
        <w:spacing w:after="0" w:line="18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11.2.3 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18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11.2.4 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spacing w:after="0" w:line="188" w:lineRule="exact"/>
        <w:rPr>
          <w:sz w:val="20"/>
          <w:szCs w:val="20"/>
          <w:color w:val="auto"/>
        </w:rPr>
      </w:pPr>
    </w:p>
    <w:p>
      <w:pPr>
        <w:jc w:val="both"/>
        <w:ind w:left="1300" w:hanging="647"/>
        <w:spacing w:after="0" w:line="294" w:lineRule="auto"/>
        <w:rPr>
          <w:sz w:val="20"/>
          <w:szCs w:val="20"/>
          <w:color w:val="auto"/>
        </w:rPr>
      </w:pPr>
      <w:r>
        <w:rPr>
          <w:rFonts w:ascii="Arial" w:cs="Arial" w:eastAsia="Arial" w:hAnsi="Arial"/>
          <w:sz w:val="19"/>
          <w:szCs w:val="19"/>
          <w:color w:val="auto"/>
        </w:rPr>
        <w:t>11.2.5 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u w:val="single" w:color="auto"/>
          <w:color w:val="auto"/>
        </w:rPr>
        <w:t>Review of a Denied Claim</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Within 90 days after receiving a notice from the Administrator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spacing w:after="0" w:line="168"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11.3.1 May request reasonable access to, and copies of, all documents, records, and other information relevant to the claim, which shall be provided to Claimant free of charge;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11.3.2 May submit written comments or other documents.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u w:val="single" w:color="auto"/>
          <w:color w:val="auto"/>
        </w:rPr>
        <w:t>Decision on Review</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Administrator shall review all comments or other documents submitted by the Claimant 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Administrator shall notify the Claimant, in language calculated to be understood by the Claimant: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11.4.1 That the claim has been allowed in full; or</w:t>
      </w:r>
    </w:p>
    <w:p>
      <w:pPr>
        <w:sectPr>
          <w:pgSz w:w="11900" w:h="16838" w:orient="portrait"/>
          <w:cols w:equalWidth="0" w:num="1">
            <w:col w:w="11420"/>
          </w:cols>
          <w:pgMar w:left="240" w:top="121" w:right="239" w:bottom="1440" w:gutter="0" w:footer="0" w:header="0"/>
        </w:sectPr>
      </w:pPr>
    </w:p>
    <w:bookmarkStart w:id="257" w:name="page258"/>
    <w:bookmarkEnd w:id="257"/>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11.4.2 That the claim has been denied, in whole or in part, and such notice must set forth:</w:t>
      </w:r>
    </w:p>
    <w:p>
      <w:pPr>
        <w:spacing w:after="0" w:line="220" w:lineRule="exact"/>
        <w:rPr>
          <w:sz w:val="20"/>
          <w:szCs w:val="20"/>
          <w:color w:val="auto"/>
        </w:rPr>
      </w:pPr>
    </w:p>
    <w:p>
      <w:pPr>
        <w:ind w:left="1960" w:hanging="655"/>
        <w:spacing w:after="0"/>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Specific reasons for the decision;</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Specific reference(s) to the pertinent Plan provisions upon which the decision was based;</w:t>
      </w:r>
    </w:p>
    <w:p>
      <w:pPr>
        <w:spacing w:after="0" w:line="219"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 statement that Claimant is entitled to reasonable access to, and copies of, all documents, records or other information relevant to the claim upon request and free of charge;</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 statement regarding the Claimant’s right to initiate an action pursuant to section 502(a) of ERISA; and</w:t>
      </w:r>
    </w:p>
    <w:p>
      <w:pPr>
        <w:spacing w:after="0" w:line="254" w:lineRule="exact"/>
        <w:rPr>
          <w:rFonts w:ascii="Arial" w:cs="Arial" w:eastAsia="Arial" w:hAnsi="Arial"/>
          <w:sz w:val="19"/>
          <w:szCs w:val="19"/>
          <w:color w:val="auto"/>
        </w:rPr>
      </w:pPr>
    </w:p>
    <w:p>
      <w:pPr>
        <w:ind w:left="1960" w:hanging="655"/>
        <w:spacing w:after="0"/>
        <w:tabs>
          <w:tab w:leader="none" w:pos="19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Such other matters as the Administrator deems relevant.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11.4.3 In the case of a claim for disability benefits, the notice shall set forth:</w:t>
      </w:r>
    </w:p>
    <w:p>
      <w:pPr>
        <w:spacing w:after="0" w:line="220" w:lineRule="exact"/>
        <w:rPr>
          <w:sz w:val="20"/>
          <w:szCs w:val="20"/>
          <w:color w:val="auto"/>
        </w:rPr>
      </w:pPr>
    </w:p>
    <w:p>
      <w:pPr>
        <w:ind w:left="1960" w:right="20" w:hanging="655"/>
        <w:spacing w:after="0" w:line="263" w:lineRule="auto"/>
        <w:tabs>
          <w:tab w:leader="none" w:pos="19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Whether the Administrator’s denial relied upon any specific rule, guideline, protocol or scientific or clinical judgment; and</w:t>
      </w:r>
    </w:p>
    <w:p>
      <w:pPr>
        <w:spacing w:after="0" w:line="174"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u w:val="single" w:color="auto"/>
          <w:color w:val="auto"/>
        </w:rPr>
        <w:t>Other Remedies</w:t>
      </w:r>
      <w:r>
        <w:rPr>
          <w:rFonts w:ascii="Arial" w:cs="Arial" w:eastAsia="Arial" w:hAnsi="Arial"/>
          <w:sz w:val="19"/>
          <w:szCs w:val="19"/>
          <w:b w:val="1"/>
          <w:bCs w:val="1"/>
          <w:color w:val="auto"/>
        </w:rPr>
        <w:t>.</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A Claimant’s compliance with the foregoing procedures is a mandatory prerequisite to a Claimant’s right to pursue any other remedy with respect to any claim relating to this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or Termination</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hereby reserves the right to amend, modify, or 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following the date of termination of the 409A Plan, the Company does not adopt any new arrangement that would have been an Aggregated Plan of the terminated 409A Plan.</w:t>
      </w:r>
    </w:p>
    <w:p>
      <w:pPr>
        <w:sectPr>
          <w:pgSz w:w="11900" w:h="16838" w:orient="portrait"/>
          <w:cols w:equalWidth="0" w:num="1">
            <w:col w:w="11420"/>
          </w:cols>
          <w:pgMar w:left="240" w:top="121" w:right="239" w:bottom="1440" w:gutter="0" w:footer="0" w:header="0"/>
        </w:sectPr>
      </w:pPr>
    </w:p>
    <w:bookmarkStart w:id="258" w:name="page259"/>
    <w:bookmarkEnd w:id="258"/>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u w:val="single" w:color="auto"/>
          <w:color w:val="auto"/>
        </w:rPr>
        <w:t>Unsecured General Creditor</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Participants and their Beneficiaries, heirs, successors and assigns shall have no legal or equitable rights, interests or claims in any property or assets of an Employer. An Employer’s obligation under the Plan shall be merely that of an unfunded and unsecured promise to pay money in the future.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u w:val="single" w:color="auto"/>
          <w:color w:val="auto"/>
        </w:rPr>
        <w:t>Employer’s Liability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 Employer’s liability for benefits shall be defined only by the Plan. An Employer shall have no obligation to a Participant except as expressly provided in the Plan.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u w:val="single" w:color="auto"/>
          <w:color w:val="auto"/>
        </w:rPr>
        <w:t>Nonassignability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b w:val="1"/>
          <w:bCs w:val="1"/>
          <w:u w:val="single" w:color="auto"/>
          <w:color w:val="auto"/>
        </w:rPr>
        <w:t>No Right to Employment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Nothing contained in this Plan or any documents relating to the Plan shall: (a) confer on a Participant any right to continue in the employ of a Related Company, (b) constitute any contract or agreement of employment, (c) interfere with the right of a Related Company to terminate the Participant’s employment at any time, with or without cause.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b w:val="1"/>
          <w:bCs w:val="1"/>
          <w:u w:val="single" w:color="auto"/>
          <w:color w:val="auto"/>
        </w:rPr>
        <w:t>Incompetency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If the Administrator determines that a distribution under this Plan is to be paid to a minor,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b w:val="1"/>
          <w:bCs w:val="1"/>
          <w:u w:val="single" w:color="auto"/>
          <w:color w:val="auto"/>
        </w:rPr>
        <w:t>Tax Withholding</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To the extent required by the law in effect at the time of any distribution, the Participant’s Employer shall withhold from any payments to a Participant hereunder any taxes required to be withheld by the federal or any state or local government, in amounts and in a manner to be determined in the sole discretion of the Employer(s).</w:t>
      </w:r>
    </w:p>
    <w:p>
      <w:pPr>
        <w:sectPr>
          <w:pgSz w:w="11900" w:h="16838" w:orient="portrait"/>
          <w:cols w:equalWidth="0" w:num="1">
            <w:col w:w="11420"/>
          </w:cols>
          <w:pgMar w:left="240" w:top="122" w:right="239" w:bottom="1440" w:gutter="0" w:footer="0" w:header="0"/>
        </w:sectPr>
      </w:pPr>
    </w:p>
    <w:bookmarkStart w:id="259" w:name="page260"/>
    <w:bookmarkEnd w:id="259"/>
    <w:p>
      <w:pPr>
        <w:ind w:left="7780"/>
        <w:spacing w:after="0"/>
        <w:rPr>
          <w:sz w:val="20"/>
          <w:szCs w:val="20"/>
          <w:color w:val="auto"/>
        </w:rPr>
      </w:pPr>
      <w:r>
        <w:rPr>
          <w:rFonts w:ascii="Arial" w:cs="Arial" w:eastAsia="Arial" w:hAnsi="Arial"/>
          <w:sz w:val="18"/>
          <w:szCs w:val="18"/>
          <w:b w:val="1"/>
          <w:bCs w:val="1"/>
          <w:color w:val="auto"/>
        </w:rPr>
        <w:t>Exhibit 10(f)4</w:t>
      </w: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b w:val="1"/>
          <w:bCs w:val="1"/>
          <w:u w:val="single" w:color="auto"/>
          <w:color w:val="auto"/>
        </w:rPr>
        <w:t>Furnishing Information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Participant or his Beneficiary will cooperate with the Administrator by furnishing any and all 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b w:val="1"/>
          <w:bCs w:val="1"/>
          <w:u w:val="single" w:color="auto"/>
          <w:color w:val="auto"/>
        </w:rPr>
        <w:t>Gender and Number</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Except when otherwise indicated by context, words in the masculine gender shall include the feminine and neuter genders, the singular shall include the plural, and the plural shall include the singular.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13.10  </w:t>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headings contained in this Plan are for convenience only and will not control or affect the meaning or construction of any of the terms or provisions of this Plan.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13.11</w:t>
      </w:r>
      <w:r>
        <w:rPr>
          <w:sz w:val="20"/>
          <w:szCs w:val="20"/>
          <w:color w:val="auto"/>
        </w:rPr>
        <w:tab/>
      </w:r>
      <w:r>
        <w:rPr>
          <w:rFonts w:ascii="Arial" w:cs="Arial" w:eastAsia="Arial" w:hAnsi="Arial"/>
          <w:sz w:val="19"/>
          <w:szCs w:val="19"/>
          <w:b w:val="1"/>
          <w:bCs w:val="1"/>
          <w:u w:val="single" w:color="auto"/>
          <w:color w:val="auto"/>
        </w:rPr>
        <w:t>Applicable Law and Construction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Plan shall be governed by, construed and administered in accordance with the 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13.12  </w:t>
      </w:r>
      <w:r>
        <w:rPr>
          <w:rFonts w:ascii="Arial" w:cs="Arial" w:eastAsia="Arial" w:hAnsi="Arial"/>
          <w:sz w:val="22"/>
          <w:szCs w:val="22"/>
          <w:b w:val="1"/>
          <w:bCs w:val="1"/>
          <w:u w:val="single" w:color="auto"/>
          <w:color w:val="auto"/>
        </w:rPr>
        <w:t>Invalid or Unenforceable Provisions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13.13  </w:t>
      </w:r>
      <w:r>
        <w:rPr>
          <w:rFonts w:ascii="Arial" w:cs="Arial" w:eastAsia="Arial" w:hAnsi="Arial"/>
          <w:sz w:val="22"/>
          <w:szCs w:val="22"/>
          <w:b w:val="1"/>
          <w:bCs w:val="1"/>
          <w:u w:val="single" w:color="auto"/>
          <w:color w:val="auto"/>
        </w:rPr>
        <w:t>Successors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ectPr>
          <w:pgSz w:w="11900" w:h="16838" w:orient="portrait"/>
          <w:cols w:equalWidth="0" w:num="1">
            <w:col w:w="11420"/>
          </w:cols>
          <w:pgMar w:left="240" w:top="121" w:right="239" w:bottom="1440" w:gutter="0" w:footer="0" w:header="0"/>
        </w:sectPr>
      </w:pPr>
    </w:p>
    <w:bookmarkStart w:id="260" w:name="page261"/>
    <w:bookmarkEnd w:id="260"/>
    <w:p>
      <w:pPr>
        <w:ind w:left="7780"/>
        <w:spacing w:after="0"/>
        <w:rPr>
          <w:sz w:val="20"/>
          <w:szCs w:val="20"/>
          <w:color w:val="auto"/>
        </w:rPr>
      </w:pPr>
      <w:r>
        <w:rPr>
          <w:rFonts w:ascii="Arial" w:cs="Arial" w:eastAsia="Arial" w:hAnsi="Arial"/>
          <w:sz w:val="18"/>
          <w:szCs w:val="18"/>
          <w:b w:val="1"/>
          <w:bCs w:val="1"/>
          <w:color w:val="auto"/>
        </w:rPr>
        <w:t>Exhibit 10(f)4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162(m) Deferrals</w:t>
      </w:r>
      <w:r>
        <w:rPr>
          <w:rFonts w:ascii="Arial" w:cs="Arial" w:eastAsia="Arial" w:hAnsi="Arial"/>
          <w:sz w:val="21"/>
          <w:szCs w:val="21"/>
          <w:color w:val="auto"/>
        </w:rPr>
        <w:t>” means the portion of a Participant’s Annual Incentive Award for a Plan Year ending on or before December 31, 2018, that the Company reasonably anticipates is not deductible by the application of Code section 162(m).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409A Plan</w:t>
      </w:r>
      <w:r>
        <w:rPr>
          <w:rFonts w:ascii="Arial" w:cs="Arial" w:eastAsia="Arial" w:hAnsi="Arial"/>
          <w:sz w:val="19"/>
          <w:szCs w:val="19"/>
          <w:color w:val="auto"/>
        </w:rPr>
        <w:t>” means one of the separate non-qualified deferred compensation arrangements described in Section 2.1.</w:t>
      </w:r>
    </w:p>
    <w:p>
      <w:pPr>
        <w:spacing w:after="0" w:line="25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the Company’s bookkeeping entry representing a Participant’s Deferrals, and such other accounts or sub-accounts as the Administrator deems necessary or appropriate.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Employee Benefit Plans Committee appointed by the Board or delegates of the Employee Benefit Plans Committee.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Aggregated Plan</w:t>
      </w:r>
      <w:r>
        <w:rPr>
          <w:rFonts w:ascii="Arial" w:cs="Arial" w:eastAsia="Arial" w:hAnsi="Arial"/>
          <w:sz w:val="19"/>
          <w:szCs w:val="19"/>
          <w:color w:val="auto"/>
        </w:rPr>
        <w:t>s” means, with respect to any 409A Plan, that plan and all other non-qualified deferred compensation plans which must be aggregated with that plan in accordance with the plan aggregation rules of Section 409A.</w:t>
      </w:r>
    </w:p>
    <w:p>
      <w:pPr>
        <w:spacing w:after="0" w:line="10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Award</w:t>
      </w:r>
      <w:r>
        <w:rPr>
          <w:rFonts w:ascii="Arial" w:cs="Arial" w:eastAsia="Arial" w:hAnsi="Arial"/>
          <w:sz w:val="22"/>
          <w:szCs w:val="22"/>
          <w:color w:val="auto"/>
        </w:rPr>
        <w:t>” means the annual award received by a Participant under the ALLETE Executive Annual Incentive Plan or any predecessor or successor plan.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Basic Compensation</w:t>
      </w:r>
      <w:r>
        <w:rPr>
          <w:rFonts w:ascii="Arial" w:cs="Arial" w:eastAsia="Arial" w:hAnsi="Arial"/>
          <w:sz w:val="22"/>
          <w:szCs w:val="22"/>
          <w:color w:val="auto"/>
        </w:rPr>
        <w:t>” shall have the meaning prescribed in Retirement Plan A, but shall be calculated without regard to the limitation on compensation imposed by Code section 401(a)(17).</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one or more persons, trusts, estates or other entities, designated in accordance this Plan, that are entitled to receive Plan benefits upon the death of a Participant.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w:t>
      </w:r>
      <w:r>
        <w:rPr>
          <w:rFonts w:ascii="Arial" w:cs="Arial" w:eastAsia="Arial" w:hAnsi="Arial"/>
          <w:sz w:val="22"/>
          <w:szCs w:val="22"/>
          <w:color w:val="auto"/>
        </w:rPr>
        <w:t>d” means the Board of Directors of the Company.</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Bonus</w:t>
      </w:r>
      <w:r>
        <w:rPr>
          <w:rFonts w:ascii="Arial" w:cs="Arial" w:eastAsia="Arial" w:hAnsi="Arial"/>
          <w:sz w:val="22"/>
          <w:szCs w:val="22"/>
          <w:color w:val="auto"/>
        </w:rPr>
        <w:t>” means any incentive compensation, including Annual Incentive Awards, that is payable to the Participant in addition to the Participant’s Salary.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of:</w:t>
      </w:r>
    </w:p>
    <w:p>
      <w:pPr>
        <w:spacing w:after="0" w:line="220" w:lineRule="exact"/>
        <w:rPr>
          <w:sz w:val="20"/>
          <w:szCs w:val="20"/>
          <w:color w:val="auto"/>
        </w:rPr>
      </w:pPr>
    </w:p>
    <w:p>
      <w:pPr>
        <w:jc w:val="both"/>
        <w:ind w:left="2280" w:hanging="651"/>
        <w:spacing w:after="0" w:line="289" w:lineRule="auto"/>
        <w:tabs>
          <w:tab w:leader="none" w:pos="228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ectPr>
          <w:pgSz w:w="11900" w:h="16838" w:orient="portrait"/>
          <w:cols w:equalWidth="0" w:num="1">
            <w:col w:w="11420"/>
          </w:cols>
          <w:pgMar w:left="240" w:top="121" w:right="239" w:bottom="1440" w:gutter="0" w:footer="0" w:header="0"/>
        </w:sectPr>
      </w:pPr>
    </w:p>
    <w:bookmarkStart w:id="261" w:name="page262"/>
    <w:bookmarkEnd w:id="261"/>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left="2280" w:hanging="651"/>
        <w:spacing w:after="0" w:line="302" w:lineRule="auto"/>
        <w:tabs>
          <w:tab w:leader="none" w:pos="22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(b) 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42" w:lineRule="exact"/>
        <w:rPr>
          <w:rFonts w:ascii="Arial" w:cs="Arial" w:eastAsia="Arial" w:hAnsi="Arial"/>
          <w:sz w:val="19"/>
          <w:szCs w:val="19"/>
          <w:color w:val="auto"/>
        </w:rPr>
      </w:pPr>
    </w:p>
    <w:p>
      <w:pPr>
        <w:ind w:left="2280" w:hanging="651"/>
        <w:spacing w:after="0"/>
        <w:tabs>
          <w:tab w:leader="none" w:pos="22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(c) the date a majority of the members of the Company’s board of directors is replaced during any twelve</w:t>
      </w:r>
    </w:p>
    <w:p>
      <w:pPr>
        <w:spacing w:after="0" w:line="56" w:lineRule="exact"/>
        <w:rPr>
          <w:rFonts w:ascii="Arial" w:cs="Arial" w:eastAsia="Arial" w:hAnsi="Arial"/>
          <w:sz w:val="19"/>
          <w:szCs w:val="19"/>
          <w:color w:val="auto"/>
        </w:rPr>
      </w:pPr>
    </w:p>
    <w:p>
      <w:pPr>
        <w:ind w:left="2280" w:hanging="3"/>
        <w:spacing w:after="0" w:line="246" w:lineRule="auto"/>
        <w:tabs>
          <w:tab w:leader="none" w:pos="2734" w:val="left"/>
        </w:tabs>
        <w:numPr>
          <w:ilvl w:val="1"/>
          <w:numId w:val="178"/>
        </w:numPr>
        <w:rPr>
          <w:rFonts w:ascii="Arial" w:cs="Arial" w:eastAsia="Arial" w:hAnsi="Arial"/>
          <w:sz w:val="22"/>
          <w:szCs w:val="22"/>
          <w:color w:val="auto"/>
        </w:rPr>
      </w:pPr>
      <w:r>
        <w:rPr>
          <w:rFonts w:ascii="Arial" w:cs="Arial" w:eastAsia="Arial" w:hAnsi="Arial"/>
          <w:sz w:val="22"/>
          <w:szCs w:val="22"/>
          <w:color w:val="auto"/>
        </w:rPr>
        <w:t>month period by directors whose appointment or election is not endorsed by a majority of the members of the board of directors prior to the date of appointment or election; or</w:t>
      </w:r>
    </w:p>
    <w:p>
      <w:pPr>
        <w:spacing w:after="0" w:line="192" w:lineRule="exact"/>
        <w:rPr>
          <w:rFonts w:ascii="Arial" w:cs="Arial" w:eastAsia="Arial" w:hAnsi="Arial"/>
          <w:sz w:val="22"/>
          <w:szCs w:val="22"/>
          <w:color w:val="auto"/>
        </w:rPr>
      </w:pPr>
    </w:p>
    <w:p>
      <w:pPr>
        <w:jc w:val="both"/>
        <w:ind w:left="2280" w:hanging="651"/>
        <w:spacing w:after="0" w:line="292" w:lineRule="auto"/>
        <w:tabs>
          <w:tab w:leader="none" w:pos="22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(d) 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Claimant</w:t>
      </w:r>
      <w:r>
        <w:rPr>
          <w:rFonts w:ascii="Arial" w:cs="Arial" w:eastAsia="Arial" w:hAnsi="Arial"/>
          <w:sz w:val="22"/>
          <w:szCs w:val="22"/>
          <w:color w:val="auto"/>
        </w:rPr>
        <w:t>” shall have the meaning set forth in Section 11.1.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it may be amended from time to time.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ALLETE, Inc., a Minnesota Corporation, and any successor to all, or substantially all, of the Company’s assets 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Credited Service</w:t>
      </w:r>
      <w:r>
        <w:rPr>
          <w:rFonts w:ascii="Arial" w:cs="Arial" w:eastAsia="Arial" w:hAnsi="Arial"/>
          <w:sz w:val="22"/>
          <w:szCs w:val="22"/>
          <w:color w:val="auto"/>
        </w:rPr>
        <w:t>” shall have the meaning prescribed in the Retirement Plan 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Deferrals</w:t>
      </w:r>
      <w:r>
        <w:rPr>
          <w:rFonts w:ascii="Arial" w:cs="Arial" w:eastAsia="Arial" w:hAnsi="Arial"/>
          <w:sz w:val="22"/>
          <w:szCs w:val="22"/>
          <w:color w:val="auto"/>
        </w:rPr>
        <w:t>” means Elective Deferrals and Non-Elective Deferrals.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 or “Disabled</w:t>
      </w:r>
      <w:r>
        <w:rPr>
          <w:rFonts w:ascii="Arial" w:cs="Arial" w:eastAsia="Arial" w:hAnsi="Arial"/>
          <w:sz w:val="21"/>
          <w:szCs w:val="21"/>
          <w:color w:val="auto"/>
        </w:rPr>
        <w:t>” when used with an initial capital letter, means a physical or mental condition in which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Participant is:</w:t>
      </w:r>
    </w:p>
    <w:p>
      <w:pPr>
        <w:spacing w:after="0" w:line="202" w:lineRule="exact"/>
        <w:rPr>
          <w:sz w:val="20"/>
          <w:szCs w:val="20"/>
          <w:color w:val="auto"/>
        </w:rPr>
      </w:pPr>
    </w:p>
    <w:p>
      <w:pPr>
        <w:jc w:val="both"/>
        <w:ind w:left="2280" w:hanging="651"/>
        <w:spacing w:after="0" w:line="253" w:lineRule="auto"/>
        <w:tabs>
          <w:tab w:leader="none" w:pos="22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ectPr>
          <w:pgSz w:w="11900" w:h="16838" w:orient="portrait"/>
          <w:cols w:equalWidth="0" w:num="1">
            <w:col w:w="11420"/>
          </w:cols>
          <w:pgMar w:left="240" w:top="121" w:right="239" w:bottom="1440" w:gutter="0" w:footer="0" w:header="0"/>
        </w:sectPr>
      </w:pPr>
    </w:p>
    <w:bookmarkStart w:id="262" w:name="page263"/>
    <w:bookmarkEnd w:id="262"/>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left="2280" w:hanging="651"/>
        <w:spacing w:after="0" w:line="250" w:lineRule="auto"/>
        <w:tabs>
          <w:tab w:leader="none" w:pos="22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88" w:lineRule="exact"/>
        <w:rPr>
          <w:rFonts w:ascii="Arial" w:cs="Arial" w:eastAsia="Arial" w:hAnsi="Arial"/>
          <w:sz w:val="22"/>
          <w:szCs w:val="22"/>
          <w:color w:val="auto"/>
        </w:rPr>
      </w:pPr>
    </w:p>
    <w:p>
      <w:pPr>
        <w:ind w:left="2280" w:hanging="651"/>
        <w:spacing w:after="0"/>
        <w:tabs>
          <w:tab w:leader="none" w:pos="22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22"/>
          <w:szCs w:val="22"/>
          <w:color w:val="auto"/>
        </w:rPr>
      </w:pPr>
    </w:p>
    <w:p>
      <w:pPr>
        <w:jc w:val="both"/>
        <w:ind w:left="2280" w:hanging="651"/>
        <w:spacing w:after="0" w:line="253" w:lineRule="auto"/>
        <w:tabs>
          <w:tab w:leader="none" w:pos="22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When the term “disability” (without an initial capital letter) is used in the Plan, it shall have the meaning prescribed in the definition of “Separation from Service.”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Event</w:t>
      </w:r>
      <w:r>
        <w:rPr>
          <w:rFonts w:ascii="Arial" w:cs="Arial" w:eastAsia="Arial" w:hAnsi="Arial"/>
          <w:sz w:val="19"/>
          <w:szCs w:val="19"/>
          <w:color w:val="auto"/>
        </w:rPr>
        <w:t>” 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Elective Deferrals</w:t>
      </w:r>
      <w:r>
        <w:rPr>
          <w:rFonts w:ascii="Arial" w:cs="Arial" w:eastAsia="Arial" w:hAnsi="Arial"/>
          <w:sz w:val="22"/>
          <w:szCs w:val="22"/>
          <w:color w:val="auto"/>
        </w:rPr>
        <w:t>” means any portion of a Participant’s Salary, Bonus, Severance Pay, Annual Make-up Award or Other Award that a Participant irrevocably elects to defer.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 Employee in management salary grades SA-SM, who has been notified in writing by the Administrator of eligibility to participate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Surviving Spous</w:t>
      </w:r>
      <w:r>
        <w:rPr>
          <w:rFonts w:ascii="Arial" w:cs="Arial" w:eastAsia="Arial" w:hAnsi="Arial"/>
          <w:sz w:val="22"/>
          <w:szCs w:val="22"/>
          <w:color w:val="auto"/>
        </w:rPr>
        <w:t>e” shall have the meaning prescribed in Retirement Plan 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 person who is a common-law employee of any Related Company.</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Employer(s)</w:t>
      </w:r>
      <w:r>
        <w:rPr>
          <w:rFonts w:ascii="Arial" w:cs="Arial" w:eastAsia="Arial" w:hAnsi="Arial"/>
          <w:sz w:val="22"/>
          <w:szCs w:val="22"/>
          <w:color w:val="auto"/>
        </w:rPr>
        <w:t>” means the Company and any Related Company (now in existence or hereafter formed or acquired) that have been selected by the Administrator to participate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it may be amended from time to time.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Misconduct</w:t>
      </w:r>
      <w:r>
        <w:rPr>
          <w:rFonts w:ascii="Arial" w:cs="Arial" w:eastAsia="Arial" w:hAnsi="Arial"/>
          <w:sz w:val="22"/>
          <w:szCs w:val="22"/>
          <w:color w:val="auto"/>
        </w:rPr>
        <w:t>” 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spacing w:after="0" w:line="186" w:lineRule="exact"/>
        <w:rPr>
          <w:sz w:val="20"/>
          <w:szCs w:val="20"/>
          <w:color w:val="auto"/>
        </w:rPr>
      </w:pPr>
    </w:p>
    <w:p>
      <w:pPr>
        <w:ind w:left="660" w:hanging="4"/>
        <w:spacing w:after="0" w:line="276" w:lineRule="auto"/>
        <w:tabs>
          <w:tab w:leader="none" w:pos="10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 act or omission by the Participant involving dishonesty in connection with his or her responsibilities as an employee of the Company; or</w:t>
      </w:r>
    </w:p>
    <w:p>
      <w:pPr>
        <w:spacing w:after="0" w:line="160" w:lineRule="exact"/>
        <w:rPr>
          <w:rFonts w:ascii="Arial" w:cs="Arial" w:eastAsia="Arial" w:hAnsi="Arial"/>
          <w:sz w:val="22"/>
          <w:szCs w:val="22"/>
          <w:color w:val="auto"/>
        </w:rPr>
      </w:pPr>
    </w:p>
    <w:p>
      <w:pPr>
        <w:jc w:val="both"/>
        <w:ind w:left="660" w:hanging="4"/>
        <w:spacing w:after="0" w:line="254" w:lineRule="auto"/>
        <w:tabs>
          <w:tab w:leader="none" w:pos="111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the Participant’s conviction of, or entry of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any felony or a misdemeanor involving moral turpitude, provided that a misdemeanor motor vehicle violation will not constitute a crime of moral turpitude unless it involves driving while impaired within the scope of employment or another serious driving offense committed within the scope of employment.</w:t>
      </w:r>
    </w:p>
    <w:p>
      <w:pPr>
        <w:sectPr>
          <w:pgSz w:w="11900" w:h="16838" w:orient="portrait"/>
          <w:cols w:equalWidth="0" w:num="1">
            <w:col w:w="11420"/>
          </w:cols>
          <w:pgMar w:left="240" w:top="121" w:right="239" w:bottom="1440" w:gutter="0" w:footer="0" w:header="0"/>
        </w:sectPr>
      </w:pPr>
    </w:p>
    <w:bookmarkStart w:id="263" w:name="page264"/>
    <w:bookmarkEnd w:id="263"/>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clarifying the foregoing definition, Misconduct can occur regardless of whether the Company discovers the Misconduct before or after the Participant’s Separation from Service and regardless of whether the Participant has a Separation from Service on account of the Misconduct.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Non-Elective Deferrals</w:t>
      </w:r>
      <w:r>
        <w:rPr>
          <w:rFonts w:ascii="Arial" w:cs="Arial" w:eastAsia="Arial" w:hAnsi="Arial"/>
          <w:sz w:val="22"/>
          <w:szCs w:val="22"/>
          <w:color w:val="auto"/>
        </w:rPr>
        <w:t>” means 162(m) Deferrals and the Annual Make-up Award credited to the Account of any Participant whose Salary exceeds the Code section 401(a)(17) limit.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Award</w:t>
      </w:r>
      <w:r>
        <w:rPr>
          <w:rFonts w:ascii="Arial" w:cs="Arial" w:eastAsia="Arial" w:hAnsi="Arial"/>
          <w:sz w:val="22"/>
          <w:szCs w:val="22"/>
          <w:color w:val="auto"/>
        </w:rPr>
        <w:t>” means an award, other than an Annual Incentive Award or Severance Pay, that a Participant may defer at the Administrator’s discretion.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any Eligible Employee (i) who has elected to defer amounts under the Plan, (ii) who is eligible to receive a Retirement Benefit or (iii) whose compensation, or a portion thereof, was deferred as a Non-Elective Deferral.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SERP II.</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a period beginning on January 1 of each calendar year and continuing through December 31 of such calendar year.</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Company</w:t>
      </w:r>
      <w:r>
        <w:rPr>
          <w:rFonts w:ascii="Arial" w:cs="Arial" w:eastAsia="Arial" w:hAnsi="Arial"/>
          <w:sz w:val="19"/>
          <w:szCs w:val="19"/>
          <w:color w:val="auto"/>
        </w:rPr>
        <w:t>”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Separation from Service, for reasons other than death, on or after attaining both 50 years of age and 10 years of Vesting Service.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Benefit</w:t>
      </w:r>
      <w:r>
        <w:rPr>
          <w:rFonts w:ascii="Arial" w:cs="Arial" w:eastAsia="Arial" w:hAnsi="Arial"/>
          <w:sz w:val="22"/>
          <w:szCs w:val="22"/>
          <w:color w:val="auto"/>
        </w:rPr>
        <w:t>” means the benefit payable pursuant to Article 8.</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Plans</w:t>
      </w:r>
      <w:r>
        <w:rPr>
          <w:rFonts w:ascii="Arial" w:cs="Arial" w:eastAsia="Arial" w:hAnsi="Arial"/>
          <w:sz w:val="22"/>
          <w:szCs w:val="22"/>
          <w:color w:val="auto"/>
        </w:rPr>
        <w:t>” mean the Minnesota Power and Affiliated Companies Retirement Plan A and Minnesota Power and Affiliated Companies Retirement Plan B, as amended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Savings and Stock Ownership Plan</w:t>
      </w:r>
      <w:r>
        <w:rPr>
          <w:rFonts w:ascii="Arial" w:cs="Arial" w:eastAsia="Arial" w:hAnsi="Arial"/>
          <w:sz w:val="22"/>
          <w:szCs w:val="22"/>
          <w:color w:val="auto"/>
        </w:rPr>
        <w:t>” or “RSOP” means the Minnesota Power and Affiliated Companies Retirement Savings and Stock Ownership Plan, as amended from time to time.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Salary</w:t>
      </w:r>
      <w:r>
        <w:rPr>
          <w:rFonts w:ascii="Arial" w:cs="Arial" w:eastAsia="Arial" w:hAnsi="Arial"/>
          <w:sz w:val="21"/>
          <w:szCs w:val="21"/>
          <w:color w:val="auto"/>
        </w:rPr>
        <w:t>” means the Participant’s earnings during a calendar year, before any reduction pursuant to Code sections 125, 132(f) (4),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Salary as defined herein shall include amounts received from all such companies.</w:t>
      </w:r>
    </w:p>
    <w:p>
      <w:pPr>
        <w:sectPr>
          <w:pgSz w:w="11900" w:h="16838" w:orient="portrait"/>
          <w:cols w:equalWidth="0" w:num="1">
            <w:col w:w="11420"/>
          </w:cols>
          <w:pgMar w:left="240" w:top="121" w:right="239" w:bottom="1440" w:gutter="0" w:footer="0" w:header="0"/>
        </w:sectPr>
      </w:pPr>
    </w:p>
    <w:bookmarkStart w:id="264" w:name="page265"/>
    <w:bookmarkEnd w:id="264"/>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both section 409A of the Code and Treasury Regulations section 1.409A-1 et seq., as they both may be amended from time to time, and other guidance issued by the Treasury Department and Internal Revenue Service thereunder.</w:t>
      </w:r>
    </w:p>
    <w:p>
      <w:pPr>
        <w:spacing w:after="0" w:line="1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6 months.</w:t>
      </w:r>
    </w:p>
    <w:p>
      <w:pPr>
        <w:spacing w:after="0" w:line="1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 II</w:t>
      </w:r>
      <w:r>
        <w:rPr>
          <w:rFonts w:ascii="Arial" w:cs="Arial" w:eastAsia="Arial" w:hAnsi="Arial"/>
          <w:sz w:val="22"/>
          <w:szCs w:val="22"/>
          <w:color w:val="auto"/>
        </w:rPr>
        <w:t>” means the ALLETE and Affiliated Companies Supplemental Executive Retirement Plan II,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Pay</w:t>
      </w:r>
      <w:r>
        <w:rPr>
          <w:rFonts w:ascii="Arial" w:cs="Arial" w:eastAsia="Arial" w:hAnsi="Arial"/>
          <w:sz w:val="22"/>
          <w:szCs w:val="22"/>
          <w:color w:val="auto"/>
        </w:rPr>
        <w:t>” 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Year</w:t>
      </w:r>
      <w:r>
        <w:rPr>
          <w:rFonts w:ascii="Arial" w:cs="Arial" w:eastAsia="Arial" w:hAnsi="Arial"/>
          <w:sz w:val="22"/>
          <w:szCs w:val="22"/>
          <w:color w:val="auto"/>
        </w:rPr>
        <w:t>” means a calendar year during which a Participant has elected to receive a distribution of Elective Deferrals.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means an Employee who is subject to the six-month delay rule described in Code section 409A(2)(B) (i). The Board shall adopt guidelines for identifying Specified Employees in a manner consistent with Section 409A, and may amend the guidelines from time to time as permitted by Section 409A.</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Unforeseeable Emergency</w:t>
      </w:r>
      <w:r>
        <w:rPr>
          <w:rFonts w:ascii="Arial" w:cs="Arial" w:eastAsia="Arial" w:hAnsi="Arial"/>
          <w:sz w:val="21"/>
          <w:szCs w:val="21"/>
          <w:color w:val="auto"/>
        </w:rPr>
        <w:t>” 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 (iii) such other similar extraordinary and unforeseeable circumstances arising as a result of events beyond the control of the Participant, all as determined in the sole discretion of the Administrator.</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Date</w:t>
      </w:r>
      <w:r>
        <w:rPr>
          <w:rFonts w:ascii="Arial" w:cs="Arial" w:eastAsia="Arial" w:hAnsi="Arial"/>
          <w:sz w:val="22"/>
          <w:szCs w:val="22"/>
          <w:color w:val="auto"/>
        </w:rPr>
        <w:t>” means each day that the U.S. stock markets are open or such other dates as may be set by the Administrator from time to time.</w:t>
      </w:r>
    </w:p>
    <w:p>
      <w:pPr>
        <w:sectPr>
          <w:pgSz w:w="11900" w:h="16838" w:orient="portrait"/>
          <w:cols w:equalWidth="0" w:num="1">
            <w:col w:w="11420"/>
          </w:cols>
          <w:pgMar w:left="240" w:top="121" w:right="239" w:bottom="1440" w:gutter="0" w:footer="0" w:header="0"/>
        </w:sectPr>
      </w:pPr>
    </w:p>
    <w:bookmarkStart w:id="265" w:name="page266"/>
    <w:bookmarkEnd w:id="265"/>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Service</w:t>
      </w:r>
      <w:r>
        <w:rPr>
          <w:rFonts w:ascii="Arial" w:cs="Arial" w:eastAsia="Arial" w:hAnsi="Arial"/>
          <w:sz w:val="22"/>
          <w:szCs w:val="22"/>
          <w:color w:val="auto"/>
        </w:rPr>
        <w:t>” 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ectPr>
          <w:pgSz w:w="11900" w:h="16838" w:orient="portrait"/>
          <w:cols w:equalWidth="0" w:num="1">
            <w:col w:w="11420"/>
          </w:cols>
          <w:pgMar w:left="240" w:top="121" w:right="239" w:bottom="1440" w:gutter="0" w:footer="0" w:header="0"/>
        </w:sectPr>
      </w:pPr>
    </w:p>
    <w:bookmarkStart w:id="266" w:name="page267"/>
    <w:bookmarkEnd w:id="266"/>
    <w:p>
      <w:pPr>
        <w:ind w:left="7780"/>
        <w:spacing w:after="0"/>
        <w:rPr>
          <w:sz w:val="20"/>
          <w:szCs w:val="20"/>
          <w:color w:val="auto"/>
        </w:rPr>
      </w:pPr>
      <w:r>
        <w:rPr>
          <w:rFonts w:ascii="Arial" w:cs="Arial" w:eastAsia="Arial" w:hAnsi="Arial"/>
          <w:sz w:val="18"/>
          <w:szCs w:val="18"/>
          <w:b w:val="1"/>
          <w:bCs w:val="1"/>
          <w:color w:val="auto"/>
        </w:rPr>
        <w:t>Exhibit 10(f)4</w:t>
      </w:r>
    </w:p>
    <w:p>
      <w:pPr>
        <w:spacing w:after="0" w:line="26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ALLETE, Inc. has caused these presents to be signed by its duly authorized officers, 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300"/>
        <w:spacing w:after="0"/>
        <w:rPr>
          <w:sz w:val="20"/>
          <w:szCs w:val="20"/>
          <w:color w:val="auto"/>
        </w:rPr>
      </w:pPr>
      <w:r>
        <w:rPr>
          <w:rFonts w:ascii="Arial" w:cs="Arial" w:eastAsia="Arial" w:hAnsi="Arial"/>
          <w:sz w:val="22"/>
          <w:szCs w:val="22"/>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6858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13"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Alan R. Hodnik</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Chairman, President and Chief</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Executive Officer</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-17780</wp:posOffset>
            </wp:positionV>
            <wp:extent cx="6858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Bethany M. Owen</w:t>
      </w:r>
    </w:p>
    <w:p>
      <w:pPr>
        <w:spacing w:after="0" w:line="220"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Its:</w:t>
        <w:tab/>
        <w:t>Senior Vice President, Chief Legal and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Administrative Officer, and Secretary</w:t>
      </w:r>
    </w:p>
    <w:p>
      <w:pPr>
        <w:sectPr>
          <w:pgSz w:w="11900" w:h="16838" w:orient="portrait"/>
          <w:cols w:equalWidth="0" w:num="1">
            <w:col w:w="11400"/>
          </w:cols>
          <w:pgMar w:left="240" w:top="121" w:right="25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10(i)10</w:t>
      </w:r>
    </w:p>
    <w:p>
      <w:pPr>
        <w:spacing w:after="0" w:line="3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20"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31750</wp:posOffset>
            </wp:positionV>
            <wp:extent cx="2178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President &amp; CEO</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22"/>
          <w:szCs w:val="22"/>
          <w:b w:val="1"/>
          <w:bCs w:val="1"/>
          <w:u w:val="single" w:color="auto"/>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180" w:firstLine="8"/>
        <w:spacing w:after="0" w:line="250" w:lineRule="auto"/>
        <w:tabs>
          <w:tab w:leader="none" w:pos="342"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8" w:lineRule="exact"/>
        <w:rPr>
          <w:rFonts w:ascii="Arial" w:cs="Arial" w:eastAsia="Arial" w:hAnsi="Arial"/>
          <w:sz w:val="22"/>
          <w:szCs w:val="22"/>
          <w:color w:val="auto"/>
        </w:rPr>
      </w:pPr>
    </w:p>
    <w:p>
      <w:pPr>
        <w:ind w:right="80" w:firstLine="8"/>
        <w:spacing w:after="0" w:line="262" w:lineRule="auto"/>
        <w:tabs>
          <w:tab w:leader="none" w:pos="342"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180" w:lineRule="exact"/>
        <w:rPr>
          <w:rFonts w:ascii="Arial" w:cs="Arial" w:eastAsia="Arial" w:hAnsi="Arial"/>
          <w:sz w:val="21"/>
          <w:szCs w:val="21"/>
          <w:color w:val="auto"/>
        </w:rPr>
      </w:pPr>
    </w:p>
    <w:p>
      <w:pPr>
        <w:ind w:right="680" w:firstLine="8"/>
        <w:spacing w:after="0" w:line="276" w:lineRule="auto"/>
        <w:tabs>
          <w:tab w:leader="none" w:pos="342"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0" w:lineRule="exact"/>
        <w:rPr>
          <w:sz w:val="20"/>
          <w:szCs w:val="20"/>
          <w:color w:val="auto"/>
        </w:rPr>
      </w:pPr>
    </w:p>
    <w:p>
      <w:pPr>
        <w:ind w:left="660"/>
        <w:spacing w:after="0" w:line="320"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369" w:right="279" w:bottom="1440" w:gutter="0" w:footer="0" w:header="0"/>
        </w:sectPr>
      </w:pPr>
    </w:p>
    <w:bookmarkStart w:id="269" w:name="page270"/>
    <w:bookmarkEnd w:id="269"/>
    <w:p>
      <w:pPr>
        <w:ind w:left="652" w:right="200"/>
        <w:spacing w:after="0" w:line="266" w:lineRule="auto"/>
        <w:rPr>
          <w:sz w:val="20"/>
          <w:szCs w:val="20"/>
          <w:color w:val="auto"/>
        </w:rPr>
      </w:pPr>
      <w:r>
        <w:rPr>
          <w:rFonts w:ascii="Arial" w:cs="Arial" w:eastAsia="Arial" w:hAnsi="Arial"/>
          <w:sz w:val="21"/>
          <w:szCs w:val="21"/>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74" w:lineRule="exact"/>
        <w:rPr>
          <w:sz w:val="20"/>
          <w:szCs w:val="20"/>
          <w:color w:val="auto"/>
        </w:rPr>
      </w:pPr>
    </w:p>
    <w:p>
      <w:pPr>
        <w:ind w:left="652" w:right="20"/>
        <w:spacing w:after="0" w:line="264"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5" w:lineRule="exact"/>
        <w:rPr>
          <w:sz w:val="20"/>
          <w:szCs w:val="20"/>
          <w:color w:val="auto"/>
        </w:rPr>
      </w:pPr>
    </w:p>
    <w:p>
      <w:pPr>
        <w:ind w:left="-8" w:firstLine="8"/>
        <w:spacing w:after="0" w:line="266" w:lineRule="auto"/>
        <w:tabs>
          <w:tab w:leader="none" w:pos="334"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you will be credited with a whole month if you were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you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00" w:firstLine="8"/>
        <w:spacing w:after="0" w:line="260" w:lineRule="auto"/>
        <w:tabs>
          <w:tab w:leader="none" w:pos="334"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375" w:right="319" w:bottom="1440" w:gutter="0" w:footer="0" w:header="0"/>
        </w:sectPr>
      </w:pPr>
    </w:p>
    <w:bookmarkStart w:id="270" w:name="page271"/>
    <w:bookmarkEnd w:id="270"/>
    <w:p>
      <w:pPr>
        <w:ind w:left="-8" w:right="60" w:firstLine="8"/>
        <w:spacing w:after="0" w:line="260" w:lineRule="auto"/>
        <w:tabs>
          <w:tab w:leader="none" w:pos="388"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3" w:lineRule="exact"/>
        <w:rPr>
          <w:rFonts w:ascii="Arial" w:cs="Arial" w:eastAsia="Arial" w:hAnsi="Arial"/>
          <w:sz w:val="21"/>
          <w:szCs w:val="21"/>
          <w:color w:val="auto"/>
        </w:rPr>
      </w:pPr>
    </w:p>
    <w:p>
      <w:pPr>
        <w:ind w:left="392" w:hanging="392"/>
        <w:spacing w:after="0"/>
        <w:tabs>
          <w:tab w:leader="none" w:pos="392"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52"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left="652"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left="652"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left="652"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jc w:val="both"/>
        <w:ind w:left="1952" w:right="80" w:hanging="331"/>
        <w:spacing w:after="0" w:line="250" w:lineRule="auto"/>
        <w:tabs>
          <w:tab w:leader="none" w:pos="1952" w:val="left"/>
        </w:tabs>
        <w:numPr>
          <w:ilvl w:val="0"/>
          <w:numId w:val="185"/>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952" w:right="940" w:hanging="331"/>
        <w:spacing w:after="0" w:line="263" w:lineRule="auto"/>
        <w:tabs>
          <w:tab w:leader="none" w:pos="1952" w:val="left"/>
        </w:tabs>
        <w:numPr>
          <w:ilvl w:val="0"/>
          <w:numId w:val="185"/>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952" w:hanging="331"/>
        <w:spacing w:after="0"/>
        <w:tabs>
          <w:tab w:leader="none" w:pos="1952" w:val="left"/>
        </w:tabs>
        <w:numPr>
          <w:ilvl w:val="0"/>
          <w:numId w:val="185"/>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00" w:lineRule="exact"/>
        <w:rPr>
          <w:sz w:val="20"/>
          <w:szCs w:val="20"/>
          <w:color w:val="auto"/>
        </w:rPr>
      </w:pP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75" w:right="259" w:bottom="1440" w:gutter="0" w:footer="0" w:header="0"/>
        </w:sectPr>
      </w:pPr>
    </w:p>
    <w:bookmarkStart w:id="271" w:name="page272"/>
    <w:bookmarkEnd w:id="271"/>
    <w:p>
      <w:pPr>
        <w:ind w:left="760" w:right="60" w:hanging="331"/>
        <w:spacing w:after="0" w:line="247" w:lineRule="auto"/>
        <w:tabs>
          <w:tab w:leader="none" w:pos="760" w:val="left"/>
        </w:tabs>
        <w:numPr>
          <w:ilvl w:val="0"/>
          <w:numId w:val="186"/>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760" w:right="620" w:hanging="331"/>
        <w:spacing w:after="0" w:line="263" w:lineRule="auto"/>
        <w:tabs>
          <w:tab w:leader="none" w:pos="760" w:val="left"/>
        </w:tabs>
        <w:numPr>
          <w:ilvl w:val="0"/>
          <w:numId w:val="186"/>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15" w:lineRule="exact"/>
        <w:rPr>
          <w:rFonts w:ascii="Arial" w:cs="Arial" w:eastAsia="Arial" w:hAnsi="Arial"/>
          <w:sz w:val="18"/>
          <w:szCs w:val="18"/>
          <w:i w:val="1"/>
          <w:iCs w:val="1"/>
          <w:color w:val="auto"/>
        </w:rPr>
      </w:pPr>
    </w:p>
    <w:p>
      <w:pPr>
        <w:ind w:left="760" w:right="60" w:hanging="331"/>
        <w:spacing w:after="0" w:line="247" w:lineRule="auto"/>
        <w:tabs>
          <w:tab w:leader="none" w:pos="760" w:val="left"/>
        </w:tabs>
        <w:numPr>
          <w:ilvl w:val="0"/>
          <w:numId w:val="186"/>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186"/>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186"/>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186"/>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186"/>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272" w:name="page273"/>
    <w:bookmarkEnd w:id="272"/>
    <w:p>
      <w:pPr>
        <w:ind w:left="2592" w:right="80" w:hanging="647"/>
        <w:spacing w:after="0" w:line="248" w:lineRule="auto"/>
        <w:tabs>
          <w:tab w:leader="none" w:pos="2268" w:val="left"/>
        </w:tabs>
        <w:numPr>
          <w:ilvl w:val="2"/>
          <w:numId w:val="187"/>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22"/>
          <w:szCs w:val="22"/>
          <w:color w:val="auto"/>
        </w:rPr>
      </w:pPr>
    </w:p>
    <w:p>
      <w:pPr>
        <w:ind w:left="2592" w:right="80" w:hanging="647"/>
        <w:spacing w:after="0" w:line="302" w:lineRule="auto"/>
        <w:tabs>
          <w:tab w:leader="none" w:pos="2268" w:val="left"/>
        </w:tabs>
        <w:numPr>
          <w:ilvl w:val="2"/>
          <w:numId w:val="187"/>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83" w:lineRule="exact"/>
        <w:rPr>
          <w:rFonts w:ascii="Arial" w:cs="Arial" w:eastAsia="Arial" w:hAnsi="Arial"/>
          <w:sz w:val="16"/>
          <w:szCs w:val="16"/>
          <w:color w:val="auto"/>
        </w:rPr>
      </w:pPr>
    </w:p>
    <w:p>
      <w:pPr>
        <w:ind w:left="2592" w:hanging="647"/>
        <w:spacing w:after="0" w:line="258" w:lineRule="auto"/>
        <w:tabs>
          <w:tab w:leader="none" w:pos="2268" w:val="left"/>
        </w:tabs>
        <w:numPr>
          <w:ilvl w:val="2"/>
          <w:numId w:val="187"/>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6" w:lineRule="exact"/>
        <w:rPr>
          <w:rFonts w:ascii="Arial" w:cs="Arial" w:eastAsia="Arial" w:hAnsi="Arial"/>
          <w:sz w:val="17"/>
          <w:szCs w:val="17"/>
          <w:color w:val="auto"/>
        </w:rPr>
      </w:pPr>
    </w:p>
    <w:p>
      <w:pPr>
        <w:ind w:left="2272" w:right="180" w:hanging="651"/>
        <w:spacing w:after="0" w:line="302" w:lineRule="auto"/>
        <w:tabs>
          <w:tab w:leader="none" w:pos="1948" w:val="left"/>
        </w:tabs>
        <w:numPr>
          <w:ilvl w:val="1"/>
          <w:numId w:val="188"/>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jc w:val="both"/>
        <w:ind w:left="-8" w:right="100" w:firstLine="8"/>
        <w:spacing w:after="0" w:line="260" w:lineRule="auto"/>
        <w:tabs>
          <w:tab w:leader="none" w:pos="334"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left="-8" w:right="220" w:firstLine="8"/>
        <w:spacing w:after="0" w:line="278" w:lineRule="auto"/>
        <w:tabs>
          <w:tab w:leader="none" w:pos="383"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8" w:right="220" w:firstLine="8"/>
        <w:spacing w:after="0" w:line="254" w:lineRule="auto"/>
        <w:tabs>
          <w:tab w:leader="none" w:pos="442"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375" w:right="259" w:bottom="1440" w:gutter="0" w:footer="0" w:header="0"/>
        </w:sectPr>
      </w:pPr>
    </w:p>
    <w:bookmarkStart w:id="273" w:name="page274"/>
    <w:bookmarkEnd w:id="273"/>
    <w:p>
      <w:pPr>
        <w:ind w:left="-8" w:right="20" w:firstLine="8"/>
        <w:spacing w:after="0" w:line="307" w:lineRule="auto"/>
        <w:tabs>
          <w:tab w:leader="none" w:pos="434"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52"/>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4"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9" w:lineRule="auto"/>
        <w:tabs>
          <w:tab w:leader="none" w:pos="1792" w:val="left"/>
        </w:tabs>
        <w:numPr>
          <w:ilvl w:val="0"/>
          <w:numId w:val="191"/>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20" w:lineRule="exact"/>
        <w:rPr>
          <w:rFonts w:ascii="Arial" w:cs="Arial" w:eastAsia="Arial" w:hAnsi="Arial"/>
          <w:sz w:val="17"/>
          <w:szCs w:val="17"/>
          <w:color w:val="auto"/>
        </w:rPr>
      </w:pPr>
    </w:p>
    <w:p>
      <w:pPr>
        <w:ind w:left="1792" w:right="300" w:hanging="658"/>
        <w:spacing w:after="0" w:line="302" w:lineRule="auto"/>
        <w:tabs>
          <w:tab w:leader="none" w:pos="1792" w:val="left"/>
        </w:tabs>
        <w:numPr>
          <w:ilvl w:val="0"/>
          <w:numId w:val="191"/>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6"/>
          <w:szCs w:val="16"/>
          <w:color w:val="auto"/>
        </w:rPr>
      </w:pPr>
    </w:p>
    <w:p>
      <w:pPr>
        <w:ind w:left="1792" w:right="140" w:hanging="658"/>
        <w:spacing w:after="0" w:line="253" w:lineRule="auto"/>
        <w:tabs>
          <w:tab w:leader="none" w:pos="1792" w:val="left"/>
        </w:tabs>
        <w:numPr>
          <w:ilvl w:val="0"/>
          <w:numId w:val="191"/>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18"/>
          <w:szCs w:val="18"/>
          <w:color w:val="auto"/>
        </w:rPr>
      </w:pPr>
    </w:p>
    <w:p>
      <w:pPr>
        <w:ind w:left="1792" w:hanging="658"/>
        <w:spacing w:after="0" w:line="260" w:lineRule="auto"/>
        <w:tabs>
          <w:tab w:leader="none" w:pos="1792" w:val="left"/>
        </w:tabs>
        <w:numPr>
          <w:ilvl w:val="0"/>
          <w:numId w:val="191"/>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375" w:right="259" w:bottom="1440" w:gutter="0" w:footer="0" w:header="0"/>
        </w:sectPr>
      </w:pPr>
    </w:p>
    <w:bookmarkStart w:id="274" w:name="page275"/>
    <w:bookmarkEnd w:id="274"/>
    <w:p>
      <w:pPr>
        <w:ind w:right="60"/>
        <w:spacing w:after="0" w:line="294"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300" w:right="60" w:hanging="650"/>
        <w:spacing w:after="0" w:line="250"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300" w:hanging="650"/>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18"/>
          <w:szCs w:val="18"/>
          <w:color w:val="auto"/>
        </w:rPr>
      </w:pPr>
    </w:p>
    <w:p>
      <w:pPr>
        <w:ind w:left="1300" w:right="180" w:hanging="650"/>
        <w:spacing w:after="0" w:line="253"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100"/>
        <w:spacing w:after="0" w:line="288"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800" w:top="375" w:right="259" w:bottom="1440" w:gutter="0" w:footer="0" w:header="0"/>
        </w:sectPr>
      </w:pPr>
    </w:p>
    <w:bookmarkStart w:id="275" w:name="page276"/>
    <w:bookmarkEnd w:id="275"/>
    <w:p>
      <w:pPr>
        <w:ind w:left="4" w:right="180"/>
        <w:spacing w:after="0" w:line="262"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spacing w:after="0" w:line="286"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280" w:hanging="4"/>
        <w:spacing w:after="0" w:line="262" w:lineRule="auto"/>
        <w:tabs>
          <w:tab w:leader="none" w:pos="31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1" w:lineRule="exact"/>
        <w:rPr>
          <w:sz w:val="20"/>
          <w:szCs w:val="20"/>
          <w:color w:val="auto"/>
        </w:rPr>
      </w:pPr>
    </w:p>
    <w:p>
      <w:pPr>
        <w:ind w:left="4" w:right="40" w:firstLine="68"/>
        <w:spacing w:after="0" w:line="309"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373"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4"/>
          </w:cols>
          <w:pgMar w:left="896" w:top="369"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10(i)11</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all documents incorporated herein by reference:</w:t>
      </w: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56"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9"/>
          <w:szCs w:val="19"/>
          <w:color w:val="auto"/>
        </w:rPr>
        <w:t xml:space="preserve">See </w:t>
      </w:r>
      <w:r>
        <w:rPr>
          <w:rFonts w:ascii="Arial" w:cs="Arial" w:eastAsia="Arial" w:hAnsi="Arial"/>
          <w:sz w:val="19"/>
          <w:szCs w:val="19"/>
          <w:u w:val="single" w:color="auto"/>
          <w:color w:val="auto"/>
        </w:rPr>
        <w:t>Annex B</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75"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Manager–Compensation and Benefits, in writing within sixty (60) days of the Date of Grant.</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5608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&amp; CEO</w:t>
      </w:r>
    </w:p>
    <w:p>
      <w:pPr>
        <w:spacing w:after="0" w:line="29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420"/>
          </w:cols>
          <w:pgMar w:left="240" w:top="121"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23"/>
          <w:szCs w:val="23"/>
          <w:b w:val="1"/>
          <w:bCs w:val="1"/>
          <w:u w:val="single" w:color="auto"/>
          <w:color w:val="auto"/>
        </w:rPr>
        <w:t>ANNEX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Performance Share Grant to which this is annexed is subject to the following additional terms and conditions:</w:t>
      </w:r>
    </w:p>
    <w:p>
      <w:pPr>
        <w:spacing w:after="0" w:line="231" w:lineRule="exact"/>
        <w:rPr>
          <w:sz w:val="20"/>
          <w:szCs w:val="20"/>
          <w:color w:val="auto"/>
        </w:rPr>
      </w:pPr>
    </w:p>
    <w:p>
      <w:pPr>
        <w:ind w:left="-60" w:right="120" w:firstLine="656"/>
        <w:spacing w:after="0" w:line="248" w:lineRule="auto"/>
        <w:tabs>
          <w:tab w:leader="none" w:pos="93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1" w:lineRule="exact"/>
        <w:rPr>
          <w:rFonts w:ascii="Arial" w:cs="Arial" w:eastAsia="Arial" w:hAnsi="Arial"/>
          <w:sz w:val="22"/>
          <w:szCs w:val="22"/>
          <w:color w:val="auto"/>
        </w:rPr>
      </w:pPr>
    </w:p>
    <w:p>
      <w:pPr>
        <w:ind w:left="-60" w:right="40" w:firstLine="656"/>
        <w:spacing w:after="0" w:line="291" w:lineRule="auto"/>
        <w:tabs>
          <w:tab w:leader="none" w:pos="93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left="-60" w:firstLine="656"/>
        <w:spacing w:after="0" w:line="300" w:lineRule="auto"/>
        <w:tabs>
          <w:tab w:leader="none" w:pos="93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147" w:lineRule="exact"/>
        <w:rPr>
          <w:rFonts w:ascii="Arial" w:cs="Arial" w:eastAsia="Arial" w:hAnsi="Arial"/>
          <w:sz w:val="19"/>
          <w:szCs w:val="19"/>
          <w:color w:val="auto"/>
        </w:rPr>
      </w:pPr>
    </w:p>
    <w:p>
      <w:pPr>
        <w:ind w:left="-60" w:right="940" w:firstLine="656"/>
        <w:spacing w:after="0" w:line="301" w:lineRule="auto"/>
        <w:tabs>
          <w:tab w:leader="none" w:pos="930" w:val="left"/>
        </w:tabs>
        <w:numPr>
          <w:ilvl w:val="0"/>
          <w:numId w:val="194"/>
        </w:numPr>
        <w:rPr>
          <w:rFonts w:ascii="Arial" w:cs="Arial" w:eastAsia="Arial" w:hAnsi="Arial"/>
          <w:sz w:val="21"/>
          <w:szCs w:val="21"/>
          <w:color w:val="auto"/>
        </w:rPr>
      </w:pPr>
      <w:r>
        <w:rPr>
          <w:rFonts w:ascii="Arial" w:cs="Arial" w:eastAsia="Arial" w:hAnsi="Arial"/>
          <w:sz w:val="21"/>
          <w:szCs w:val="21"/>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300" w:top="351" w:right="279" w:bottom="1440" w:gutter="0" w:footer="0" w:header="0"/>
        </w:sectPr>
      </w:pPr>
    </w:p>
    <w:bookmarkStart w:id="278" w:name="page279"/>
    <w:bookmarkEnd w:id="278"/>
    <w:p>
      <w:pPr>
        <w:ind w:left="660" w:right="140" w:firstLine="648"/>
        <w:spacing w:after="0" w:line="281" w:lineRule="auto"/>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pacing w:after="0" w:line="73" w:lineRule="exact"/>
        <w:rPr>
          <w:sz w:val="20"/>
          <w:szCs w:val="20"/>
          <w:color w:val="auto"/>
        </w:rPr>
      </w:pPr>
    </w:p>
    <w:p>
      <w:pPr>
        <w:jc w:val="both"/>
        <w:ind w:left="660" w:right="100" w:firstLine="648"/>
        <w:spacing w:after="0" w:line="26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77" w:lineRule="exact"/>
        <w:rPr>
          <w:sz w:val="20"/>
          <w:szCs w:val="20"/>
          <w:color w:val="auto"/>
        </w:rPr>
      </w:pPr>
    </w:p>
    <w:p>
      <w:pPr>
        <w:ind w:left="660" w:right="200" w:firstLine="648"/>
        <w:spacing w:after="0" w:line="300"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88" w:lineRule="exact"/>
        <w:rPr>
          <w:sz w:val="20"/>
          <w:szCs w:val="20"/>
          <w:color w:val="auto"/>
        </w:rPr>
      </w:pPr>
    </w:p>
    <w:p>
      <w:pPr>
        <w:jc w:val="both"/>
        <w:ind w:left="660" w:right="420" w:firstLine="648"/>
        <w:spacing w:after="0" w:line="260"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right="180" w:firstLine="656"/>
        <w:spacing w:after="0" w:line="260" w:lineRule="auto"/>
        <w:tabs>
          <w:tab w:leader="none" w:pos="99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firstLine="656"/>
        <w:spacing w:after="0" w:line="290" w:lineRule="auto"/>
        <w:tabs>
          <w:tab w:leader="none" w:pos="99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6" w:lineRule="exact"/>
        <w:rPr>
          <w:rFonts w:ascii="Arial" w:cs="Arial" w:eastAsia="Arial" w:hAnsi="Arial"/>
          <w:sz w:val="19"/>
          <w:szCs w:val="19"/>
          <w:color w:val="auto"/>
        </w:rPr>
      </w:pPr>
    </w:p>
    <w:p>
      <w:pPr>
        <w:ind w:left="1000" w:hanging="344"/>
        <w:spacing w:after="0"/>
        <w:tabs>
          <w:tab w:leader="none" w:pos="1000"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279" w:name="page280"/>
    <w:bookmarkEnd w:id="279"/>
    <w:p>
      <w:pPr>
        <w:ind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ind w:left="1300" w:right="80" w:hanging="331"/>
        <w:spacing w:after="0" w:line="250" w:lineRule="auto"/>
        <w:tabs>
          <w:tab w:leader="none" w:pos="1300" w:val="left"/>
        </w:tabs>
        <w:numPr>
          <w:ilvl w:val="0"/>
          <w:numId w:val="196"/>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300" w:right="940" w:hanging="331"/>
        <w:spacing w:after="0" w:line="263" w:lineRule="auto"/>
        <w:tabs>
          <w:tab w:leader="none" w:pos="1300" w:val="left"/>
        </w:tabs>
        <w:numPr>
          <w:ilvl w:val="0"/>
          <w:numId w:val="196"/>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300" w:hanging="331"/>
        <w:spacing w:after="0"/>
        <w:tabs>
          <w:tab w:leader="none" w:pos="1300" w:val="left"/>
        </w:tabs>
        <w:numPr>
          <w:ilvl w:val="0"/>
          <w:numId w:val="196"/>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60" w:lineRule="exact"/>
        <w:rPr>
          <w:rFonts w:ascii="Arial" w:cs="Arial" w:eastAsia="Arial" w:hAnsi="Arial"/>
          <w:sz w:val="18"/>
          <w:szCs w:val="18"/>
          <w:i w:val="1"/>
          <w:iCs w:val="1"/>
          <w:color w:val="auto"/>
        </w:rPr>
      </w:pPr>
    </w:p>
    <w:p>
      <w:pPr>
        <w:ind w:left="1300" w:right="80" w:hanging="331"/>
        <w:spacing w:after="0" w:line="247" w:lineRule="auto"/>
        <w:tabs>
          <w:tab w:leader="none" w:pos="1300" w:val="left"/>
        </w:tabs>
        <w:numPr>
          <w:ilvl w:val="0"/>
          <w:numId w:val="196"/>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1300" w:right="640" w:hanging="331"/>
        <w:spacing w:after="0" w:line="263" w:lineRule="auto"/>
        <w:tabs>
          <w:tab w:leader="none" w:pos="1300" w:val="left"/>
        </w:tabs>
        <w:numPr>
          <w:ilvl w:val="0"/>
          <w:numId w:val="196"/>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375" w:right="259" w:bottom="1440" w:gutter="0" w:footer="0" w:header="0"/>
        </w:sectPr>
      </w:pPr>
    </w:p>
    <w:bookmarkStart w:id="280" w:name="page281"/>
    <w:bookmarkEnd w:id="280"/>
    <w:p>
      <w:pPr>
        <w:ind w:left="760" w:right="60" w:hanging="331"/>
        <w:spacing w:after="0" w:line="247" w:lineRule="auto"/>
        <w:tabs>
          <w:tab w:leader="none" w:pos="760" w:val="left"/>
        </w:tabs>
        <w:numPr>
          <w:ilvl w:val="0"/>
          <w:numId w:val="197"/>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197"/>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197"/>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hanging="647"/>
        <w:spacing w:after="0" w:line="259" w:lineRule="auto"/>
        <w:tabs>
          <w:tab w:leader="none" w:pos="1076" w:val="left"/>
        </w:tabs>
        <w:numPr>
          <w:ilvl w:val="1"/>
          <w:numId w:val="197"/>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40" w:hanging="647"/>
        <w:spacing w:after="0" w:line="302" w:lineRule="auto"/>
        <w:tabs>
          <w:tab w:leader="none" w:pos="1076" w:val="left"/>
        </w:tabs>
        <w:numPr>
          <w:ilvl w:val="1"/>
          <w:numId w:val="197"/>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83" w:lineRule="exact"/>
        <w:rPr>
          <w:rFonts w:ascii="Arial" w:cs="Arial" w:eastAsia="Arial" w:hAnsi="Arial"/>
          <w:sz w:val="16"/>
          <w:szCs w:val="16"/>
          <w:color w:val="auto"/>
        </w:rPr>
      </w:pPr>
    </w:p>
    <w:p>
      <w:pPr>
        <w:ind w:left="1400" w:right="60" w:hanging="647"/>
        <w:spacing w:after="0" w:line="248" w:lineRule="auto"/>
        <w:tabs>
          <w:tab w:leader="none" w:pos="1076" w:val="left"/>
        </w:tabs>
        <w:numPr>
          <w:ilvl w:val="1"/>
          <w:numId w:val="197"/>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1400" w:right="60" w:hanging="647"/>
        <w:spacing w:after="0" w:line="302" w:lineRule="auto"/>
        <w:tabs>
          <w:tab w:leader="none" w:pos="1076" w:val="left"/>
        </w:tabs>
        <w:numPr>
          <w:ilvl w:val="1"/>
          <w:numId w:val="197"/>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281" w:name="page282"/>
    <w:bookmarkEnd w:id="281"/>
    <w:p>
      <w:pPr>
        <w:ind w:left="2580" w:hanging="647"/>
        <w:spacing w:after="0" w:line="258" w:lineRule="auto"/>
        <w:tabs>
          <w:tab w:leader="none" w:pos="2256" w:val="left"/>
        </w:tabs>
        <w:numPr>
          <w:ilvl w:val="2"/>
          <w:numId w:val="198"/>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226" w:lineRule="exact"/>
        <w:rPr>
          <w:rFonts w:ascii="Arial" w:cs="Arial" w:eastAsia="Arial" w:hAnsi="Arial"/>
          <w:sz w:val="17"/>
          <w:szCs w:val="17"/>
          <w:color w:val="auto"/>
        </w:rPr>
      </w:pPr>
    </w:p>
    <w:p>
      <w:pPr>
        <w:ind w:left="1940" w:right="340" w:hanging="331"/>
        <w:spacing w:after="0" w:line="302" w:lineRule="auto"/>
        <w:tabs>
          <w:tab w:leader="none" w:pos="1940" w:val="left"/>
        </w:tabs>
        <w:numPr>
          <w:ilvl w:val="1"/>
          <w:numId w:val="199"/>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ind w:left="-20" w:right="140" w:firstLine="656"/>
        <w:spacing w:after="0" w:line="253" w:lineRule="auto"/>
        <w:tabs>
          <w:tab w:leader="none" w:pos="1006"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left="-20" w:right="200" w:firstLine="656"/>
        <w:spacing w:after="0" w:line="278" w:lineRule="auto"/>
        <w:tabs>
          <w:tab w:leader="none" w:pos="970"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20" w:right="120" w:firstLine="656"/>
        <w:spacing w:after="0" w:line="254" w:lineRule="auto"/>
        <w:tabs>
          <w:tab w:leader="none" w:pos="1078"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20" w:right="160" w:firstLine="656"/>
        <w:spacing w:after="0" w:line="307" w:lineRule="auto"/>
        <w:tabs>
          <w:tab w:leader="none" w:pos="107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600" w:firstLine="656"/>
        <w:spacing w:after="0" w:line="276" w:lineRule="auto"/>
        <w:tabs>
          <w:tab w:leader="none" w:pos="1078"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5" w:lineRule="exact"/>
        <w:rPr>
          <w:sz w:val="20"/>
          <w:szCs w:val="20"/>
          <w:color w:val="auto"/>
        </w:rPr>
      </w:pPr>
    </w:p>
    <w:p>
      <w:pPr>
        <w:ind w:left="640" w:right="24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75" w:right="259" w:bottom="1440" w:gutter="0" w:footer="0" w:header="0"/>
        </w:sectPr>
      </w:pPr>
    </w:p>
    <w:bookmarkStart w:id="282" w:name="page283"/>
    <w:bookmarkEnd w:id="282"/>
    <w:p>
      <w:pPr>
        <w:ind w:left="640"/>
        <w:spacing w:after="0"/>
        <w:tabs>
          <w:tab w:leader="none" w:pos="11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0" w:right="160" w:hanging="651"/>
        <w:spacing w:after="0" w:line="253" w:lineRule="auto"/>
        <w:tabs>
          <w:tab w:leader="none" w:pos="16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620" w:right="60" w:hanging="651"/>
        <w:spacing w:after="0" w:line="250" w:lineRule="auto"/>
        <w:tabs>
          <w:tab w:leader="none" w:pos="16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620" w:hanging="651"/>
        <w:spacing w:after="0"/>
        <w:tabs>
          <w:tab w:leader="none" w:pos="16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18"/>
          <w:szCs w:val="18"/>
          <w:color w:val="auto"/>
        </w:rPr>
      </w:pPr>
    </w:p>
    <w:p>
      <w:pPr>
        <w:ind w:left="1620" w:hanging="651"/>
        <w:spacing w:after="0" w:line="253" w:lineRule="auto"/>
        <w:tabs>
          <w:tab w:leader="none" w:pos="16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jc w:val="center"/>
        <w:ind w:right="2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369" w:right="239" w:bottom="1440" w:gutter="0" w:footer="0" w:header="0"/>
        </w:sectPr>
      </w:pPr>
    </w:p>
    <w:bookmarkStart w:id="283" w:name="page284"/>
    <w:bookmarkEnd w:id="283"/>
    <w:p>
      <w:pPr>
        <w:ind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900" w:top="369" w:right="299"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Effective 2019</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Total Shareholder Return (TSR) computed over the three-year performance period January 1, 2019 to December 31, 2021.</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If ALLETE’s TSR ranking is at the 85th percentile or higher among the peer group (superior performance), 200% of the Performance Share Grant will be earned. If ALLETE’s TSR ranking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among the peer group (target performance), 100% of the Performance Share Grant will be earned. If ALLETE’s TSR ranking is at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performance), 50% of the Performance Share Grant will be earned. If TSR ranking is below threshold, no Performance Shares will be earned. Straight-line interpolation will be used to determine earned awards based on the TSR ranking between threshold, target and superior.</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2021 that have been in the EEI Stock Index for at least three years as of December 31, 2021 will constitute the peer group used to determine actual payout results. The table below lists the EEI Stock Index as of December 31, 2018, based on published information available as of that date:</w:t>
      </w:r>
    </w:p>
    <w:p>
      <w:pPr>
        <w:spacing w:after="0" w:line="211" w:lineRule="exact"/>
        <w:rPr>
          <w:sz w:val="20"/>
          <w:szCs w:val="20"/>
          <w:color w:val="auto"/>
        </w:rPr>
      </w:pPr>
    </w:p>
    <w:tbl>
      <w:tblPr>
        <w:tblLayout w:type="fixed"/>
        <w:tblInd w:w="6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Alliant Energy Corporation</w:t>
            </w:r>
          </w:p>
        </w:tc>
        <w:tc>
          <w:tcPr>
            <w:tcW w:w="3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Entergy Corporation</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PG&amp;E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Ameren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Pinnacle West Capital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Electric Power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Eversource Energy</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PNM Resources,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Avangrid,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Exelon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Portland General Electric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Avista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FirstEnergy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PPL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Black Hills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Hawaiian Electric Industries,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Public Service Enterprise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CenterPoint Energy,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IDACORP,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SCANA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CMS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MDU Resources Group,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Sempra Energy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Consolidated Edison,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MGE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Southern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Dominion Energy,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NextEra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Unitil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DTE Energy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NiSource,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Vectren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Duke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NorthWestern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WEC Energy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Edison International</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OGE Energy Corp.</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Xcel Energy,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 Paso Electric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Otter Tail Corporation</w:t>
            </w:r>
          </w:p>
        </w:tc>
        <w:tc>
          <w:tcPr>
            <w:tcW w:w="3560" w:type="dxa"/>
            <w:vAlign w:val="bottom"/>
            <w:tcBorders>
              <w:right w:val="single" w:sz="8" w:color="auto"/>
            </w:tcBorders>
          </w:tcPr>
          <w:p>
            <w:pPr>
              <w:spacing w:after="0"/>
              <w:rPr>
                <w:sz w:val="20"/>
                <w:szCs w:val="20"/>
                <w:color w:val="auto"/>
              </w:rPr>
            </w:pP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Any Company that is no longer included in the EEI Stock Index as of December 31, 2020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ectPr>
          <w:pgSz w:w="11900" w:h="16838" w:orient="portrait"/>
          <w:cols w:equalWidth="0" w:num="1">
            <w:col w:w="11400"/>
          </w:cols>
          <w:pgMar w:left="240" w:top="369" w:right="259" w:bottom="1440" w:gutter="0" w:footer="0" w:header="0"/>
        </w:sectPr>
      </w:pPr>
    </w:p>
    <w:bookmarkStart w:id="285" w:name="page286"/>
    <w:bookmarkEnd w:id="285"/>
    <w:tbl>
      <w:tblPr>
        <w:tblLayout w:type="fixed"/>
        <w:tblInd w:w="1422"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400" w:type="dxa"/>
            <w:vAlign w:val="bottom"/>
          </w:tcPr>
          <w:p>
            <w:pPr>
              <w:jc w:val="right"/>
              <w:ind w:right="1033"/>
              <w:spacing w:after="0"/>
              <w:rPr>
                <w:sz w:val="20"/>
                <w:szCs w:val="20"/>
                <w:color w:val="auto"/>
              </w:rPr>
            </w:pPr>
            <w:r>
              <w:rPr>
                <w:rFonts w:ascii="Arial" w:cs="Arial" w:eastAsia="Arial" w:hAnsi="Arial"/>
                <w:sz w:val="18"/>
                <w:szCs w:val="18"/>
                <w:b w:val="1"/>
                <w:bCs w:val="1"/>
                <w:color w:val="auto"/>
              </w:rPr>
              <w:t>Exhibit 10(k)3</w:t>
            </w:r>
          </w:p>
        </w:tc>
      </w:tr>
      <w:tr>
        <w:trPr>
          <w:trHeight w:val="1121"/>
        </w:trPr>
        <w:tc>
          <w:tcPr>
            <w:tcW w:w="6220" w:type="dxa"/>
            <w:vAlign w:val="bottom"/>
          </w:tcPr>
          <w:p>
            <w:pPr>
              <w:jc w:val="center"/>
              <w:ind w:left="2271"/>
              <w:spacing w:after="0"/>
              <w:rPr>
                <w:sz w:val="20"/>
                <w:szCs w:val="20"/>
                <w:color w:val="auto"/>
              </w:rPr>
            </w:pPr>
            <w:r>
              <w:rPr>
                <w:rFonts w:ascii="Arial" w:cs="Arial" w:eastAsia="Arial" w:hAnsi="Arial"/>
                <w:sz w:val="25"/>
                <w:szCs w:val="25"/>
                <w:b w:val="1"/>
                <w:bCs w:val="1"/>
                <w:color w:val="auto"/>
              </w:rPr>
              <w:t>ALLETE, INC.</w:t>
            </w:r>
          </w:p>
        </w:tc>
        <w:tc>
          <w:tcPr>
            <w:tcW w:w="2400" w:type="dxa"/>
            <w:vAlign w:val="bottom"/>
          </w:tcPr>
          <w:p>
            <w:pPr>
              <w:spacing w:after="0"/>
              <w:rPr>
                <w:sz w:val="24"/>
                <w:szCs w:val="24"/>
                <w:color w:val="auto"/>
              </w:rPr>
            </w:pPr>
          </w:p>
        </w:tc>
      </w:tr>
      <w:tr>
        <w:trPr>
          <w:trHeight w:val="257"/>
        </w:trPr>
        <w:tc>
          <w:tcPr>
            <w:tcW w:w="6220" w:type="dxa"/>
            <w:vAlign w:val="bottom"/>
          </w:tcPr>
          <w:p>
            <w:pPr>
              <w:jc w:val="center"/>
              <w:ind w:left="2251"/>
              <w:spacing w:after="0"/>
              <w:rPr>
                <w:sz w:val="20"/>
                <w:szCs w:val="20"/>
                <w:color w:val="auto"/>
              </w:rPr>
            </w:pPr>
            <w:r>
              <w:rPr>
                <w:rFonts w:ascii="Arial" w:cs="Arial" w:eastAsia="Arial" w:hAnsi="Arial"/>
                <w:sz w:val="22"/>
                <w:szCs w:val="22"/>
                <w:b w:val="1"/>
                <w:bCs w:val="1"/>
                <w:color w:val="auto"/>
                <w:w w:val="88"/>
              </w:rPr>
              <w:t>Non-Employee Director Compensation</w:t>
            </w:r>
          </w:p>
        </w:tc>
        <w:tc>
          <w:tcPr>
            <w:tcW w:w="2400" w:type="dxa"/>
            <w:vAlign w:val="bottom"/>
          </w:tcPr>
          <w:p>
            <w:pPr>
              <w:spacing w:after="0"/>
              <w:rPr>
                <w:sz w:val="22"/>
                <w:szCs w:val="22"/>
                <w:color w:val="auto"/>
              </w:rPr>
            </w:pPr>
          </w:p>
        </w:tc>
      </w:tr>
      <w:tr>
        <w:trPr>
          <w:trHeight w:val="281"/>
        </w:trPr>
        <w:tc>
          <w:tcPr>
            <w:tcW w:w="6220" w:type="dxa"/>
            <w:vAlign w:val="bottom"/>
          </w:tcPr>
          <w:p>
            <w:pPr>
              <w:jc w:val="center"/>
              <w:ind w:left="2251"/>
              <w:spacing w:after="0"/>
              <w:rPr>
                <w:sz w:val="20"/>
                <w:szCs w:val="20"/>
                <w:color w:val="auto"/>
              </w:rPr>
            </w:pPr>
            <w:r>
              <w:rPr>
                <w:rFonts w:ascii="Arial" w:cs="Arial" w:eastAsia="Arial" w:hAnsi="Arial"/>
                <w:sz w:val="22"/>
                <w:szCs w:val="22"/>
                <w:b w:val="1"/>
                <w:bCs w:val="1"/>
                <w:color w:val="auto"/>
                <w:w w:val="89"/>
              </w:rPr>
              <w:t>Effective January 1, 2019</w:t>
            </w:r>
          </w:p>
        </w:tc>
        <w:tc>
          <w:tcPr>
            <w:tcW w:w="2400" w:type="dxa"/>
            <w:vAlign w:val="bottom"/>
          </w:tcPr>
          <w:p>
            <w:pPr>
              <w:spacing w:after="0"/>
              <w:rPr>
                <w:sz w:val="24"/>
                <w:szCs w:val="24"/>
                <w:color w:val="auto"/>
              </w:rPr>
            </w:pPr>
          </w:p>
        </w:tc>
      </w:tr>
      <w:tr>
        <w:trPr>
          <w:trHeight w:val="692"/>
        </w:trPr>
        <w:tc>
          <w:tcPr>
            <w:tcW w:w="6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42"/>
        </w:trPr>
        <w:tc>
          <w:tcPr>
            <w:tcW w:w="622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25"/>
                <w:szCs w:val="25"/>
                <w:color w:val="auto"/>
                <w:vertAlign w:val="superscript"/>
              </w:rPr>
              <w:t>(1) (2)</w:t>
            </w:r>
          </w:p>
        </w:tc>
        <w:tc>
          <w:tcPr>
            <w:tcW w:w="2400" w:type="dxa"/>
            <w:vAlign w:val="bottom"/>
            <w:tcBorders>
              <w:right w:val="single" w:sz="8" w:color="auto"/>
            </w:tcBorders>
          </w:tcPr>
          <w:p>
            <w:pPr>
              <w:spacing w:after="0"/>
              <w:rPr>
                <w:sz w:val="21"/>
                <w:szCs w:val="21"/>
                <w:color w:val="auto"/>
              </w:rPr>
            </w:pP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Stock</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$80,850</w:t>
            </w:r>
          </w:p>
        </w:tc>
      </w:tr>
      <w:tr>
        <w:trPr>
          <w:trHeight w:val="285"/>
        </w:trPr>
        <w:tc>
          <w:tcPr>
            <w:tcW w:w="6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Cash</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$65,100</w:t>
            </w:r>
          </w:p>
        </w:tc>
      </w:tr>
      <w:tr>
        <w:trPr>
          <w:trHeight w:val="249"/>
        </w:trPr>
        <w:tc>
          <w:tcPr>
            <w:tcW w:w="622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25"/>
                <w:szCs w:val="25"/>
                <w:color w:val="auto"/>
                <w:vertAlign w:val="superscript"/>
              </w:rPr>
              <w:t>(1) (2)</w:t>
            </w:r>
          </w:p>
        </w:tc>
        <w:tc>
          <w:tcPr>
            <w:tcW w:w="2400" w:type="dxa"/>
            <w:vAlign w:val="bottom"/>
            <w:tcBorders>
              <w:right w:val="single" w:sz="8" w:color="auto"/>
            </w:tcBorders>
          </w:tcPr>
          <w:p>
            <w:pPr>
              <w:spacing w:after="0"/>
              <w:rPr>
                <w:sz w:val="21"/>
                <w:szCs w:val="21"/>
                <w:color w:val="auto"/>
              </w:rPr>
            </w:pP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w:t>
            </w: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$7,500</w:t>
            </w:r>
          </w:p>
        </w:tc>
      </w:tr>
      <w:tr>
        <w:trPr>
          <w:trHeight w:val="249"/>
        </w:trPr>
        <w:tc>
          <w:tcPr>
            <w:tcW w:w="622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25"/>
                <w:szCs w:val="25"/>
                <w:color w:val="auto"/>
                <w:vertAlign w:val="superscript"/>
              </w:rPr>
              <w:t>(1) (2)</w:t>
            </w:r>
          </w:p>
        </w:tc>
        <w:tc>
          <w:tcPr>
            <w:tcW w:w="2400" w:type="dxa"/>
            <w:vAlign w:val="bottom"/>
            <w:tcBorders>
              <w:right w:val="single" w:sz="8" w:color="auto"/>
            </w:tcBorders>
          </w:tcPr>
          <w:p>
            <w:pPr>
              <w:spacing w:after="0"/>
              <w:rPr>
                <w:sz w:val="21"/>
                <w:szCs w:val="21"/>
                <w:color w:val="auto"/>
              </w:rPr>
            </w:pP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$10,000</w:t>
            </w: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$5,000</w:t>
            </w:r>
          </w:p>
        </w:tc>
      </w:tr>
      <w:tr>
        <w:trPr>
          <w:trHeight w:val="351"/>
        </w:trPr>
        <w:tc>
          <w:tcPr>
            <w:tcW w:w="6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242"/>
        </w:trPr>
        <w:tc>
          <w:tcPr>
            <w:tcW w:w="622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25"/>
                <w:szCs w:val="25"/>
                <w:color w:val="auto"/>
                <w:vertAlign w:val="superscript"/>
              </w:rPr>
              <w:t>(1) (2) (3)</w:t>
            </w:r>
          </w:p>
        </w:tc>
        <w:tc>
          <w:tcPr>
            <w:tcW w:w="2400" w:type="dxa"/>
            <w:vAlign w:val="bottom"/>
            <w:tcBorders>
              <w:right w:val="single" w:sz="8" w:color="auto"/>
            </w:tcBorders>
          </w:tcPr>
          <w:p>
            <w:pPr>
              <w:spacing w:after="0"/>
              <w:rPr>
                <w:sz w:val="21"/>
                <w:szCs w:val="21"/>
                <w:color w:val="auto"/>
              </w:rPr>
            </w:pP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$80,850</w:t>
            </w:r>
          </w:p>
        </w:tc>
      </w:tr>
      <w:tr>
        <w:trPr>
          <w:trHeight w:val="243"/>
        </w:trPr>
        <w:tc>
          <w:tcPr>
            <w:tcW w:w="622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Cash Retainer</w:t>
            </w:r>
          </w:p>
        </w:tc>
        <w:tc>
          <w:tcPr>
            <w:tcW w:w="2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$65,100</w:t>
            </w:r>
          </w:p>
        </w:tc>
      </w:tr>
      <w:tr>
        <w:trPr>
          <w:trHeight w:val="285"/>
        </w:trPr>
        <w:tc>
          <w:tcPr>
            <w:tcW w:w="6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Lead Director Cash Retainer</w:t>
            </w:r>
          </w:p>
        </w:tc>
        <w:tc>
          <w:tcPr>
            <w:tcW w:w="2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$40,000</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32" w:hanging="332"/>
        <w:spacing w:after="0"/>
        <w:tabs>
          <w:tab w:leader="none" w:pos="332" w:val="left"/>
        </w:tabs>
        <w:numPr>
          <w:ilvl w:val="0"/>
          <w:numId w:val="202"/>
        </w:numPr>
        <w:rPr>
          <w:rFonts w:ascii="Arial" w:cs="Arial" w:eastAsia="Arial" w:hAnsi="Arial"/>
          <w:sz w:val="25"/>
          <w:szCs w:val="25"/>
          <w:color w:val="auto"/>
          <w:vertAlign w:val="superscript"/>
        </w:rPr>
      </w:pPr>
      <w:r>
        <w:rPr>
          <w:rFonts w:ascii="Arial" w:cs="Arial" w:eastAsia="Arial" w:hAnsi="Arial"/>
          <w:sz w:val="20"/>
          <w:szCs w:val="20"/>
          <w:color w:val="auto"/>
        </w:rPr>
        <w:t>Cash and stock retainers may be deferred under the Director Compensation Deferral Plan II.</w:t>
      </w:r>
    </w:p>
    <w:p>
      <w:pPr>
        <w:ind w:left="332" w:hanging="332"/>
        <w:spacing w:after="0" w:line="191" w:lineRule="auto"/>
        <w:tabs>
          <w:tab w:leader="none" w:pos="332" w:val="left"/>
        </w:tabs>
        <w:numPr>
          <w:ilvl w:val="0"/>
          <w:numId w:val="202"/>
        </w:numPr>
        <w:rPr>
          <w:rFonts w:ascii="Arial" w:cs="Arial" w:eastAsia="Arial" w:hAnsi="Arial"/>
          <w:sz w:val="25"/>
          <w:szCs w:val="25"/>
          <w:color w:val="auto"/>
          <w:vertAlign w:val="superscript"/>
        </w:rPr>
      </w:pPr>
      <w:r>
        <w:rPr>
          <w:rFonts w:ascii="Arial" w:cs="Arial" w:eastAsia="Arial" w:hAnsi="Arial"/>
          <w:sz w:val="20"/>
          <w:szCs w:val="20"/>
          <w:color w:val="auto"/>
        </w:rPr>
        <w:t>Cash retainers may be elected to be received in ALLETE stock.</w:t>
      </w:r>
    </w:p>
    <w:p>
      <w:pPr>
        <w:ind w:left="332" w:hanging="332"/>
        <w:spacing w:after="0" w:line="195" w:lineRule="auto"/>
        <w:tabs>
          <w:tab w:leader="none" w:pos="332" w:val="left"/>
        </w:tabs>
        <w:numPr>
          <w:ilvl w:val="0"/>
          <w:numId w:val="202"/>
        </w:numPr>
        <w:rPr>
          <w:rFonts w:ascii="Arial" w:cs="Arial" w:eastAsia="Arial" w:hAnsi="Arial"/>
          <w:sz w:val="25"/>
          <w:szCs w:val="25"/>
          <w:color w:val="auto"/>
          <w:vertAlign w:val="superscript"/>
        </w:rPr>
      </w:pPr>
      <w:r>
        <w:rPr>
          <w:rFonts w:ascii="Arial" w:cs="Arial" w:eastAsia="Arial" w:hAnsi="Arial"/>
          <w:sz w:val="20"/>
          <w:szCs w:val="20"/>
          <w:color w:val="auto"/>
        </w:rPr>
        <w:t>Lead Director is not eligible for other committee or chair retainers.</w:t>
      </w:r>
    </w:p>
    <w:p>
      <w:pPr>
        <w:sectPr>
          <w:pgSz w:w="11900" w:h="16838" w:orient="portrait"/>
          <w:cols w:equalWidth="0" w:num="1">
            <w:col w:w="10211"/>
          </w:cols>
          <w:pgMar w:left="248" w:top="121" w:right="1440" w:bottom="1440" w:gutter="0" w:footer="0" w:header="0"/>
        </w:sectPr>
      </w:pPr>
    </w:p>
    <w:bookmarkStart w:id="286" w:name="page287"/>
    <w:bookmarkEnd w:id="286"/>
    <w:p>
      <w:pPr>
        <w:ind w:left="7780"/>
        <w:spacing w:after="0"/>
        <w:rPr>
          <w:sz w:val="20"/>
          <w:szCs w:val="20"/>
          <w:color w:val="auto"/>
        </w:rPr>
      </w:pPr>
      <w:r>
        <w:rPr>
          <w:rFonts w:ascii="Arial" w:cs="Arial" w:eastAsia="Arial" w:hAnsi="Arial"/>
          <w:sz w:val="18"/>
          <w:szCs w:val="18"/>
          <w:b w:val="1"/>
          <w:bCs w:val="1"/>
          <w:color w:val="auto"/>
        </w:rPr>
        <w:t>Exhibit 10(p)</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EXECUTIVE SEPARATION AGREEMENT</w:t>
      </w:r>
    </w:p>
    <w:p>
      <w:pPr>
        <w:spacing w:after="0" w:line="200" w:lineRule="exact"/>
        <w:rPr>
          <w:sz w:val="20"/>
          <w:szCs w:val="20"/>
          <w:color w:val="auto"/>
        </w:rPr>
      </w:pPr>
    </w:p>
    <w:p>
      <w:pPr>
        <w:spacing w:after="0" w:line="242"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THIS EXECUTIVE SEPARATION AGREEMENT (“Agreement”) is made and entered into effective November 29, 2018 (the “Effective Date”) between </w:t>
      </w:r>
      <w:r>
        <w:rPr>
          <w:rFonts w:ascii="Arial" w:cs="Arial" w:eastAsia="Arial" w:hAnsi="Arial"/>
          <w:sz w:val="22"/>
          <w:szCs w:val="22"/>
          <w:b w:val="1"/>
          <w:bCs w:val="1"/>
          <w:color w:val="auto"/>
        </w:rPr>
        <w:t>ALLETE, Inc.</w:t>
      </w:r>
      <w:r>
        <w:rPr>
          <w:rFonts w:ascii="Arial" w:cs="Arial" w:eastAsia="Arial" w:hAnsi="Arial"/>
          <w:sz w:val="22"/>
          <w:szCs w:val="22"/>
          <w:color w:val="auto"/>
        </w:rPr>
        <w:t xml:space="preserve"> (“ALLETE” or the “Company”), a Minnesota corporation, and </w:t>
      </w:r>
      <w:r>
        <w:rPr>
          <w:rFonts w:ascii="Arial" w:cs="Arial" w:eastAsia="Arial" w:hAnsi="Arial"/>
          <w:sz w:val="22"/>
          <w:szCs w:val="22"/>
          <w:b w:val="1"/>
          <w:bCs w:val="1"/>
          <w:color w:val="auto"/>
        </w:rPr>
        <w:t>Deborah A.</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Amberg </w:t>
      </w:r>
      <w:r>
        <w:rPr>
          <w:rFonts w:ascii="Arial" w:cs="Arial" w:eastAsia="Arial" w:hAnsi="Arial"/>
          <w:sz w:val="22"/>
          <w:szCs w:val="22"/>
          <w:color w:val="auto"/>
        </w:rPr>
        <w:t>(“Ms. Amberg”).</w:t>
      </w:r>
    </w:p>
    <w:p>
      <w:pPr>
        <w:spacing w:after="0" w:line="186" w:lineRule="exact"/>
        <w:rPr>
          <w:sz w:val="20"/>
          <w:szCs w:val="20"/>
          <w:color w:val="auto"/>
        </w:rPr>
      </w:pPr>
    </w:p>
    <w:p>
      <w:pPr>
        <w:ind w:right="380" w:firstLine="648"/>
        <w:spacing w:after="0" w:line="343" w:lineRule="auto"/>
        <w:rPr>
          <w:sz w:val="20"/>
          <w:szCs w:val="20"/>
          <w:color w:val="auto"/>
        </w:rPr>
      </w:pPr>
      <w:r>
        <w:rPr>
          <w:rFonts w:ascii="Arial" w:cs="Arial" w:eastAsia="Arial" w:hAnsi="Arial"/>
          <w:sz w:val="19"/>
          <w:szCs w:val="19"/>
          <w:color w:val="auto"/>
        </w:rPr>
        <w:t>WHEREAS, prior to the Effective Date, Ms. Amberg was employed by ALLETE, on an at-will basis, as its Senior Vice President, Chief Strategy Officer-Regulated Operations, and President of Superior Water, Light and Power Company;</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eliminated Ms. Amberg’s position in connection with the ongoing restructuring and re-scaling of ALLETE’s regulated utility operations, resulting in Ms. Amberg termination as an ALLETE employee;</w:t>
      </w:r>
    </w:p>
    <w:p>
      <w:pPr>
        <w:spacing w:after="0" w:line="175"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WHEREAS, Ms. Amberg has elected to accept executive separation benefits in accordance with this Agreement and understands and agrees that these benefits constitute additional compensation to which she would not otherwise be entitled under any Company program or policy;</w:t>
      </w:r>
    </w:p>
    <w:p>
      <w:pPr>
        <w:spacing w:after="0" w:line="186"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22"/>
          <w:szCs w:val="22"/>
          <w:color w:val="auto"/>
        </w:rPr>
        <w:t>WHEREAS, Ms. Amberg and ALLETE wish to set forth the terms of her separation and resolve any and all claims and potential claims between them arising out of or in any way relating to Ms. Amberg’s employment with ALLETE and separation from ALLETE;</w:t>
      </w:r>
    </w:p>
    <w:p>
      <w:pPr>
        <w:spacing w:after="0" w:line="186" w:lineRule="exact"/>
        <w:rPr>
          <w:sz w:val="20"/>
          <w:szCs w:val="20"/>
          <w:color w:val="auto"/>
        </w:rPr>
      </w:pPr>
    </w:p>
    <w:p>
      <w:pPr>
        <w:ind w:right="580" w:firstLine="648"/>
        <w:spacing w:after="0" w:line="287" w:lineRule="auto"/>
        <w:rPr>
          <w:sz w:val="20"/>
          <w:szCs w:val="20"/>
          <w:color w:val="auto"/>
        </w:rPr>
      </w:pPr>
      <w:r>
        <w:rPr>
          <w:rFonts w:ascii="Arial" w:cs="Arial" w:eastAsia="Arial" w:hAnsi="Arial"/>
          <w:sz w:val="21"/>
          <w:szCs w:val="21"/>
          <w:color w:val="auto"/>
        </w:rPr>
        <w:t>NOW, THEREFORE, in consideration of the promises and mutual covenants in this Agreement and further good and valuable consideration, the adequacy of which Ms. Amberg acknowledges, the parties agree as follows:</w:t>
      </w:r>
    </w:p>
    <w:p>
      <w:pPr>
        <w:spacing w:after="0" w:line="152" w:lineRule="exact"/>
        <w:rPr>
          <w:sz w:val="20"/>
          <w:szCs w:val="20"/>
          <w:color w:val="auto"/>
        </w:rPr>
      </w:pPr>
    </w:p>
    <w:p>
      <w:pPr>
        <w:ind w:right="40" w:firstLine="656"/>
        <w:spacing w:after="0" w:line="294" w:lineRule="auto"/>
        <w:tabs>
          <w:tab w:leader="none" w:pos="864"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Separation from Employment</w:t>
      </w:r>
      <w:r>
        <w:rPr>
          <w:rFonts w:ascii="Arial" w:cs="Arial" w:eastAsia="Arial" w:hAnsi="Arial"/>
          <w:sz w:val="19"/>
          <w:szCs w:val="19"/>
          <w:color w:val="auto"/>
        </w:rPr>
        <w:t>. Ms. Amberg’s last day of employment was November 28, 2018. As of the Effective Date, Ms. Amberg no longer holds: (a) the title position of Senior Vice President, Chief Strategy Officer-Regulated Operations, or President of Superior Water, Light and Power Company; (b) any other position with ALLETE or any of its subsidiaries or affiliates or any of the boards of directors thereof; (c) any board or other service position with a trade group, association, or other entity where such board or service position was conferred on her as a representative of ALLETE or any of its subsidiaries or affiliates; and (d) any position as fiduciary or trustee of any benefit plan of ALLETE or any of its subsidiaries or affiliates.</w:t>
      </w:r>
    </w:p>
    <w:p>
      <w:pPr>
        <w:spacing w:after="0" w:line="149" w:lineRule="exact"/>
        <w:rPr>
          <w:rFonts w:ascii="Arial" w:cs="Arial" w:eastAsia="Arial" w:hAnsi="Arial"/>
          <w:sz w:val="19"/>
          <w:szCs w:val="19"/>
          <w:color w:val="auto"/>
        </w:rPr>
      </w:pPr>
    </w:p>
    <w:p>
      <w:pPr>
        <w:ind w:right="420" w:firstLine="188"/>
        <w:spacing w:after="0" w:line="276" w:lineRule="auto"/>
        <w:tabs>
          <w:tab w:leader="none" w:pos="396"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In consideration for the release set forth below and other obligations under this Agreement, ALLETE agrees to provide the following benefits to Ms. Amberg:</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Separation Payment</w:t>
      </w:r>
      <w:r>
        <w:rPr>
          <w:rFonts w:ascii="Arial" w:cs="Arial" w:eastAsia="Arial" w:hAnsi="Arial"/>
          <w:sz w:val="19"/>
          <w:szCs w:val="19"/>
          <w:color w:val="auto"/>
        </w:rPr>
        <w:t>. ALLETE will make a lump-sum payment to Ms. Amberg in an amount equal to the sum</w:t>
      </w:r>
    </w:p>
    <w:p>
      <w:pPr>
        <w:spacing w:after="0" w:line="22" w:lineRule="exact"/>
        <w:rPr>
          <w:sz w:val="20"/>
          <w:szCs w:val="20"/>
          <w:color w:val="auto"/>
        </w:rPr>
      </w:pPr>
    </w:p>
    <w:p>
      <w:pPr>
        <w:ind w:left="660" w:right="640"/>
        <w:spacing w:after="0" w:line="259" w:lineRule="auto"/>
        <w:rPr>
          <w:sz w:val="20"/>
          <w:szCs w:val="20"/>
          <w:color w:val="auto"/>
        </w:rPr>
      </w:pPr>
      <w:r>
        <w:rPr>
          <w:rFonts w:ascii="Arial" w:cs="Arial" w:eastAsia="Arial" w:hAnsi="Arial"/>
          <w:sz w:val="22"/>
          <w:szCs w:val="22"/>
          <w:color w:val="auto"/>
        </w:rPr>
        <w:t>of: (a) $344,866, which amount is equal to twelve (12) months’ base salary at Ms. Amberg’s pay rate in effect on the Effective Date.</w:t>
      </w:r>
    </w:p>
    <w:p>
      <w:pPr>
        <w:spacing w:after="0" w:line="179" w:lineRule="exact"/>
        <w:rPr>
          <w:sz w:val="20"/>
          <w:szCs w:val="20"/>
          <w:color w:val="auto"/>
        </w:rPr>
      </w:pPr>
    </w:p>
    <w:p>
      <w:pPr>
        <w:ind w:left="660" w:right="180" w:firstLine="648"/>
        <w:spacing w:after="0" w:line="264"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Health and Welfare Benefits</w:t>
      </w:r>
      <w:r>
        <w:rPr>
          <w:rFonts w:ascii="Arial" w:cs="Arial" w:eastAsia="Arial" w:hAnsi="Arial"/>
          <w:sz w:val="21"/>
          <w:szCs w:val="21"/>
          <w:color w:val="auto"/>
        </w:rPr>
        <w:t xml:space="preserve">. ALLETE will maintain, at its expense, coverage under the medical plan, dental plan, or both in which Ms. Amberg was a participant as of the Effective Date and will pay the COBRA premiums for that benefit for eighteen (18) months; </w:t>
      </w:r>
      <w:r>
        <w:rPr>
          <w:rFonts w:ascii="Arial" w:cs="Arial" w:eastAsia="Arial" w:hAnsi="Arial"/>
          <w:sz w:val="21"/>
          <w:szCs w:val="21"/>
          <w:u w:val="single" w:color="auto"/>
          <w:color w:val="auto"/>
        </w:rPr>
        <w:t>provided</w:t>
      </w:r>
      <w:r>
        <w:rPr>
          <w:rFonts w:ascii="Arial" w:cs="Arial" w:eastAsia="Arial" w:hAnsi="Arial"/>
          <w:sz w:val="21"/>
          <w:szCs w:val="21"/>
          <w:color w:val="auto"/>
        </w:rPr>
        <w:t>, that ALLETE’s obligation to pay COBRA premiums for Ms. Amberg will be contingent on her timely election of COBRA health and dental coverage continuation. In addition, under the Minnesota Continuation rules, ALLETE will pay to continue Ms. Amberg’s core life insurance benefit in effect on the Effective Date for a period of eighteen (18) months following the Effective Date.</w:t>
      </w:r>
    </w:p>
    <w:p>
      <w:pPr>
        <w:sectPr>
          <w:pgSz w:w="11900" w:h="16838" w:orient="portrait"/>
          <w:cols w:equalWidth="0" w:num="1">
            <w:col w:w="11380"/>
          </w:cols>
          <w:pgMar w:left="240" w:top="122" w:right="279" w:bottom="1440" w:gutter="0" w:footer="0" w:header="0"/>
        </w:sectPr>
      </w:pPr>
    </w:p>
    <w:bookmarkStart w:id="287" w:name="page288"/>
    <w:bookmarkEnd w:id="287"/>
    <w:p>
      <w:pPr>
        <w:ind w:left="7124"/>
        <w:spacing w:after="0"/>
        <w:rPr>
          <w:sz w:val="20"/>
          <w:szCs w:val="20"/>
          <w:color w:val="auto"/>
        </w:rPr>
      </w:pPr>
      <w:r>
        <w:rPr>
          <w:rFonts w:ascii="Arial" w:cs="Arial" w:eastAsia="Arial" w:hAnsi="Arial"/>
          <w:sz w:val="18"/>
          <w:szCs w:val="18"/>
          <w:b w:val="1"/>
          <w:bCs w:val="1"/>
          <w:color w:val="auto"/>
        </w:rPr>
        <w:t>Exhibit 10(p)</w:t>
      </w:r>
    </w:p>
    <w:p>
      <w:pPr>
        <w:spacing w:after="0" w:line="200" w:lineRule="exact"/>
        <w:rPr>
          <w:sz w:val="20"/>
          <w:szCs w:val="20"/>
          <w:color w:val="auto"/>
        </w:rPr>
      </w:pPr>
    </w:p>
    <w:p>
      <w:pPr>
        <w:spacing w:after="0" w:line="279" w:lineRule="exact"/>
        <w:rPr>
          <w:sz w:val="20"/>
          <w:szCs w:val="20"/>
          <w:color w:val="auto"/>
        </w:rPr>
      </w:pPr>
    </w:p>
    <w:p>
      <w:pPr>
        <w:jc w:val="both"/>
        <w:ind w:left="4" w:right="140" w:firstLine="648"/>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Professional Services</w:t>
      </w:r>
      <w:r>
        <w:rPr>
          <w:rFonts w:ascii="Arial" w:cs="Arial" w:eastAsia="Arial" w:hAnsi="Arial"/>
          <w:sz w:val="22"/>
          <w:szCs w:val="22"/>
          <w:color w:val="auto"/>
        </w:rPr>
        <w:t>. ALLETE will pay up to $10,000 for outplacement services provided such expenses are incurred and submitted for payment, as provided in Section 3 below, as described in Section 3.2 below, within twelve (12) months following the Effective Date. In addition, ALLETE will pay up to $5,000 for tax consulting, financial planning, or estate planning services provided such expenses are incurred and submitted for payment, as provided in Section 3.2, below not later than April 30, 2020.</w:t>
      </w:r>
    </w:p>
    <w:p>
      <w:pPr>
        <w:spacing w:after="0" w:line="190" w:lineRule="exact"/>
        <w:rPr>
          <w:sz w:val="20"/>
          <w:szCs w:val="20"/>
          <w:color w:val="auto"/>
        </w:rPr>
      </w:pPr>
    </w:p>
    <w:p>
      <w:pPr>
        <w:ind w:left="4" w:right="360" w:firstLine="648"/>
        <w:spacing w:after="0" w:line="27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Withholding</w:t>
      </w:r>
      <w:r>
        <w:rPr>
          <w:rFonts w:ascii="Arial" w:cs="Arial" w:eastAsia="Arial" w:hAnsi="Arial"/>
          <w:sz w:val="22"/>
          <w:szCs w:val="22"/>
          <w:color w:val="auto"/>
        </w:rPr>
        <w:t>. All amounts payable to Ms. Amberg pursuant to this Section 2 above shall be reduced for any applicable withholding taxes.</w:t>
      </w:r>
    </w:p>
    <w:p>
      <w:pPr>
        <w:spacing w:after="0" w:line="161" w:lineRule="exact"/>
        <w:rPr>
          <w:sz w:val="20"/>
          <w:szCs w:val="20"/>
          <w:color w:val="auto"/>
        </w:rPr>
      </w:pPr>
    </w:p>
    <w:p>
      <w:pPr>
        <w:ind w:left="4" w:right="40" w:firstLine="648"/>
        <w:spacing w:after="0" w:line="30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Other Benefits.</w:t>
      </w:r>
      <w:r>
        <w:rPr>
          <w:rFonts w:ascii="Arial" w:cs="Arial" w:eastAsia="Arial" w:hAnsi="Arial"/>
          <w:sz w:val="19"/>
          <w:szCs w:val="19"/>
          <w:color w:val="auto"/>
        </w:rPr>
        <w:t xml:space="preserve"> This Agreement is not intended to alter Ms. Amberg’s entitlement to benefits provided through her participation in various qualified benefit plans, non-qualified benefit plans, incentive compensation plans, or other benefit programs offered by the Company, including Ms. Amberg’s right to receive, in connection with the termination of her employment, a lump-sum payout of any accrued and unused vacation time. Ms. Amberg will be entitled to such benefits or payments when and as provided by the respective plan, program, or grant, as applicable.</w:t>
      </w:r>
    </w:p>
    <w:p>
      <w:pPr>
        <w:spacing w:after="0" w:line="147" w:lineRule="exact"/>
        <w:rPr>
          <w:sz w:val="20"/>
          <w:szCs w:val="20"/>
          <w:color w:val="auto"/>
        </w:rPr>
      </w:pPr>
    </w:p>
    <w:p>
      <w:pPr>
        <w:ind w:left="404" w:hanging="404"/>
        <w:spacing w:after="0"/>
        <w:tabs>
          <w:tab w:leader="none" w:pos="404"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Timing of Separation Payments</w:t>
      </w:r>
      <w:r>
        <w:rPr>
          <w:rFonts w:ascii="Arial" w:cs="Arial" w:eastAsia="Arial" w:hAnsi="Arial"/>
          <w:sz w:val="22"/>
          <w:szCs w:val="22"/>
          <w:color w:val="auto"/>
        </w:rPr>
        <w:t>.</w:t>
      </w:r>
    </w:p>
    <w:p>
      <w:pPr>
        <w:spacing w:after="0" w:line="233" w:lineRule="exact"/>
        <w:rPr>
          <w:sz w:val="20"/>
          <w:szCs w:val="20"/>
          <w:color w:val="auto"/>
        </w:rPr>
      </w:pPr>
    </w:p>
    <w:p>
      <w:pPr>
        <w:ind w:left="4" w:right="20" w:firstLine="648"/>
        <w:spacing w:after="0" w:line="264" w:lineRule="auto"/>
        <w:rPr>
          <w:sz w:val="20"/>
          <w:szCs w:val="20"/>
          <w:color w:val="auto"/>
        </w:rPr>
      </w:pPr>
      <w:r>
        <w:rPr>
          <w:rFonts w:ascii="Arial" w:cs="Arial" w:eastAsia="Arial" w:hAnsi="Arial"/>
          <w:sz w:val="21"/>
          <w:szCs w:val="21"/>
          <w:color w:val="auto"/>
        </w:rPr>
        <w:t>3.1 Except as expressly provided in this Agreement to the contrary, ALLETE will make the payment described in Section 2.1 above within thirty (30) business days after January 31, 2020, provided this Agreement is in full effect on such date and Ms. Amberg is in compliance with the provisions of this Agreement. If Ms. Amberg dies prior to the date on which the payment described in Section 2.1 otherwise would have been made, ALLETE will make the payment to any beneficiary or beneficiaries designated, in writing, by Ms. Amberg for this express purpose and delivered by her to ALLETE’s Manager-Compensation and Benefits.</w:t>
      </w:r>
    </w:p>
    <w:p>
      <w:pPr>
        <w:spacing w:after="0" w:line="175" w:lineRule="exact"/>
        <w:rPr>
          <w:sz w:val="20"/>
          <w:szCs w:val="20"/>
          <w:color w:val="auto"/>
        </w:rPr>
      </w:pPr>
    </w:p>
    <w:p>
      <w:pPr>
        <w:ind w:left="4" w:right="140" w:firstLine="648"/>
        <w:spacing w:after="0" w:line="254" w:lineRule="auto"/>
        <w:rPr>
          <w:sz w:val="20"/>
          <w:szCs w:val="20"/>
          <w:color w:val="auto"/>
        </w:rPr>
      </w:pPr>
      <w:r>
        <w:rPr>
          <w:rFonts w:ascii="Arial" w:cs="Arial" w:eastAsia="Arial" w:hAnsi="Arial"/>
          <w:sz w:val="22"/>
          <w:szCs w:val="22"/>
          <w:color w:val="auto"/>
        </w:rPr>
        <w:t>3.2 All invoices for services covered in Section 2.3 above must be timely submitted to ALLETE’s Manager-Compensation and Benefits and, if timely submitted, ALLETE will make payments as soon as administratively practicable following such submission, but in no event later than the last day of Ms. Amberg’s taxable year following the taxable year in which the expense was incurred.</w:t>
      </w:r>
    </w:p>
    <w:p>
      <w:pPr>
        <w:spacing w:after="0" w:line="185" w:lineRule="exact"/>
        <w:rPr>
          <w:sz w:val="20"/>
          <w:szCs w:val="20"/>
          <w:color w:val="auto"/>
        </w:rPr>
      </w:pPr>
    </w:p>
    <w:p>
      <w:pPr>
        <w:ind w:left="-656" w:firstLine="656"/>
        <w:spacing w:after="0" w:line="260" w:lineRule="auto"/>
        <w:tabs>
          <w:tab w:leader="none" w:pos="334"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Waiver and Release</w:t>
      </w:r>
      <w:r>
        <w:rPr>
          <w:rFonts w:ascii="Arial" w:cs="Arial" w:eastAsia="Arial" w:hAnsi="Arial"/>
          <w:sz w:val="21"/>
          <w:szCs w:val="21"/>
          <w:color w:val="auto"/>
        </w:rPr>
        <w:t>. Except with respect to Ms. Amberg’s rights under this Agreement, Ms. Amberg, on behalf of herself and her heirs, executors, administrators, representatives, successors and assigns, agrees to release and forever discharge ALLETE, Inc. and its affiliates, subsidiaries, predecessors, successors, related entities, insurers and the current and former officers, directors, shareholders, employees, attorneys, agents and trustees or administrators of any benefit plan of each of the foregoing (any and all of which are referred to as “Releasees”) generally from any and all charges, complaints, claims, promises, agreements, causes of actions, damages, and debts of any nature whatsoever, known or unknown (collectively “Claims”), which Ms. Amberg has, claims to have, ever had, or ever claimed to have had against Releasees up through the date of her execution of this Agreement, including but not limited to any Claims under the common law or any statute. This waiver and release specifically includes, but is not limited to, the following:</w:t>
      </w:r>
    </w:p>
    <w:p>
      <w:pPr>
        <w:spacing w:after="0" w:line="185" w:lineRule="exact"/>
        <w:rPr>
          <w:sz w:val="20"/>
          <w:szCs w:val="20"/>
          <w:color w:val="auto"/>
        </w:rPr>
      </w:pPr>
    </w:p>
    <w:p>
      <w:pPr>
        <w:ind w:left="4" w:firstLine="648"/>
        <w:spacing w:after="0" w:line="276" w:lineRule="auto"/>
        <w:rPr>
          <w:sz w:val="20"/>
          <w:szCs w:val="20"/>
          <w:color w:val="auto"/>
        </w:rPr>
      </w:pPr>
      <w:r>
        <w:rPr>
          <w:rFonts w:ascii="Arial" w:cs="Arial" w:eastAsia="Arial" w:hAnsi="Arial"/>
          <w:sz w:val="22"/>
          <w:szCs w:val="22"/>
          <w:color w:val="auto"/>
        </w:rPr>
        <w:t>4.1 any and all claims arising from or relating to Ms. Amberg’s recruitment, hire, employment, and separation from employment;</w:t>
      </w:r>
    </w:p>
    <w:p>
      <w:pPr>
        <w:sectPr>
          <w:pgSz w:w="11900" w:h="16838" w:orient="portrait"/>
          <w:cols w:equalWidth="0" w:num="1">
            <w:col w:w="10764"/>
          </w:cols>
          <w:pgMar w:left="896" w:top="121" w:right="239" w:bottom="1440" w:gutter="0" w:footer="0" w:header="0"/>
        </w:sectPr>
      </w:pPr>
    </w:p>
    <w:bookmarkStart w:id="288" w:name="page289"/>
    <w:bookmarkEnd w:id="288"/>
    <w:p>
      <w:pPr>
        <w:ind w:left="7124"/>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left="4" w:right="20" w:firstLine="648"/>
        <w:spacing w:after="0" w:line="276" w:lineRule="auto"/>
        <w:rPr>
          <w:sz w:val="20"/>
          <w:szCs w:val="20"/>
          <w:color w:val="auto"/>
        </w:rPr>
      </w:pPr>
      <w:r>
        <w:rPr>
          <w:rFonts w:ascii="Arial" w:cs="Arial" w:eastAsia="Arial" w:hAnsi="Arial"/>
          <w:sz w:val="22"/>
          <w:szCs w:val="22"/>
          <w:color w:val="auto"/>
        </w:rPr>
        <w:t>4.2 any and all claims for back pay, front pay, other wages, vacation pay or sick pay, bonuses and any other form of compensation or benefits;</w:t>
      </w:r>
    </w:p>
    <w:p>
      <w:pPr>
        <w:spacing w:after="0" w:line="161" w:lineRule="exact"/>
        <w:rPr>
          <w:sz w:val="20"/>
          <w:szCs w:val="20"/>
          <w:color w:val="auto"/>
        </w:rPr>
      </w:pPr>
    </w:p>
    <w:p>
      <w:pPr>
        <w:ind w:left="4" w:right="20" w:firstLine="648"/>
        <w:spacing w:after="0" w:line="320" w:lineRule="auto"/>
        <w:rPr>
          <w:sz w:val="20"/>
          <w:szCs w:val="20"/>
          <w:color w:val="auto"/>
        </w:rPr>
      </w:pPr>
      <w:r>
        <w:rPr>
          <w:rFonts w:ascii="Arial" w:cs="Arial" w:eastAsia="Arial" w:hAnsi="Arial"/>
          <w:sz w:val="19"/>
          <w:szCs w:val="19"/>
          <w:color w:val="auto"/>
        </w:rPr>
        <w:t>4.3 any and all claims of employment discrimination, harassment or wrongful or retaliatory discharge based on race, color, national origin, ancestry, religion, marital status, veteran status, sex, sexual orientation, familial status, disability, handicap age or other characteristic or conduct protected under any applicable federal and state laws and regulations;</w:t>
      </w:r>
    </w:p>
    <w:p>
      <w:pPr>
        <w:spacing w:after="0" w:line="125" w:lineRule="exact"/>
        <w:rPr>
          <w:sz w:val="20"/>
          <w:szCs w:val="20"/>
          <w:color w:val="auto"/>
        </w:rPr>
      </w:pPr>
    </w:p>
    <w:p>
      <w:pPr>
        <w:ind w:left="4" w:right="300" w:firstLine="648"/>
        <w:spacing w:after="0" w:line="276" w:lineRule="auto"/>
        <w:rPr>
          <w:sz w:val="20"/>
          <w:szCs w:val="20"/>
          <w:color w:val="auto"/>
        </w:rPr>
      </w:pPr>
      <w:r>
        <w:rPr>
          <w:rFonts w:ascii="Arial" w:cs="Arial" w:eastAsia="Arial" w:hAnsi="Arial"/>
          <w:sz w:val="22"/>
          <w:szCs w:val="22"/>
          <w:color w:val="auto"/>
        </w:rPr>
        <w:t>4.4 any and all claims of employment discrimination, harassment or wrongful or retaliatory discharge under any applicable federal, state and local laws and regulations;</w:t>
      </w:r>
    </w:p>
    <w:p>
      <w:pPr>
        <w:spacing w:after="0" w:line="161" w:lineRule="exact"/>
        <w:rPr>
          <w:sz w:val="20"/>
          <w:szCs w:val="20"/>
          <w:color w:val="auto"/>
        </w:rPr>
      </w:pPr>
    </w:p>
    <w:p>
      <w:pPr>
        <w:ind w:left="4" w:right="120" w:firstLine="648"/>
        <w:spacing w:after="0" w:line="260" w:lineRule="auto"/>
        <w:rPr>
          <w:sz w:val="20"/>
          <w:szCs w:val="20"/>
          <w:color w:val="auto"/>
        </w:rPr>
      </w:pPr>
      <w:r>
        <w:rPr>
          <w:rFonts w:ascii="Arial" w:cs="Arial" w:eastAsia="Arial" w:hAnsi="Arial"/>
          <w:sz w:val="21"/>
          <w:szCs w:val="21"/>
          <w:color w:val="auto"/>
        </w:rPr>
        <w:t>4.5 any and all claims under the Title VII of the Civil Rights Act of 1964, as amended; the Civil Rights Act of 1991; the Age Discrimination and Employment Act of 1967, as amended by the Older Workers Benefit Protection Act of 1990; the National Labor Relations Act, as amended; the Equal Pay Act of 1963; the Employee Retirement Income Securities Act of 1974, as amended, (but only as to claims arising thereunder prior to the date hereof); the Americans With Disabilities Act, as amended; the Family and Medical Leave Act of 1993, as amended; the Fair Labor Standards Act; the Minnesota Human Rights Act; the Wisconsin Fair Employment Act; the Constitutions of the United States, the State of Minnesota and the State of Wisconsin; all other federal, state and local civil rights acts, regulations, orders relating to any term, condition or termination of employment; any and all state statutes or judicial decisions relating in any way to any term, condition or termination of employment; in all cases except to the extent such claims cannot be waived as a matter of law;</w:t>
      </w:r>
    </w:p>
    <w:p>
      <w:pPr>
        <w:spacing w:after="0" w:line="180" w:lineRule="exact"/>
        <w:rPr>
          <w:sz w:val="20"/>
          <w:szCs w:val="20"/>
          <w:color w:val="auto"/>
        </w:rPr>
      </w:pPr>
    </w:p>
    <w:p>
      <w:pPr>
        <w:ind w:left="644"/>
        <w:spacing w:after="0"/>
        <w:tabs>
          <w:tab w:leader="none" w:pos="1083"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any and all claims in tort, contract, public policy, common law or any equitable theory; and</w:t>
      </w:r>
    </w:p>
    <w:p>
      <w:pPr>
        <w:spacing w:after="0" w:line="233" w:lineRule="exact"/>
        <w:rPr>
          <w:sz w:val="20"/>
          <w:szCs w:val="20"/>
          <w:color w:val="auto"/>
        </w:rPr>
      </w:pPr>
    </w:p>
    <w:p>
      <w:pPr>
        <w:ind w:left="644"/>
        <w:spacing w:after="0"/>
        <w:tabs>
          <w:tab w:leader="none" w:pos="1083"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any and all claims for costs or attorneys’ fees.</w:t>
      </w:r>
    </w:p>
    <w:p>
      <w:pPr>
        <w:spacing w:after="0" w:line="233" w:lineRule="exact"/>
        <w:rPr>
          <w:sz w:val="20"/>
          <w:szCs w:val="20"/>
          <w:color w:val="auto"/>
        </w:rPr>
      </w:pPr>
    </w:p>
    <w:p>
      <w:pPr>
        <w:ind w:left="-656" w:right="120" w:firstLine="656"/>
        <w:spacing w:after="0" w:line="276" w:lineRule="auto"/>
        <w:tabs>
          <w:tab w:leader="none" w:pos="38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waiver and release in Section 4 above shall not release any claims that cannot be waived or released as a matter of law. Accordingly, Ms. Amberg does not waive or release the right:</w:t>
      </w:r>
    </w:p>
    <w:p>
      <w:pPr>
        <w:spacing w:after="0" w:line="161" w:lineRule="exact"/>
        <w:rPr>
          <w:sz w:val="20"/>
          <w:szCs w:val="20"/>
          <w:color w:val="auto"/>
        </w:rPr>
      </w:pPr>
    </w:p>
    <w:p>
      <w:pPr>
        <w:ind w:left="4" w:firstLine="648"/>
        <w:spacing w:after="0" w:line="290" w:lineRule="auto"/>
        <w:rPr>
          <w:sz w:val="20"/>
          <w:szCs w:val="20"/>
          <w:color w:val="auto"/>
        </w:rPr>
      </w:pPr>
      <w:r>
        <w:rPr>
          <w:rFonts w:ascii="Arial" w:cs="Arial" w:eastAsia="Arial" w:hAnsi="Arial"/>
          <w:sz w:val="19"/>
          <w:szCs w:val="19"/>
          <w:color w:val="auto"/>
        </w:rPr>
        <w:t>5.1 to file an employment-related charge or complaint with any federal, state, or local government agency with authority over employment-related matters (including the United States Department of Labor, the federal Equal Employment Opportunity Commission, the Minnesota Department of Human Rights, etc.); provided, however, if Ms. Amberg does file a charge or complaint with a government agency, or if someone else files on my behalf or for her benefit, and if it is covered by Section 4, she waives and releases all individual rights, remedies, claims, and causes of action, known and unknown, contingent or absolute, she might have against the Company to receive any damages, attorneys’ fees, costs, disbursements, and other monetary and personal relief; also, if the charge or complaint is followed by a lawsuit brought by Ms. Amberg or by someone else on her behalf, she waives and releases all individual rights, remedies, claims, and causes of action, known and unknown, contingent or absolute, she might have against the Company to receive any damages, attorneys’ fees, costs, disbursements, and other monetary and personal relief in the lawsuit;</w:t>
      </w:r>
    </w:p>
    <w:p>
      <w:pPr>
        <w:spacing w:after="0" w:line="156" w:lineRule="exact"/>
        <w:rPr>
          <w:sz w:val="20"/>
          <w:szCs w:val="20"/>
          <w:color w:val="auto"/>
        </w:rPr>
      </w:pPr>
    </w:p>
    <w:p>
      <w:pPr>
        <w:ind w:left="4" w:right="240" w:firstLine="648"/>
        <w:spacing w:after="0" w:line="276" w:lineRule="auto"/>
        <w:rPr>
          <w:sz w:val="20"/>
          <w:szCs w:val="20"/>
          <w:color w:val="auto"/>
        </w:rPr>
      </w:pPr>
      <w:r>
        <w:rPr>
          <w:rFonts w:ascii="Arial" w:cs="Arial" w:eastAsia="Arial" w:hAnsi="Arial"/>
          <w:sz w:val="22"/>
          <w:szCs w:val="22"/>
          <w:color w:val="auto"/>
        </w:rPr>
        <w:t>5.2 to testify, assist, or otherwise participate in any investigation, hearing, or other proceeding conducted by any government agency;</w:t>
      </w:r>
    </w:p>
    <w:p>
      <w:pPr>
        <w:sectPr>
          <w:pgSz w:w="11900" w:h="16838" w:orient="portrait"/>
          <w:cols w:equalWidth="0" w:num="1">
            <w:col w:w="10764"/>
          </w:cols>
          <w:pgMar w:left="896" w:top="121" w:right="239" w:bottom="1440" w:gutter="0" w:footer="0" w:header="0"/>
        </w:sectPr>
      </w:pPr>
    </w:p>
    <w:bookmarkStart w:id="289" w:name="page290"/>
    <w:bookmarkEnd w:id="289"/>
    <w:p>
      <w:pPr>
        <w:ind w:left="7124"/>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left="4" w:right="860" w:firstLine="648"/>
        <w:spacing w:after="0" w:line="358" w:lineRule="auto"/>
        <w:rPr>
          <w:sz w:val="20"/>
          <w:szCs w:val="20"/>
          <w:color w:val="auto"/>
        </w:rPr>
      </w:pPr>
      <w:r>
        <w:rPr>
          <w:rFonts w:ascii="Arial" w:cs="Arial" w:eastAsia="Arial" w:hAnsi="Arial"/>
          <w:sz w:val="19"/>
          <w:szCs w:val="19"/>
          <w:color w:val="auto"/>
        </w:rPr>
        <w:t>5.3 to bring claims under the Minnesota Workers’ Compensation Act, as amended, pertaining to workers’ compensation benefits; except, however, she does waive the right to bring claims under Minn. Stat. § 176.82;</w:t>
      </w:r>
    </w:p>
    <w:p>
      <w:pPr>
        <w:spacing w:after="0" w:line="91" w:lineRule="exact"/>
        <w:rPr>
          <w:sz w:val="20"/>
          <w:szCs w:val="20"/>
          <w:color w:val="auto"/>
        </w:rPr>
      </w:pPr>
    </w:p>
    <w:p>
      <w:pPr>
        <w:ind w:left="4" w:right="880" w:firstLine="648"/>
        <w:spacing w:after="0" w:line="276" w:lineRule="auto"/>
        <w:rPr>
          <w:sz w:val="20"/>
          <w:szCs w:val="20"/>
          <w:color w:val="auto"/>
        </w:rPr>
      </w:pPr>
      <w:r>
        <w:rPr>
          <w:rFonts w:ascii="Arial" w:cs="Arial" w:eastAsia="Arial" w:hAnsi="Arial"/>
          <w:sz w:val="22"/>
          <w:szCs w:val="22"/>
          <w:color w:val="auto"/>
        </w:rPr>
        <w:t>5.4 to bring claims under the Wisconsin Workers’ Compensation Act, as amended, pertaining to workers’ compensation benefits; or</w:t>
      </w:r>
    </w:p>
    <w:p>
      <w:pPr>
        <w:spacing w:after="0" w:line="161" w:lineRule="exact"/>
        <w:rPr>
          <w:sz w:val="20"/>
          <w:szCs w:val="20"/>
          <w:color w:val="auto"/>
        </w:rPr>
      </w:pPr>
    </w:p>
    <w:p>
      <w:pPr>
        <w:ind w:left="4" w:right="20" w:firstLine="648"/>
        <w:spacing w:after="0" w:line="320" w:lineRule="auto"/>
        <w:rPr>
          <w:sz w:val="20"/>
          <w:szCs w:val="20"/>
          <w:color w:val="auto"/>
        </w:rPr>
      </w:pPr>
      <w:r>
        <w:rPr>
          <w:rFonts w:ascii="Arial" w:cs="Arial" w:eastAsia="Arial" w:hAnsi="Arial"/>
          <w:sz w:val="19"/>
          <w:szCs w:val="19"/>
          <w:color w:val="auto"/>
        </w:rPr>
        <w:t>5.5 to challenge in court the validity of her waiver and release under the Age Discrimination in Employment Act of 1967, as amended; however, Ms. Amberg has no reason to believe that her waiver and release under that Act is invalid or unenforceable, it being in the best interests of the parties that such waiver and release is valid and enforceable.</w:t>
      </w:r>
    </w:p>
    <w:p>
      <w:pPr>
        <w:spacing w:after="0" w:line="125" w:lineRule="exact"/>
        <w:rPr>
          <w:sz w:val="20"/>
          <w:szCs w:val="20"/>
          <w:color w:val="auto"/>
        </w:rPr>
      </w:pPr>
    </w:p>
    <w:p>
      <w:pPr>
        <w:ind w:left="-656" w:right="80" w:firstLine="656"/>
        <w:spacing w:after="0" w:line="300" w:lineRule="auto"/>
        <w:tabs>
          <w:tab w:leader="none" w:pos="334"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ADEA Waiver</w:t>
      </w:r>
      <w:r>
        <w:rPr>
          <w:rFonts w:ascii="Arial" w:cs="Arial" w:eastAsia="Arial" w:hAnsi="Arial"/>
          <w:sz w:val="19"/>
          <w:szCs w:val="19"/>
          <w:color w:val="auto"/>
        </w:rPr>
        <w:t>. Ms. Amberg expressly acknowledges and agrees that, among other matters waived and released by Section 4 above, are any and all rights or claims arising under the Age Discrimination and Employment Act of 1967, as amended by the Older Workers Benefit Protection Act of 1990 (the “ADEA”), which have arisen on or before the date Ms. Amberg executes this Agreement. Pursuant to the Older Workers Benefit Protection Act, which contains special provisions and requirements affecting the release of ADEA claims, Ms. Amberg expressly acknowledges and agrees as follows:</w:t>
      </w:r>
    </w:p>
    <w:p>
      <w:pPr>
        <w:spacing w:after="0" w:line="147" w:lineRule="exact"/>
        <w:rPr>
          <w:sz w:val="20"/>
          <w:szCs w:val="20"/>
          <w:color w:val="auto"/>
        </w:rPr>
      </w:pPr>
    </w:p>
    <w:p>
      <w:pPr>
        <w:ind w:left="4" w:firstLine="648"/>
        <w:spacing w:after="0" w:line="276" w:lineRule="auto"/>
        <w:rPr>
          <w:sz w:val="20"/>
          <w:szCs w:val="20"/>
          <w:color w:val="auto"/>
        </w:rPr>
      </w:pPr>
      <w:r>
        <w:rPr>
          <w:rFonts w:ascii="Arial" w:cs="Arial" w:eastAsia="Arial" w:hAnsi="Arial"/>
          <w:sz w:val="22"/>
          <w:szCs w:val="22"/>
          <w:color w:val="auto"/>
        </w:rPr>
        <w:t>6.1 In exchange for the waiver and release in this Agreement, she will receive consideration, meaning something of value beyond that which she was already entitled to receive before signing this Agreement;</w:t>
      </w:r>
    </w:p>
    <w:p>
      <w:pPr>
        <w:spacing w:after="0" w:line="161" w:lineRule="exact"/>
        <w:rPr>
          <w:sz w:val="20"/>
          <w:szCs w:val="20"/>
          <w:color w:val="auto"/>
        </w:rPr>
      </w:pPr>
    </w:p>
    <w:p>
      <w:pPr>
        <w:ind w:left="4" w:right="60" w:firstLine="648"/>
        <w:spacing w:after="0" w:line="358" w:lineRule="auto"/>
        <w:rPr>
          <w:sz w:val="20"/>
          <w:szCs w:val="20"/>
          <w:color w:val="auto"/>
        </w:rPr>
      </w:pPr>
      <w:r>
        <w:rPr>
          <w:rFonts w:ascii="Arial" w:cs="Arial" w:eastAsia="Arial" w:hAnsi="Arial"/>
          <w:sz w:val="19"/>
          <w:szCs w:val="19"/>
          <w:color w:val="auto"/>
        </w:rPr>
        <w:t>6.2 She has been advised by the Company in writing (and given the opportunity) to consult with an attorney before signing this Agreement and Ms. Amberg has consulted with an attorney to the extent that she thinks appropriate;</w:t>
      </w:r>
    </w:p>
    <w:p>
      <w:pPr>
        <w:spacing w:after="0" w:line="91" w:lineRule="exact"/>
        <w:rPr>
          <w:sz w:val="20"/>
          <w:szCs w:val="20"/>
          <w:color w:val="auto"/>
        </w:rPr>
      </w:pPr>
    </w:p>
    <w:p>
      <w:pPr>
        <w:ind w:left="4" w:right="620" w:firstLine="648"/>
        <w:spacing w:after="0" w:line="276" w:lineRule="auto"/>
        <w:rPr>
          <w:sz w:val="20"/>
          <w:szCs w:val="20"/>
          <w:color w:val="auto"/>
        </w:rPr>
      </w:pPr>
      <w:r>
        <w:rPr>
          <w:rFonts w:ascii="Arial" w:cs="Arial" w:eastAsia="Arial" w:hAnsi="Arial"/>
          <w:sz w:val="22"/>
          <w:szCs w:val="22"/>
          <w:color w:val="auto"/>
        </w:rPr>
        <w:t>6.3 She has decided to enter into this Agreement only after she had the opportunity to carefully consider the benefits available as severance pay and the ramifications of this Waiver;</w:t>
      </w:r>
    </w:p>
    <w:p>
      <w:pPr>
        <w:spacing w:after="0" w:line="161" w:lineRule="exact"/>
        <w:rPr>
          <w:sz w:val="20"/>
          <w:szCs w:val="20"/>
          <w:color w:val="auto"/>
        </w:rPr>
      </w:pPr>
    </w:p>
    <w:p>
      <w:pPr>
        <w:ind w:left="4" w:right="800" w:firstLine="648"/>
        <w:spacing w:after="0" w:line="276" w:lineRule="auto"/>
        <w:rPr>
          <w:sz w:val="20"/>
          <w:szCs w:val="20"/>
          <w:color w:val="auto"/>
        </w:rPr>
      </w:pPr>
      <w:r>
        <w:rPr>
          <w:rFonts w:ascii="Arial" w:cs="Arial" w:eastAsia="Arial" w:hAnsi="Arial"/>
          <w:sz w:val="22"/>
          <w:szCs w:val="22"/>
          <w:color w:val="auto"/>
        </w:rPr>
        <w:t>6.4 She has not relied on any explanations, statements, or promises made by the Company or its agents or attorneys other than as set forth in this Agreement;</w:t>
      </w:r>
    </w:p>
    <w:p>
      <w:pPr>
        <w:spacing w:after="0" w:line="161" w:lineRule="exact"/>
        <w:rPr>
          <w:sz w:val="20"/>
          <w:szCs w:val="20"/>
          <w:color w:val="auto"/>
        </w:rPr>
      </w:pPr>
    </w:p>
    <w:p>
      <w:pPr>
        <w:ind w:left="4" w:right="40" w:firstLine="648"/>
        <w:spacing w:after="0" w:line="284" w:lineRule="auto"/>
        <w:rPr>
          <w:sz w:val="20"/>
          <w:szCs w:val="20"/>
          <w:color w:val="auto"/>
        </w:rPr>
      </w:pPr>
      <w:r>
        <w:rPr>
          <w:rFonts w:ascii="Arial" w:cs="Arial" w:eastAsia="Arial" w:hAnsi="Arial"/>
          <w:sz w:val="20"/>
          <w:szCs w:val="20"/>
          <w:color w:val="auto"/>
        </w:rPr>
        <w:t>6.5 Ms. Amberg is being given forty-five (45) calendar days following the date she received this Agreement to consider signing this Agreement. If Ms. Amberg signs this Agreement at any point prior to the end of the 45-day period, it will be her knowing and voluntary decision to do so because she decided that she does not need any additional time to decide whether to sign this Agreement. If she does not sign this agreement within the 45-day period, the offer will expire on the 46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she received this Agreement and this Agreement will not become enforceable;</w:t>
      </w:r>
    </w:p>
    <w:p>
      <w:pPr>
        <w:spacing w:after="0" w:line="111" w:lineRule="exact"/>
        <w:rPr>
          <w:sz w:val="20"/>
          <w:szCs w:val="20"/>
          <w:color w:val="auto"/>
        </w:rPr>
      </w:pPr>
    </w:p>
    <w:p>
      <w:pPr>
        <w:ind w:left="4" w:right="80" w:firstLine="648"/>
        <w:spacing w:after="0" w:line="249" w:lineRule="auto"/>
        <w:rPr>
          <w:sz w:val="20"/>
          <w:szCs w:val="20"/>
          <w:color w:val="auto"/>
        </w:rPr>
      </w:pPr>
      <w:r>
        <w:rPr>
          <w:rFonts w:ascii="Arial" w:cs="Arial" w:eastAsia="Arial" w:hAnsi="Arial"/>
          <w:sz w:val="21"/>
          <w:szCs w:val="21"/>
          <w:color w:val="auto"/>
        </w:rPr>
        <w:t>6.6 Ms. Amberg has fifteen (15) days following the date she signs this Agreement in which to revoke the Agreement (the “Reconsideration Period”). This Agreement will become irrevocable on the 16</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it is signed if not revoked within the Reconsideration Period. Any revocation must be in writing and delivered by Ms. Amberg to ALLETE’s Vice President-Human Resources prior to the expiration of the Reconsideration Period. If Ms. Amberg revokes this Agreement within the Reconsideration Period, ALLETE shall have no obligations under this Agreement, including to make any severance or other payments provided hereunder; and</w:t>
      </w:r>
    </w:p>
    <w:p>
      <w:pPr>
        <w:sectPr>
          <w:pgSz w:w="11900" w:h="16838" w:orient="portrait"/>
          <w:cols w:equalWidth="0" w:num="1">
            <w:col w:w="10764"/>
          </w:cols>
          <w:pgMar w:left="896" w:top="121" w:right="239" w:bottom="1440" w:gutter="0" w:footer="0" w:header="0"/>
        </w:sectPr>
      </w:pPr>
    </w:p>
    <w:bookmarkStart w:id="290" w:name="page291"/>
    <w:bookmarkEnd w:id="290"/>
    <w:p>
      <w:pPr>
        <w:ind w:left="7124"/>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left="4" w:right="860" w:firstLine="648"/>
        <w:spacing w:after="0" w:line="276" w:lineRule="auto"/>
        <w:rPr>
          <w:sz w:val="20"/>
          <w:szCs w:val="20"/>
          <w:color w:val="auto"/>
        </w:rPr>
      </w:pPr>
      <w:r>
        <w:rPr>
          <w:rFonts w:ascii="Arial" w:cs="Arial" w:eastAsia="Arial" w:hAnsi="Arial"/>
          <w:sz w:val="22"/>
          <w:szCs w:val="22"/>
          <w:color w:val="auto"/>
        </w:rPr>
        <w:t xml:space="preserve">6.7 Ms. Amberg further acknowledges receiving the document titled, “Information Regarding Terminated Employees,”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1" w:lineRule="exact"/>
        <w:rPr>
          <w:sz w:val="20"/>
          <w:szCs w:val="20"/>
          <w:color w:val="auto"/>
        </w:rPr>
      </w:pPr>
    </w:p>
    <w:p>
      <w:pPr>
        <w:ind w:left="-656" w:right="40" w:firstLine="656"/>
        <w:spacing w:after="0" w:line="253" w:lineRule="auto"/>
        <w:tabs>
          <w:tab w:leader="none" w:pos="208"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Ms. Amberg acknowledges and understands that ALLETE has relied upon the following representations in entering into this Agreement and that all payments and benefits provided under this Agreement are subject to Ms. Amberg’s ongoing compliance with the same:</w:t>
      </w:r>
    </w:p>
    <w:p>
      <w:pPr>
        <w:spacing w:after="0" w:line="186" w:lineRule="exact"/>
        <w:rPr>
          <w:sz w:val="20"/>
          <w:szCs w:val="20"/>
          <w:color w:val="auto"/>
        </w:rPr>
      </w:pPr>
    </w:p>
    <w:p>
      <w:pPr>
        <w:ind w:left="4" w:right="500" w:firstLine="648"/>
        <w:spacing w:after="0" w:line="26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No Pending Claims</w:t>
      </w:r>
      <w:r>
        <w:rPr>
          <w:rFonts w:ascii="Arial" w:cs="Arial" w:eastAsia="Arial" w:hAnsi="Arial"/>
          <w:sz w:val="22"/>
          <w:szCs w:val="22"/>
          <w:color w:val="auto"/>
        </w:rPr>
        <w:t>. Ms. Amberg represents that no actions, complaints, or charges have been filed by her against ALLETE or any of its successors, assigns, directors, officers, employees, attorneys, agents and trustees or administrators of any of its benefit plans.</w:t>
      </w:r>
    </w:p>
    <w:p>
      <w:pPr>
        <w:spacing w:after="0" w:line="177" w:lineRule="exact"/>
        <w:rPr>
          <w:sz w:val="20"/>
          <w:szCs w:val="20"/>
          <w:color w:val="auto"/>
        </w:rPr>
      </w:pPr>
    </w:p>
    <w:p>
      <w:pPr>
        <w:ind w:left="4" w:right="180" w:firstLine="648"/>
        <w:spacing w:after="0" w:line="30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Promise not to Assist Claimants.</w:t>
      </w:r>
      <w:r>
        <w:rPr>
          <w:rFonts w:ascii="Arial" w:cs="Arial" w:eastAsia="Arial" w:hAnsi="Arial"/>
          <w:sz w:val="19"/>
          <w:szCs w:val="19"/>
          <w:color w:val="auto"/>
        </w:rPr>
        <w:t xml:space="preserve"> Ms. Amberg will not voluntarily aid, assist, or cooperate with any actual or potential claimants or plaintiffs or their attorneys or agents in any claims or lawsuits proposed to be asserted, pending or commenced on the date hereof or in the future against ALLETE or any of its affiliates; provided, however, that nothing in this Agreement will be construed to prevent Ms. Amberg from testifying at an administrative hearing or deposition or in court in response to a lawful subpoena in any litigation or proceeding involving ALLETE or any affiliate.</w:t>
      </w:r>
    </w:p>
    <w:p>
      <w:pPr>
        <w:spacing w:after="0" w:line="147" w:lineRule="exact"/>
        <w:rPr>
          <w:sz w:val="20"/>
          <w:szCs w:val="20"/>
          <w:color w:val="auto"/>
        </w:rPr>
      </w:pPr>
    </w:p>
    <w:p>
      <w:pPr>
        <w:ind w:left="4" w:right="80" w:firstLine="648"/>
        <w:spacing w:after="0" w:line="25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Non-disparagement</w:t>
      </w:r>
      <w:r>
        <w:rPr>
          <w:rFonts w:ascii="Arial" w:cs="Arial" w:eastAsia="Arial" w:hAnsi="Arial"/>
          <w:sz w:val="22"/>
          <w:szCs w:val="22"/>
          <w:color w:val="auto"/>
        </w:rPr>
        <w:t>. Ms. Amberg promises that she will not disparage or do anything to harm the ALLETE, its directors, officer, employees, suppliers or customers, or its affiliates and the directors, officers or employees of such affiliates, or to interfere with any of the business or government relations of ALLETE or its affiliates. Ms. Amberg will not, directly or indirectly, publicly criticize in any manner or by any means ALLETE or any aspect of its management, policies, operations, practices, or personnel. Similarly, ALLETE promises that its officers will not disparage Ms. Amberg, and will do nothing to harm her reputation.</w:t>
      </w:r>
    </w:p>
    <w:p>
      <w:pPr>
        <w:spacing w:after="0" w:line="188" w:lineRule="exact"/>
        <w:rPr>
          <w:sz w:val="20"/>
          <w:szCs w:val="20"/>
          <w:color w:val="auto"/>
        </w:rPr>
      </w:pPr>
    </w:p>
    <w:p>
      <w:pPr>
        <w:ind w:left="4" w:right="120" w:firstLine="648"/>
        <w:spacing w:after="0" w:line="290"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Confidentiality</w:t>
      </w:r>
      <w:r>
        <w:rPr>
          <w:rFonts w:ascii="Arial" w:cs="Arial" w:eastAsia="Arial" w:hAnsi="Arial"/>
          <w:sz w:val="19"/>
          <w:szCs w:val="19"/>
          <w:color w:val="auto"/>
        </w:rPr>
        <w:t>. ALLETE and Ms. Amberg agree that the terms of this Agreement are confidential and that neither will disclose reveal or publicize the existence of this Agreement or its terms, except as required by law and as required under the rules and regulations of the Securities and Exchange Commission (the “SEC”). Ms. Amberg will not discuss the existence or terms of this Agreement with anyone (including to other ALLETE employees) without the express written consent of the ALLETE’s Chief Executive Officer, except that she may disclose this Agreement to her legal, tax, accounting or other advisors, and discuss it to the extent necessary to obtain counsel and advice therefrom; and, except further, Ms. Amberg may discuss any term of this Agreement after, and to the extent, such term has been disclosed by ALLETE as required under the rules of the SEC. Notwithstanding the foregoing, Ms. Amberg expressly acknowledges and agrees that by virtue of her former positions with the Company, separate and apart from any obligations set forth in this Agreement, she is subject to and bound by statutory and common law duties that may survive termination of employment, including duties of loyalty and confidentiality.</w:t>
      </w:r>
    </w:p>
    <w:p>
      <w:pPr>
        <w:spacing w:after="0" w:line="200" w:lineRule="exact"/>
        <w:rPr>
          <w:sz w:val="20"/>
          <w:szCs w:val="20"/>
          <w:color w:val="auto"/>
        </w:rPr>
      </w:pPr>
    </w:p>
    <w:p>
      <w:pPr>
        <w:spacing w:after="0" w:line="212" w:lineRule="exact"/>
        <w:rPr>
          <w:sz w:val="20"/>
          <w:szCs w:val="20"/>
          <w:color w:val="auto"/>
        </w:rPr>
      </w:pPr>
    </w:p>
    <w:p>
      <w:pPr>
        <w:ind w:left="4" w:firstLine="648"/>
        <w:spacing w:after="0" w:line="261"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Records, Documents and Property</w:t>
      </w:r>
      <w:r>
        <w:rPr>
          <w:rFonts w:ascii="Arial" w:cs="Arial" w:eastAsia="Arial" w:hAnsi="Arial"/>
          <w:sz w:val="21"/>
          <w:szCs w:val="21"/>
          <w:color w:val="auto"/>
        </w:rPr>
        <w:t>. Upon execution of this Agreement, Ms. Amberg will promptly return to ALLETE all business-related records and correspondence, in any format, in her possession at the time she signs this Agreement. Ms. Amberg will also return all property of ALLETE, including computers, telephones, corporate credit cards, keys, proximity cards and badges in her possession at the time she signs this Agreement, except as follows: (a) Ms. Amberg may retain her Company-provided mobile phone and ALLETE agrees to release the associated phone number to allow Ms. Amberg to “port” that number and continue to use it in connection with a personal service plan at her own expense; (b) Ms. Amberg may retain her Company-provided iPad with an understanding that ALLETE will terminate the data plan associated with the</w:t>
      </w:r>
    </w:p>
    <w:p>
      <w:pPr>
        <w:sectPr>
          <w:pgSz w:w="11900" w:h="16838" w:orient="portrait"/>
          <w:cols w:equalWidth="0" w:num="1">
            <w:col w:w="10764"/>
          </w:cols>
          <w:pgMar w:left="896" w:top="121" w:right="239" w:bottom="1440" w:gutter="0" w:footer="0" w:header="0"/>
        </w:sectPr>
      </w:pPr>
    </w:p>
    <w:bookmarkStart w:id="291" w:name="page292"/>
    <w:bookmarkEnd w:id="291"/>
    <w:p>
      <w:pPr>
        <w:ind w:left="7124"/>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left="4" w:right="160"/>
        <w:spacing w:after="0" w:line="247" w:lineRule="auto"/>
        <w:rPr>
          <w:sz w:val="20"/>
          <w:szCs w:val="20"/>
          <w:color w:val="auto"/>
        </w:rPr>
      </w:pPr>
      <w:r>
        <w:rPr>
          <w:rFonts w:ascii="Arial" w:cs="Arial" w:eastAsia="Arial" w:hAnsi="Arial"/>
          <w:sz w:val="22"/>
          <w:szCs w:val="22"/>
          <w:color w:val="auto"/>
        </w:rPr>
        <w:t>device after the Effective Date, and (c) Ms. Amberg may retain her Company-provided laptop computer, but only on the condition that she first returns it to ALLETE by the Effective Date with the understanding that ALLETE will completely “wipe” the computer, removing everything form it, including all files, documents, programs, and systems, before it will be returned to Ms. Amberg. Ms. Amberg hereby represents that she has returned, or will return to ALLETE within fifteen calendar days after the Effective Date, all ALLETE property in her possession or under her control in accordance with this Section 7.5.</w:t>
      </w:r>
    </w:p>
    <w:p>
      <w:pPr>
        <w:spacing w:after="0" w:line="194" w:lineRule="exact"/>
        <w:rPr>
          <w:sz w:val="20"/>
          <w:szCs w:val="20"/>
          <w:color w:val="auto"/>
        </w:rPr>
      </w:pPr>
    </w:p>
    <w:p>
      <w:pPr>
        <w:ind w:left="4" w:firstLine="648"/>
        <w:spacing w:after="0" w:line="260"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No Violations of this Agreement.</w:t>
      </w:r>
      <w:r>
        <w:rPr>
          <w:rFonts w:ascii="Arial" w:cs="Arial" w:eastAsia="Arial" w:hAnsi="Arial"/>
          <w:sz w:val="22"/>
          <w:szCs w:val="22"/>
          <w:color w:val="auto"/>
        </w:rPr>
        <w:t xml:space="preserve"> Ms. Amberg represents that during the period in which she has considered whether to enter into this Agreement, she has taken no actions that would have violated this Agreement, had this Agreement been in full force and effect.</w:t>
      </w:r>
    </w:p>
    <w:p>
      <w:pPr>
        <w:spacing w:after="0" w:line="177" w:lineRule="exact"/>
        <w:rPr>
          <w:sz w:val="20"/>
          <w:szCs w:val="20"/>
          <w:color w:val="auto"/>
        </w:rPr>
      </w:pPr>
    </w:p>
    <w:p>
      <w:pPr>
        <w:jc w:val="both"/>
        <w:ind w:left="-656" w:right="60" w:firstLine="656"/>
        <w:spacing w:after="0" w:line="264" w:lineRule="auto"/>
        <w:tabs>
          <w:tab w:leader="none" w:pos="334"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No Admission</w:t>
      </w:r>
      <w:r>
        <w:rPr>
          <w:rFonts w:ascii="Arial" w:cs="Arial" w:eastAsia="Arial" w:hAnsi="Arial"/>
          <w:sz w:val="21"/>
          <w:szCs w:val="21"/>
          <w:color w:val="auto"/>
        </w:rPr>
        <w:t>. It is expressly understood and agreed that this Agreement does not constitute an admission or statement by either party that it has acted unlawfully or is otherwise liable in any way. It is further agreed that evidence of this Agreement, its terms, or the circumstances surrounding the parties entering into this Agreement will be inadmissible in any action or lawsuit of any kind, except an action for alleged breach of this Agreement. In the event this Agreement does not become effective, it is and will be treated as settlement negotiations that will not be offered or admitted in evidence, or used in any way, for any purpose, in any trial, proceeding, or appeal.</w:t>
      </w:r>
    </w:p>
    <w:p>
      <w:pPr>
        <w:spacing w:after="0" w:line="175" w:lineRule="exact"/>
        <w:rPr>
          <w:rFonts w:ascii="Arial" w:cs="Arial" w:eastAsia="Arial" w:hAnsi="Arial"/>
          <w:sz w:val="21"/>
          <w:szCs w:val="21"/>
          <w:color w:val="auto"/>
        </w:rPr>
      </w:pPr>
    </w:p>
    <w:p>
      <w:pPr>
        <w:ind w:left="-656" w:right="160" w:firstLine="656"/>
        <w:spacing w:after="0" w:line="292" w:lineRule="auto"/>
        <w:tabs>
          <w:tab w:leader="none" w:pos="334"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Coordination with Other Benefits</w:t>
      </w:r>
      <w:r>
        <w:rPr>
          <w:rFonts w:ascii="Arial" w:cs="Arial" w:eastAsia="Arial" w:hAnsi="Arial"/>
          <w:sz w:val="19"/>
          <w:szCs w:val="19"/>
          <w:color w:val="auto"/>
        </w:rPr>
        <w:t>. Payments made under this Agreement are not intended to duplicate such benefits as workers' compensation wage replacement benefits, disability benefits (including those under the Minnesota Power and Affiliated Companies Long Term Disability Plan), pay-in-lieu-of-notice, severance pay, or similar benefits under other benefit plans, severance programs, employment contracts, or applicable U.S. laws. Should such other benefits be payable, payments under this Agreement will be reduced accordingly or, alternatively, payments previously paid under this Agreement will be treated as having been paid to satisfy such other benefit obligations. In either case, ALLETE, in its sole discretion, will determine how to apply this provision and may override other provisions in the Agreement in doing so. In addition, Ms. Amberg agrees that she will not apply for employment nor be hired by ALLETE or its subsidiaries or affiliates for a period of one year following the Effective Date.</w:t>
      </w:r>
    </w:p>
    <w:p>
      <w:pPr>
        <w:spacing w:after="0" w:line="155" w:lineRule="exact"/>
        <w:rPr>
          <w:rFonts w:ascii="Arial" w:cs="Arial" w:eastAsia="Arial" w:hAnsi="Arial"/>
          <w:sz w:val="19"/>
          <w:szCs w:val="19"/>
          <w:color w:val="auto"/>
        </w:rPr>
      </w:pPr>
    </w:p>
    <w:p>
      <w:pPr>
        <w:ind w:left="-656" w:right="280" w:firstLine="656"/>
        <w:spacing w:after="0" w:line="253" w:lineRule="auto"/>
        <w:tabs>
          <w:tab w:leader="none" w:pos="316"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between ALLETE and Ms. Amberg concerning her separation from ALLETE, and supersedes and replaces any and all prior agreements and understandings concerning Ms. Amberg’ relationship with ALLETE.</w:t>
      </w:r>
    </w:p>
    <w:p>
      <w:pPr>
        <w:spacing w:after="0" w:line="185" w:lineRule="exact"/>
        <w:rPr>
          <w:rFonts w:ascii="Arial" w:cs="Arial" w:eastAsia="Arial" w:hAnsi="Arial"/>
          <w:sz w:val="22"/>
          <w:szCs w:val="22"/>
          <w:color w:val="auto"/>
        </w:rPr>
      </w:pPr>
    </w:p>
    <w:p>
      <w:pPr>
        <w:jc w:val="both"/>
        <w:ind w:left="-656" w:firstLine="656"/>
        <w:spacing w:after="0" w:line="253" w:lineRule="auto"/>
        <w:tabs>
          <w:tab w:leader="none" w:pos="308"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one or more of the provisions of this Agreement becomes or is declared by a court or other tribunal of competent jurisdiction to be illegal, unenforceable or void, this Agreement shall continue in full force and effect without said provision.</w:t>
      </w:r>
    </w:p>
    <w:p>
      <w:pPr>
        <w:spacing w:after="0" w:line="185" w:lineRule="exact"/>
        <w:rPr>
          <w:rFonts w:ascii="Arial" w:cs="Arial" w:eastAsia="Arial" w:hAnsi="Arial"/>
          <w:sz w:val="22"/>
          <w:szCs w:val="22"/>
          <w:color w:val="auto"/>
        </w:rPr>
      </w:pPr>
    </w:p>
    <w:p>
      <w:pPr>
        <w:ind w:left="324" w:hanging="324"/>
        <w:spacing w:after="0"/>
        <w:tabs>
          <w:tab w:leader="none" w:pos="324"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Section 409A of the Internal Revenue Code</w:t>
      </w:r>
      <w:r>
        <w:rPr>
          <w:rFonts w:ascii="Arial" w:cs="Arial" w:eastAsia="Arial" w:hAnsi="Arial"/>
          <w:sz w:val="22"/>
          <w:szCs w:val="22"/>
          <w:color w:val="auto"/>
        </w:rPr>
        <w:t>.</w:t>
      </w:r>
    </w:p>
    <w:p>
      <w:pPr>
        <w:spacing w:after="0" w:line="220" w:lineRule="exact"/>
        <w:rPr>
          <w:sz w:val="20"/>
          <w:szCs w:val="20"/>
          <w:color w:val="auto"/>
        </w:rPr>
      </w:pPr>
    </w:p>
    <w:p>
      <w:pPr>
        <w:ind w:left="4" w:firstLine="648"/>
        <w:spacing w:after="0" w:line="266" w:lineRule="auto"/>
        <w:rPr>
          <w:sz w:val="20"/>
          <w:szCs w:val="20"/>
          <w:color w:val="auto"/>
        </w:rPr>
      </w:pPr>
      <w:r>
        <w:rPr>
          <w:rFonts w:ascii="Arial" w:cs="Arial" w:eastAsia="Arial" w:hAnsi="Arial"/>
          <w:sz w:val="21"/>
          <w:szCs w:val="21"/>
          <w:color w:val="auto"/>
        </w:rPr>
        <w:t>12.1 ALLETE and Ms. Amberg agree that all amounts payable under this Agreement are intended to comply with one or more of the exceptions to Section 409A of the Internal Revenue Code (“Section 409A”), including the “short term deferral” exception from specified in Treas. Reg. § 1.409A-1(b)(4) (or any successor provision) or the “separation pay plan” exception specified in Treas. Reg. § 1.409A-1(b)(9) (or any successor provision), and shall to the maximum extent possible be interpreted and administered in a manner consistent with that intention.</w:t>
      </w:r>
    </w:p>
    <w:p>
      <w:pPr>
        <w:sectPr>
          <w:pgSz w:w="11900" w:h="16838" w:orient="portrait"/>
          <w:cols w:equalWidth="0" w:num="1">
            <w:col w:w="10744"/>
          </w:cols>
          <w:pgMar w:left="896" w:top="122" w:right="259" w:bottom="1440" w:gutter="0" w:footer="0" w:header="0"/>
        </w:sectPr>
      </w:pPr>
    </w:p>
    <w:bookmarkStart w:id="292" w:name="page293"/>
    <w:bookmarkEnd w:id="292"/>
    <w:p>
      <w:pPr>
        <w:ind w:left="7124"/>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left="4" w:right="40" w:firstLine="648"/>
        <w:spacing w:after="0" w:line="251" w:lineRule="auto"/>
        <w:rPr>
          <w:sz w:val="20"/>
          <w:szCs w:val="20"/>
          <w:color w:val="auto"/>
        </w:rPr>
      </w:pPr>
      <w:r>
        <w:rPr>
          <w:rFonts w:ascii="Arial" w:cs="Arial" w:eastAsia="Arial" w:hAnsi="Arial"/>
          <w:sz w:val="22"/>
          <w:szCs w:val="22"/>
          <w:color w:val="auto"/>
        </w:rPr>
        <w:t>12.2 Notwithstanding the foregoing, to the extent that any amounts payable in accordance with this Agreement are subject to Section 409A, this Agreement shall be interpreted and administered in such a way as to comply with Section 409A to the maximum extent possible. If necessary, with respect to amounts subject to Section 409A, if any, any provision in this Agreement will be held null and void to the extent such provision (or part thereof) fails to comply with Section 409A or regulations issued under Section 409A.</w:t>
      </w:r>
    </w:p>
    <w:p>
      <w:pPr>
        <w:spacing w:after="0" w:line="190" w:lineRule="exact"/>
        <w:rPr>
          <w:sz w:val="20"/>
          <w:szCs w:val="20"/>
          <w:color w:val="auto"/>
        </w:rPr>
      </w:pPr>
    </w:p>
    <w:p>
      <w:pPr>
        <w:ind w:left="4" w:right="140" w:firstLine="648"/>
        <w:spacing w:after="0" w:line="276" w:lineRule="auto"/>
        <w:rPr>
          <w:sz w:val="20"/>
          <w:szCs w:val="20"/>
          <w:color w:val="auto"/>
        </w:rPr>
      </w:pPr>
      <w:r>
        <w:rPr>
          <w:rFonts w:ascii="Arial" w:cs="Arial" w:eastAsia="Arial" w:hAnsi="Arial"/>
          <w:sz w:val="22"/>
          <w:szCs w:val="22"/>
          <w:color w:val="auto"/>
        </w:rPr>
        <w:t>12.3 ALLETE and Ms. Amberg agree that each payment of compensation under this Agreement will be treated as a separate payment of compensation for purposes of Section 409A rule and exceptions.</w:t>
      </w:r>
    </w:p>
    <w:p>
      <w:pPr>
        <w:spacing w:after="0" w:line="161" w:lineRule="exact"/>
        <w:rPr>
          <w:sz w:val="20"/>
          <w:szCs w:val="20"/>
          <w:color w:val="auto"/>
        </w:rPr>
      </w:pPr>
    </w:p>
    <w:p>
      <w:pPr>
        <w:ind w:left="4" w:firstLine="648"/>
        <w:spacing w:after="0" w:line="261" w:lineRule="auto"/>
        <w:rPr>
          <w:sz w:val="20"/>
          <w:szCs w:val="20"/>
          <w:color w:val="auto"/>
        </w:rPr>
      </w:pPr>
      <w:r>
        <w:rPr>
          <w:rFonts w:ascii="Arial" w:cs="Arial" w:eastAsia="Arial" w:hAnsi="Arial"/>
          <w:sz w:val="21"/>
          <w:szCs w:val="21"/>
          <w:color w:val="auto"/>
        </w:rPr>
        <w:t>12.4 The severance amounts described in this Agreement shall be paid only upon the occurrence of an involuntary “separation from service,” as defined in Section 409A. If payment of any amount subject to Section 409A is triggered by a separation from service that occurs while Ms. Amberg is a “specified employee” (as defined by Section 409A), payment(s) shall not commence until the expiration of the six-month period commencing on the Effective Date and payments to which Ms. Amberg would otherwise be entitled during this six-month period shall be accumulated and paid, together with earnings that have accrued during this six-month delay, on the first day of the seventh month following the Effective Date; or, if earlier, within 15 days after the appointment of the personal representative or executor of the Ms. Amberg’s estate following the her death.</w:t>
      </w:r>
    </w:p>
    <w:p>
      <w:pPr>
        <w:spacing w:after="0" w:line="181" w:lineRule="exact"/>
        <w:rPr>
          <w:sz w:val="20"/>
          <w:szCs w:val="20"/>
          <w:color w:val="auto"/>
        </w:rPr>
      </w:pPr>
    </w:p>
    <w:p>
      <w:pPr>
        <w:ind w:left="4" w:right="20" w:firstLine="648"/>
        <w:spacing w:after="0" w:line="254" w:lineRule="auto"/>
        <w:rPr>
          <w:sz w:val="20"/>
          <w:szCs w:val="20"/>
          <w:color w:val="auto"/>
        </w:rPr>
      </w:pPr>
      <w:r>
        <w:rPr>
          <w:rFonts w:ascii="Arial" w:cs="Arial" w:eastAsia="Arial" w:hAnsi="Arial"/>
          <w:sz w:val="22"/>
          <w:szCs w:val="22"/>
          <w:color w:val="auto"/>
        </w:rPr>
        <w:t>12.5 “Termination of employment,” “resignation” or words of similar import, as used in this Agreement shall mean, with respect to any payments subject to Section 409A, Ms. Amberg’s “separation from service” as defined by Section 409A. If any payment subject to Section 409A is contingent on the delivery of a release by Ms. Amberg and could occur in either of two years, the payment will occur in the later year.</w:t>
      </w:r>
    </w:p>
    <w:p>
      <w:pPr>
        <w:spacing w:after="0" w:line="185" w:lineRule="exact"/>
        <w:rPr>
          <w:sz w:val="20"/>
          <w:szCs w:val="20"/>
          <w:color w:val="auto"/>
        </w:rPr>
      </w:pPr>
    </w:p>
    <w:p>
      <w:pPr>
        <w:ind w:left="4" w:right="140" w:firstLine="648"/>
        <w:spacing w:after="0" w:line="260" w:lineRule="auto"/>
        <w:rPr>
          <w:sz w:val="20"/>
          <w:szCs w:val="20"/>
          <w:color w:val="auto"/>
        </w:rPr>
      </w:pPr>
      <w:r>
        <w:rPr>
          <w:rFonts w:ascii="Arial" w:cs="Arial" w:eastAsia="Arial" w:hAnsi="Arial"/>
          <w:sz w:val="22"/>
          <w:szCs w:val="22"/>
          <w:color w:val="auto"/>
        </w:rPr>
        <w:t>12.6 Any reimbursements or in-kind benefits provided under this Agreement that are subject to Section 409A will be made or provided in accordance with the requirements of Section 409A. Ms. Amberg will not be permitted, directly or indirectly, to designate the taxable year of the affected payment(s).</w:t>
      </w:r>
    </w:p>
    <w:p>
      <w:pPr>
        <w:spacing w:after="0" w:line="177" w:lineRule="exact"/>
        <w:rPr>
          <w:sz w:val="20"/>
          <w:szCs w:val="20"/>
          <w:color w:val="auto"/>
        </w:rPr>
      </w:pPr>
    </w:p>
    <w:p>
      <w:pPr>
        <w:jc w:val="both"/>
        <w:ind w:left="-656" w:right="160" w:firstLine="656"/>
        <w:spacing w:after="0" w:line="250" w:lineRule="auto"/>
        <w:tabs>
          <w:tab w:leader="none" w:pos="316"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Voluntary Execution of Agreement</w:t>
      </w:r>
      <w:r>
        <w:rPr>
          <w:rFonts w:ascii="Arial" w:cs="Arial" w:eastAsia="Arial" w:hAnsi="Arial"/>
          <w:sz w:val="22"/>
          <w:szCs w:val="22"/>
          <w:color w:val="auto"/>
        </w:rPr>
        <w:t>. This Agreement is executed voluntarily and without any duress or undue influence on the part or behalf of the parties hereto. The parties represent that they have read this Agreement, they understand the terms and consequences of this Agreement and of the releases it contains, and they are fully aware of the legal and binding effect of this Agreement.</w:t>
      </w:r>
    </w:p>
    <w:p>
      <w:pPr>
        <w:spacing w:after="0" w:line="188" w:lineRule="exact"/>
        <w:rPr>
          <w:rFonts w:ascii="Arial" w:cs="Arial" w:eastAsia="Arial" w:hAnsi="Arial"/>
          <w:sz w:val="22"/>
          <w:szCs w:val="22"/>
          <w:color w:val="auto"/>
        </w:rPr>
      </w:pPr>
    </w:p>
    <w:p>
      <w:pPr>
        <w:ind w:left="-656" w:right="600" w:firstLine="656"/>
        <w:spacing w:after="0" w:line="263" w:lineRule="auto"/>
        <w:tabs>
          <w:tab w:leader="none" w:pos="316"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is binding upon and inures to the benefit of the parties hereto and their respective personal representatives, estates, heirs, successors or assigns.</w:t>
      </w:r>
    </w:p>
    <w:p>
      <w:pPr>
        <w:spacing w:after="0" w:line="174" w:lineRule="exact"/>
        <w:rPr>
          <w:rFonts w:ascii="Arial" w:cs="Arial" w:eastAsia="Arial" w:hAnsi="Arial"/>
          <w:sz w:val="22"/>
          <w:szCs w:val="22"/>
          <w:color w:val="auto"/>
        </w:rPr>
      </w:pPr>
    </w:p>
    <w:p>
      <w:pPr>
        <w:ind w:left="-656" w:right="80" w:firstLine="656"/>
        <w:spacing w:after="0" w:line="248" w:lineRule="auto"/>
        <w:tabs>
          <w:tab w:leader="none" w:pos="316"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construed and interpreted in accordance with federal law, to the extent applicable, and otherwise in accordance with the internal laws of the State of Minnesota, without regard to its choice of law rules. To the extent that either Party seeks to interpret or enforce this Agreement, the Parties agree to submit to the exclusive jurisdiction of the State and Federal Courts sitting in St. Louis County, Minnesota, and waive any objections to the Court based on jurisdiction, venue or inconvenient forum.</w:t>
      </w:r>
    </w:p>
    <w:p>
      <w:pPr>
        <w:sectPr>
          <w:pgSz w:w="11900" w:h="16838" w:orient="portrait"/>
          <w:cols w:equalWidth="0" w:num="1">
            <w:col w:w="10764"/>
          </w:cols>
          <w:pgMar w:left="896" w:top="121" w:right="239" w:bottom="1440" w:gutter="0" w:footer="0" w:header="0"/>
        </w:sectPr>
      </w:pPr>
    </w:p>
    <w:bookmarkStart w:id="293" w:name="page294"/>
    <w:bookmarkEnd w:id="293"/>
    <w:p>
      <w:pPr>
        <w:ind w:left="7780"/>
        <w:spacing w:after="0"/>
        <w:rPr>
          <w:sz w:val="20"/>
          <w:szCs w:val="20"/>
          <w:color w:val="auto"/>
        </w:rPr>
      </w:pPr>
      <w:r>
        <w:rPr>
          <w:rFonts w:ascii="Arial" w:cs="Arial" w:eastAsia="Arial" w:hAnsi="Arial"/>
          <w:sz w:val="18"/>
          <w:szCs w:val="18"/>
          <w:b w:val="1"/>
          <w:bCs w:val="1"/>
          <w:color w:val="auto"/>
        </w:rPr>
        <w:t>Exhibit 10(p)</w:t>
      </w:r>
    </w:p>
    <w:p>
      <w:pPr>
        <w:spacing w:after="0" w:line="263" w:lineRule="exact"/>
        <w:rPr>
          <w:sz w:val="20"/>
          <w:szCs w:val="20"/>
          <w:color w:val="auto"/>
        </w:rPr>
      </w:pPr>
    </w:p>
    <w:p>
      <w:pPr>
        <w:ind w:right="260" w:firstLine="656"/>
        <w:spacing w:after="0" w:line="263" w:lineRule="auto"/>
        <w:tabs>
          <w:tab w:leader="none" w:pos="972"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simultaneously in two or more counterparts, each of which will be deemed an original, but all of which together will constitute one and the same instrument.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respective parties hereto have executed this Agreement on the date indicated below 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Amberg’s signature.</w:t>
      </w:r>
    </w:p>
    <w:p>
      <w:pPr>
        <w:sectPr>
          <w:pgSz w:w="11900" w:h="16838" w:orient="portrait"/>
          <w:cols w:equalWidth="0" w:num="1">
            <w:col w:w="11160"/>
          </w:cols>
          <w:pgMar w:left="240" w:top="12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Deborah A. Amberg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ALLETE, Inc.</w:t>
      </w:r>
    </w:p>
    <w:p>
      <w:pPr>
        <w:spacing w:after="0" w:line="200" w:lineRule="exact"/>
        <w:rPr>
          <w:sz w:val="20"/>
          <w:szCs w:val="20"/>
          <w:color w:val="auto"/>
        </w:rPr>
      </w:pPr>
    </w:p>
    <w:p>
      <w:pPr>
        <w:sectPr>
          <w:pgSz w:w="11900" w:h="16838" w:orient="portrait"/>
          <w:cols w:equalWidth="0" w:num="2">
            <w:col w:w="2060" w:space="720"/>
            <w:col w:w="8380"/>
          </w:cols>
          <w:pgMar w:left="240" w:top="122" w:right="4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1260"/>
        <w:spacing w:after="0" w:line="358" w:lineRule="auto"/>
        <w:rPr>
          <w:sz w:val="20"/>
          <w:szCs w:val="20"/>
          <w:color w:val="auto"/>
        </w:rPr>
      </w:pPr>
      <w:r>
        <w:rPr>
          <w:rFonts w:ascii="Arial" w:cs="Arial" w:eastAsia="Arial" w:hAnsi="Arial"/>
          <w:sz w:val="19"/>
          <w:szCs w:val="19"/>
          <w:color w:val="auto"/>
        </w:rPr>
        <w:t>By: ________________________________ Chairman, President and CEO</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Alan R. Hodnik</w:t>
      </w:r>
    </w:p>
    <w:p>
      <w:pPr>
        <w:spacing w:after="0" w:line="524" w:lineRule="exact"/>
        <w:rPr>
          <w:sz w:val="20"/>
          <w:szCs w:val="20"/>
          <w:color w:val="auto"/>
        </w:rPr>
      </w:pPr>
    </w:p>
    <w:p>
      <w:pPr>
        <w:sectPr>
          <w:pgSz w:w="11900" w:h="16838" w:orient="portrait"/>
          <w:cols w:equalWidth="0" w:num="3">
            <w:col w:w="3580" w:space="400"/>
            <w:col w:w="5100" w:space="720"/>
            <w:col w:w="1360"/>
          </w:cols>
          <w:pgMar w:left="240" w:top="122" w:right="499" w:bottom="1440" w:gutter="0" w:footer="0" w:header="0"/>
          <w:type w:val="continuous"/>
        </w:sectPr>
      </w:pPr>
    </w:p>
    <w:p>
      <w:pPr>
        <w:spacing w:after="0"/>
        <w:tabs>
          <w:tab w:leader="none" w:pos="7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___________________________</w:t>
      </w:r>
    </w:p>
    <w:p>
      <w:pPr>
        <w:sectPr>
          <w:pgSz w:w="11900" w:h="16838" w:orient="portrait"/>
          <w:cols w:equalWidth="0" w:num="1">
            <w:col w:w="11160"/>
          </w:cols>
          <w:pgMar w:left="240" w:top="122" w:right="499" w:bottom="1440" w:gutter="0" w:footer="0" w:header="0"/>
          <w:type w:val="continuous"/>
        </w:sectPr>
      </w:pPr>
    </w:p>
    <w:bookmarkStart w:id="294" w:name="page295"/>
    <w:bookmarkEnd w:id="294"/>
    <w:p>
      <w:pPr>
        <w:ind w:left="7780"/>
        <w:spacing w:after="0"/>
        <w:rPr>
          <w:sz w:val="20"/>
          <w:szCs w:val="20"/>
          <w:color w:val="auto"/>
        </w:rPr>
      </w:pPr>
      <w:r>
        <w:rPr>
          <w:rFonts w:ascii="Arial" w:cs="Arial" w:eastAsia="Arial" w:hAnsi="Arial"/>
          <w:sz w:val="18"/>
          <w:szCs w:val="18"/>
          <w:b w:val="1"/>
          <w:bCs w:val="1"/>
          <w:color w:val="auto"/>
        </w:rPr>
        <w:t>Exhibit 10(p)</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SEPARATIOn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INFORMATION REGARDING TERMINATED EMPLOYEES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information is provided as required under the Age Discrimination in Employment Act, 29 U.S.C. Section 621 et seq.</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and the older Workers Benefit Protection Act, 29 U.S.C. Section 630 et seq., as set forth in 29 C.F.R. Section 1625.22.</w:t>
      </w:r>
    </w:p>
    <w:p>
      <w:pPr>
        <w:spacing w:after="0" w:line="213"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The “decisional unit” considered for the program and the group from which you were selected for termination consists of all Senior Vice Presidents of ALLETE and Minnesota Power whose exclusive or primary focus is on regulated operations, excluding the following positon: Senior Vice President ALLETE &amp; President Regulated Operations. The persons whose employment is being terminated have been selected for the program based on their positions’ exclusive focus on regulated operations.</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Below is a list, as of November 26, 2018, of the ages and job titles of the persons in the affected decisional unit who were, and were not, selected for termination and offered severance in exchange for signing the waiver and release contained in this Executive Separation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0" w:type="dxa"/>
            <w:vAlign w:val="bottom"/>
            <w:gridSpan w:val="6"/>
          </w:tcPr>
          <w:p>
            <w:pPr>
              <w:spacing w:after="0"/>
              <w:rPr>
                <w:sz w:val="20"/>
                <w:szCs w:val="20"/>
                <w:color w:val="auto"/>
              </w:rPr>
            </w:pPr>
            <w:r>
              <w:rPr>
                <w:rFonts w:ascii="Arial" w:cs="Arial" w:eastAsia="Arial" w:hAnsi="Arial"/>
                <w:sz w:val="22"/>
                <w:szCs w:val="22"/>
                <w:b w:val="1"/>
                <w:bCs w:val="1"/>
                <w:color w:val="auto"/>
              </w:rPr>
              <w:t>Eligible for Severance Pay</w:t>
            </w:r>
          </w:p>
        </w:tc>
        <w:tc>
          <w:tcPr>
            <w:tcW w:w="3560" w:type="dxa"/>
            <w:vAlign w:val="bottom"/>
            <w:gridSpan w:val="4"/>
          </w:tcPr>
          <w:p>
            <w:pPr>
              <w:ind w:left="360"/>
              <w:spacing w:after="0"/>
              <w:rPr>
                <w:sz w:val="20"/>
                <w:szCs w:val="20"/>
                <w:color w:val="auto"/>
              </w:rPr>
            </w:pPr>
            <w:r>
              <w:rPr>
                <w:rFonts w:ascii="Arial" w:cs="Arial" w:eastAsia="Arial" w:hAnsi="Arial"/>
                <w:sz w:val="22"/>
                <w:szCs w:val="22"/>
                <w:b w:val="1"/>
                <w:bCs w:val="1"/>
                <w:color w:val="auto"/>
              </w:rPr>
              <w:t>Not Eligible for Severance Pay</w:t>
            </w:r>
          </w:p>
        </w:tc>
      </w:tr>
      <w:tr>
        <w:trPr>
          <w:trHeight w:val="281"/>
        </w:trPr>
        <w:tc>
          <w:tcPr>
            <w:tcW w:w="2800" w:type="dxa"/>
            <w:vAlign w:val="bottom"/>
            <w:gridSpan w:val="6"/>
          </w:tcPr>
          <w:p>
            <w:pPr>
              <w:spacing w:after="0"/>
              <w:rPr>
                <w:sz w:val="20"/>
                <w:szCs w:val="20"/>
                <w:color w:val="auto"/>
              </w:rPr>
            </w:pPr>
            <w:r>
              <w:rPr>
                <w:rFonts w:ascii="Arial" w:cs="Arial" w:eastAsia="Arial" w:hAnsi="Arial"/>
                <w:sz w:val="22"/>
                <w:szCs w:val="22"/>
                <w:b w:val="1"/>
                <w:bCs w:val="1"/>
                <w:color w:val="auto"/>
              </w:rPr>
              <w:t>(Selected for Termination)</w:t>
            </w:r>
          </w:p>
        </w:tc>
        <w:tc>
          <w:tcPr>
            <w:tcW w:w="3560" w:type="dxa"/>
            <w:vAlign w:val="bottom"/>
            <w:gridSpan w:val="4"/>
          </w:tcPr>
          <w:p>
            <w:pPr>
              <w:ind w:left="360"/>
              <w:spacing w:after="0"/>
              <w:rPr>
                <w:sz w:val="20"/>
                <w:szCs w:val="20"/>
                <w:color w:val="auto"/>
              </w:rPr>
            </w:pPr>
            <w:r>
              <w:rPr>
                <w:rFonts w:ascii="Arial" w:cs="Arial" w:eastAsia="Arial" w:hAnsi="Arial"/>
                <w:sz w:val="22"/>
                <w:szCs w:val="22"/>
                <w:b w:val="1"/>
                <w:bCs w:val="1"/>
                <w:color w:val="auto"/>
              </w:rPr>
              <w:t>(Not Selected for Termination)</w:t>
            </w:r>
          </w:p>
        </w:tc>
      </w:tr>
      <w:tr>
        <w:trPr>
          <w:trHeight w:val="436"/>
        </w:trPr>
        <w:tc>
          <w:tcPr>
            <w:tcW w:w="2260" w:type="dxa"/>
            <w:vAlign w:val="bottom"/>
            <w:gridSpan w:val="4"/>
          </w:tcPr>
          <w:p>
            <w:pPr>
              <w:spacing w:after="0"/>
              <w:rPr>
                <w:sz w:val="20"/>
                <w:szCs w:val="20"/>
                <w:color w:val="auto"/>
              </w:rPr>
            </w:pPr>
            <w:r>
              <w:rPr>
                <w:rFonts w:ascii="Arial" w:cs="Arial" w:eastAsia="Arial" w:hAnsi="Arial"/>
                <w:sz w:val="22"/>
                <w:szCs w:val="22"/>
                <w:b w:val="1"/>
                <w:bCs w:val="1"/>
                <w:color w:val="auto"/>
              </w:rPr>
              <w:t>Age  Job Title</w:t>
            </w:r>
          </w:p>
        </w:tc>
        <w:tc>
          <w:tcPr>
            <w:tcW w:w="540" w:type="dxa"/>
            <w:vAlign w:val="bottom"/>
            <w:gridSpan w:val="2"/>
          </w:tcPr>
          <w:p>
            <w:pPr>
              <w:spacing w:after="0"/>
              <w:rPr>
                <w:sz w:val="20"/>
                <w:szCs w:val="20"/>
                <w:color w:val="auto"/>
              </w:rPr>
            </w:pPr>
            <w:r>
              <w:rPr>
                <w:rFonts w:ascii="Arial" w:cs="Arial" w:eastAsia="Arial" w:hAnsi="Arial"/>
                <w:sz w:val="22"/>
                <w:szCs w:val="22"/>
                <w:b w:val="1"/>
                <w:bCs w:val="1"/>
                <w:color w:val="auto"/>
              </w:rPr>
              <w:t>Age</w:t>
            </w:r>
          </w:p>
        </w:tc>
        <w:tc>
          <w:tcPr>
            <w:tcW w:w="1060" w:type="dxa"/>
            <w:vAlign w:val="bottom"/>
            <w:gridSpan w:val="3"/>
          </w:tcPr>
          <w:p>
            <w:pPr>
              <w:spacing w:after="0"/>
              <w:rPr>
                <w:sz w:val="20"/>
                <w:szCs w:val="20"/>
                <w:color w:val="auto"/>
              </w:rPr>
            </w:pPr>
            <w:r>
              <w:rPr>
                <w:rFonts w:ascii="Arial" w:cs="Arial" w:eastAsia="Arial" w:hAnsi="Arial"/>
                <w:sz w:val="22"/>
                <w:szCs w:val="22"/>
                <w:b w:val="1"/>
                <w:bCs w:val="1"/>
                <w:color w:val="auto"/>
              </w:rPr>
              <w:t>Job Title</w:t>
            </w:r>
          </w:p>
        </w:tc>
        <w:tc>
          <w:tcPr>
            <w:tcW w:w="2500" w:type="dxa"/>
            <w:vAlign w:val="bottom"/>
          </w:tcPr>
          <w:p>
            <w:pPr>
              <w:spacing w:after="0"/>
              <w:rPr>
                <w:sz w:val="24"/>
                <w:szCs w:val="2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96"/>
        </w:trPr>
        <w:tc>
          <w:tcPr>
            <w:tcW w:w="3540" w:type="dxa"/>
            <w:vAlign w:val="bottom"/>
            <w:gridSpan w:val="7"/>
          </w:tcPr>
          <w:p>
            <w:pPr>
              <w:spacing w:after="0"/>
              <w:rPr>
                <w:sz w:val="20"/>
                <w:szCs w:val="20"/>
                <w:color w:val="auto"/>
              </w:rPr>
            </w:pPr>
            <w:r>
              <w:rPr>
                <w:rFonts w:ascii="Arial" w:cs="Arial" w:eastAsia="Arial" w:hAnsi="Arial"/>
                <w:sz w:val="22"/>
                <w:szCs w:val="22"/>
                <w:color w:val="auto"/>
              </w:rPr>
              <w:t>53  Senior Vice President ALLETE,</w:t>
            </w:r>
          </w:p>
        </w:tc>
        <w:tc>
          <w:tcPr>
            <w:tcW w:w="320" w:type="dxa"/>
            <w:vAlign w:val="bottom"/>
            <w:gridSpan w:val="2"/>
          </w:tcPr>
          <w:p>
            <w:pPr>
              <w:jc w:val="right"/>
              <w:ind w:right="80"/>
              <w:spacing w:after="0"/>
              <w:rPr>
                <w:sz w:val="20"/>
                <w:szCs w:val="20"/>
                <w:color w:val="auto"/>
              </w:rPr>
            </w:pPr>
            <w:r>
              <w:rPr>
                <w:rFonts w:ascii="Arial" w:cs="Arial" w:eastAsia="Arial" w:hAnsi="Arial"/>
                <w:sz w:val="22"/>
                <w:szCs w:val="22"/>
                <w:color w:val="auto"/>
                <w:w w:val="89"/>
              </w:rPr>
              <w:t>58</w:t>
            </w:r>
          </w:p>
        </w:tc>
        <w:tc>
          <w:tcPr>
            <w:tcW w:w="2500" w:type="dxa"/>
            <w:vAlign w:val="bottom"/>
          </w:tcPr>
          <w:p>
            <w:pPr>
              <w:ind w:left="100"/>
              <w:spacing w:after="0"/>
              <w:rPr>
                <w:sz w:val="20"/>
                <w:szCs w:val="20"/>
                <w:color w:val="auto"/>
              </w:rPr>
            </w:pPr>
            <w:r>
              <w:rPr>
                <w:rFonts w:ascii="Arial" w:cs="Arial" w:eastAsia="Arial" w:hAnsi="Arial"/>
                <w:sz w:val="22"/>
                <w:szCs w:val="22"/>
                <w:color w:val="auto"/>
              </w:rPr>
              <w:t>Senior Vice President</w:t>
            </w:r>
          </w:p>
        </w:tc>
      </w:tr>
      <w:tr>
        <w:trPr>
          <w:trHeight w:val="270"/>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gridSpan w:val="5"/>
          </w:tcPr>
          <w:p>
            <w:pPr>
              <w:ind w:left="120"/>
              <w:spacing w:after="0"/>
              <w:rPr>
                <w:sz w:val="20"/>
                <w:szCs w:val="20"/>
                <w:color w:val="auto"/>
              </w:rPr>
            </w:pPr>
            <w:r>
              <w:rPr>
                <w:rFonts w:ascii="Arial" w:cs="Arial" w:eastAsia="Arial" w:hAnsi="Arial"/>
                <w:sz w:val="22"/>
                <w:szCs w:val="22"/>
                <w:color w:val="auto"/>
                <w:w w:val="89"/>
              </w:rPr>
              <w:t>Chief Strategy Officer-Regulated</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ind w:left="200"/>
              <w:spacing w:after="0"/>
              <w:rPr>
                <w:sz w:val="20"/>
                <w:szCs w:val="20"/>
                <w:color w:val="auto"/>
              </w:rPr>
            </w:pPr>
            <w:r>
              <w:rPr>
                <w:rFonts w:ascii="Arial" w:cs="Arial" w:eastAsia="Arial" w:hAnsi="Arial"/>
                <w:sz w:val="22"/>
                <w:szCs w:val="22"/>
                <w:color w:val="auto"/>
                <w:w w:val="95"/>
              </w:rPr>
              <w:t>ALLETE-External Affairs</w:t>
            </w:r>
          </w:p>
        </w:tc>
      </w:tr>
      <w:tr>
        <w:trPr>
          <w:trHeight w:val="257"/>
        </w:trPr>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0" w:type="dxa"/>
            <w:vAlign w:val="bottom"/>
            <w:gridSpan w:val="5"/>
          </w:tcPr>
          <w:p>
            <w:pPr>
              <w:ind w:left="120"/>
              <w:spacing w:after="0"/>
              <w:rPr>
                <w:sz w:val="20"/>
                <w:szCs w:val="20"/>
                <w:color w:val="auto"/>
              </w:rPr>
            </w:pPr>
            <w:r>
              <w:rPr>
                <w:rFonts w:ascii="Arial" w:cs="Arial" w:eastAsia="Arial" w:hAnsi="Arial"/>
                <w:sz w:val="22"/>
                <w:szCs w:val="22"/>
                <w:color w:val="auto"/>
              </w:rPr>
              <w:t>Operations, and President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75"/>
        </w:trPr>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gridSpan w:val="5"/>
          </w:tcPr>
          <w:p>
            <w:pPr>
              <w:ind w:left="120"/>
              <w:spacing w:after="0"/>
              <w:rPr>
                <w:sz w:val="20"/>
                <w:szCs w:val="20"/>
                <w:color w:val="auto"/>
              </w:rPr>
            </w:pPr>
            <w:r>
              <w:rPr>
                <w:rFonts w:ascii="Arial" w:cs="Arial" w:eastAsia="Arial" w:hAnsi="Arial"/>
                <w:sz w:val="22"/>
                <w:szCs w:val="22"/>
                <w:color w:val="auto"/>
                <w:w w:val="96"/>
              </w:rPr>
              <w:t>Superior Water, Light &amp; Power</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tcPr>
          <w:p>
            <w:pPr>
              <w:spacing w:after="0"/>
              <w:rPr>
                <w:sz w:val="23"/>
                <w:szCs w:val="23"/>
                <w:color w:val="auto"/>
              </w:rPr>
            </w:pPr>
          </w:p>
        </w:tc>
      </w:tr>
    </w:tbl>
    <w:p>
      <w:pPr>
        <w:ind w:left="660" w:right="8160" w:hanging="652"/>
        <w:spacing w:after="0" w:line="353" w:lineRule="auto"/>
        <w:tabs>
          <w:tab w:leader="none" w:pos="40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Senior Vice President-Minnesota Power Operations</w:t>
      </w:r>
    </w:p>
    <w:p>
      <w:pPr>
        <w:sectPr>
          <w:pgSz w:w="11900" w:h="16838" w:orient="portrait"/>
          <w:cols w:equalWidth="0" w:num="1">
            <w:col w:w="11420"/>
          </w:cols>
          <w:pgMar w:left="240" w:top="121" w:right="2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3020" w:type="dxa"/>
            <w:vAlign w:val="bottom"/>
          </w:tcPr>
          <w:p>
            <w:pPr>
              <w:ind w:left="2220"/>
              <w:spacing w:after="0"/>
              <w:rPr>
                <w:sz w:val="20"/>
                <w:szCs w:val="20"/>
                <w:color w:val="auto"/>
              </w:rPr>
            </w:pPr>
            <w:r>
              <w:rPr>
                <w:rFonts w:ascii="Arial" w:cs="Arial" w:eastAsia="Arial" w:hAnsi="Arial"/>
                <w:sz w:val="18"/>
                <w:szCs w:val="18"/>
                <w:b w:val="1"/>
                <w:bCs w:val="1"/>
                <w:color w:val="auto"/>
                <w:w w:val="91"/>
              </w:rPr>
              <w:t>Exhibit 21</w:t>
            </w:r>
          </w:p>
        </w:tc>
      </w:tr>
      <w:tr>
        <w:trPr>
          <w:trHeight w:val="441"/>
        </w:trPr>
        <w:tc>
          <w:tcPr>
            <w:tcW w:w="840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3020" w:type="dxa"/>
            <w:vAlign w:val="bottom"/>
          </w:tcPr>
          <w:p>
            <w:pPr>
              <w:spacing w:after="0"/>
              <w:rPr>
                <w:sz w:val="24"/>
                <w:szCs w:val="24"/>
                <w:color w:val="auto"/>
              </w:rPr>
            </w:pPr>
          </w:p>
        </w:tc>
      </w:tr>
      <w:tr>
        <w:trPr>
          <w:trHeight w:val="234"/>
        </w:trPr>
        <w:tc>
          <w:tcPr>
            <w:tcW w:w="8400" w:type="dxa"/>
            <w:vAlign w:val="bottom"/>
          </w:tcPr>
          <w:p>
            <w:pPr>
              <w:ind w:left="4760"/>
              <w:spacing w:after="0"/>
              <w:rPr>
                <w:sz w:val="20"/>
                <w:szCs w:val="20"/>
                <w:color w:val="auto"/>
              </w:rPr>
            </w:pPr>
            <w:r>
              <w:rPr>
                <w:rFonts w:ascii="Arial" w:cs="Arial" w:eastAsia="Arial" w:hAnsi="Arial"/>
                <w:sz w:val="18"/>
                <w:szCs w:val="18"/>
                <w:b w:val="1"/>
                <w:bCs w:val="1"/>
                <w:color w:val="auto"/>
              </w:rPr>
              <w:t>As of December 31, 2018</w:t>
            </w:r>
          </w:p>
        </w:tc>
        <w:tc>
          <w:tcPr>
            <w:tcW w:w="3020" w:type="dxa"/>
            <w:vAlign w:val="bottom"/>
          </w:tcPr>
          <w:p>
            <w:pPr>
              <w:spacing w:after="0"/>
              <w:rPr>
                <w:sz w:val="20"/>
                <w:szCs w:val="20"/>
                <w:color w:val="auto"/>
              </w:rPr>
            </w:pPr>
          </w:p>
        </w:tc>
      </w:tr>
      <w:tr>
        <w:trPr>
          <w:trHeight w:val="203"/>
        </w:trPr>
        <w:tc>
          <w:tcPr>
            <w:tcW w:w="84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302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8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w:t>
            </w:r>
          </w:p>
        </w:tc>
        <w:tc>
          <w:tcPr>
            <w:tcW w:w="30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280"/>
              <w:spacing w:after="0"/>
              <w:rPr>
                <w:sz w:val="20"/>
                <w:szCs w:val="20"/>
                <w:color w:val="auto"/>
              </w:rPr>
            </w:pPr>
            <w:r>
              <w:rPr>
                <w:rFonts w:ascii="Arial" w:cs="Arial" w:eastAsia="Arial" w:hAnsi="Arial"/>
                <w:sz w:val="18"/>
                <w:szCs w:val="18"/>
                <w:color w:val="auto"/>
              </w:rPr>
              <w:t>ALLETE Enterprises, Inc.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Clean Energy, Inc.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ACE Wind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Mid-West Holdings,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MWW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Lake Benton Power Associates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580"/>
              <w:spacing w:after="0"/>
              <w:rPr>
                <w:sz w:val="20"/>
                <w:szCs w:val="20"/>
                <w:color w:val="auto"/>
              </w:rPr>
            </w:pPr>
            <w:r>
              <w:rPr>
                <w:rFonts w:ascii="Arial" w:cs="Arial" w:eastAsia="Arial" w:hAnsi="Arial"/>
                <w:sz w:val="18"/>
                <w:szCs w:val="18"/>
                <w:color w:val="auto"/>
              </w:rPr>
              <w:t>Lake Benton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Lake Benton Power Partners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360"/>
              <w:spacing w:after="0"/>
              <w:rPr>
                <w:sz w:val="20"/>
                <w:szCs w:val="20"/>
                <w:color w:val="auto"/>
              </w:rPr>
            </w:pPr>
            <w:r>
              <w:rPr>
                <w:rFonts w:ascii="Arial" w:cs="Arial" w:eastAsia="Arial" w:hAnsi="Arial"/>
                <w:sz w:val="18"/>
                <w:szCs w:val="18"/>
                <w:color w:val="auto"/>
              </w:rPr>
              <w:t>Storm Lake Power Partners I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Storm Lake II Power Associates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580"/>
              <w:spacing w:after="0"/>
              <w:rPr>
                <w:sz w:val="20"/>
                <w:szCs w:val="20"/>
                <w:color w:val="auto"/>
              </w:rPr>
            </w:pPr>
            <w:r>
              <w:rPr>
                <w:rFonts w:ascii="Arial" w:cs="Arial" w:eastAsia="Arial" w:hAnsi="Arial"/>
                <w:sz w:val="18"/>
                <w:szCs w:val="18"/>
                <w:color w:val="auto"/>
              </w:rPr>
              <w:t>Storm Lake II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Storm Lake Power Partners II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360"/>
              <w:spacing w:after="0"/>
              <w:rPr>
                <w:sz w:val="20"/>
                <w:szCs w:val="20"/>
                <w:color w:val="auto"/>
              </w:rPr>
            </w:pPr>
            <w:r>
              <w:rPr>
                <w:rFonts w:ascii="Arial" w:cs="Arial" w:eastAsia="Arial" w:hAnsi="Arial"/>
                <w:sz w:val="18"/>
                <w:szCs w:val="18"/>
                <w:color w:val="auto"/>
              </w:rPr>
              <w:t>New Salem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Glen Ullin Energy Center,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Northern Wind Energy,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Chanarambie Power Partners,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360"/>
              <w:spacing w:after="0"/>
              <w:rPr>
                <w:sz w:val="20"/>
                <w:szCs w:val="20"/>
                <w:color w:val="auto"/>
              </w:rPr>
            </w:pPr>
            <w:r>
              <w:rPr>
                <w:rFonts w:ascii="Arial" w:cs="Arial" w:eastAsia="Arial" w:hAnsi="Arial"/>
                <w:sz w:val="18"/>
                <w:szCs w:val="18"/>
                <w:color w:val="auto"/>
              </w:rPr>
              <w:t>Viking Wind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Condon Wind Power,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South Peak Wind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920"/>
              <w:spacing w:after="0"/>
              <w:rPr>
                <w:sz w:val="20"/>
                <w:szCs w:val="20"/>
                <w:color w:val="auto"/>
              </w:rPr>
            </w:pPr>
            <w:r>
              <w:rPr>
                <w:rFonts w:ascii="Arial" w:cs="Arial" w:eastAsia="Arial" w:hAnsi="Arial"/>
                <w:sz w:val="18"/>
                <w:szCs w:val="18"/>
                <w:color w:val="auto"/>
              </w:rPr>
              <w:t>Armenia Holdings,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AMW I Holding,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1360"/>
              <w:spacing w:after="0"/>
              <w:rPr>
                <w:sz w:val="20"/>
                <w:szCs w:val="20"/>
                <w:color w:val="auto"/>
              </w:rPr>
            </w:pPr>
            <w:r>
              <w:rPr>
                <w:rFonts w:ascii="Arial" w:cs="Arial" w:eastAsia="Arial" w:hAnsi="Arial"/>
                <w:sz w:val="18"/>
                <w:szCs w:val="18"/>
                <w:color w:val="auto"/>
              </w:rPr>
              <w:t>Armenia Mountain Wind,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Armenia Mountain Wind II,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920"/>
              <w:spacing w:after="0"/>
              <w:rPr>
                <w:sz w:val="20"/>
                <w:szCs w:val="20"/>
                <w:color w:val="auto"/>
              </w:rPr>
            </w:pPr>
            <w:r>
              <w:rPr>
                <w:rFonts w:ascii="Arial" w:cs="Arial" w:eastAsia="Arial" w:hAnsi="Arial"/>
                <w:sz w:val="18"/>
                <w:szCs w:val="18"/>
                <w:color w:val="auto"/>
              </w:rPr>
              <w:t>Thunder Spirit Wind,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ACE O&amp;M,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ALLETE Power Systems, Inc.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302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92"/>
              </w:rPr>
              <w:t>North Dakota</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ALLETE South Wind,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Transmission Holdings, Inc.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2"/>
              </w:rPr>
              <w:t>Wisconsin</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BNI Energy, Inc.</w:t>
            </w:r>
          </w:p>
        </w:tc>
        <w:tc>
          <w:tcPr>
            <w:tcW w:w="3020" w:type="dxa"/>
            <w:vAlign w:val="bottom"/>
          </w:tcPr>
          <w:p>
            <w:pPr>
              <w:jc w:val="center"/>
              <w:ind w:left="550"/>
              <w:spacing w:after="0"/>
              <w:rPr>
                <w:sz w:val="20"/>
                <w:szCs w:val="20"/>
                <w:color w:val="auto"/>
              </w:rPr>
            </w:pPr>
            <w:r>
              <w:rPr>
                <w:rFonts w:ascii="Arial" w:cs="Arial" w:eastAsia="Arial" w:hAnsi="Arial"/>
                <w:sz w:val="18"/>
                <w:szCs w:val="18"/>
                <w:color w:val="auto"/>
                <w:w w:val="92"/>
              </w:rPr>
              <w:t>North Dakota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BNI Coal, Ltd.</w:t>
            </w:r>
          </w:p>
        </w:tc>
        <w:tc>
          <w:tcPr>
            <w:tcW w:w="302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92"/>
              </w:rPr>
              <w:t>North Dakota</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Global Water Services Holding Company, Inc.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Water Services, Inc.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920"/>
              <w:spacing w:after="0"/>
              <w:rPr>
                <w:sz w:val="20"/>
                <w:szCs w:val="20"/>
                <w:color w:val="auto"/>
              </w:rPr>
            </w:pPr>
            <w:r>
              <w:rPr>
                <w:rFonts w:ascii="Arial" w:cs="Arial" w:eastAsia="Arial" w:hAnsi="Arial"/>
                <w:sz w:val="18"/>
                <w:szCs w:val="18"/>
                <w:color w:val="auto"/>
              </w:rPr>
              <w:t>U.S. Water Services – Canada, Inc.</w:t>
            </w:r>
          </w:p>
        </w:tc>
        <w:tc>
          <w:tcPr>
            <w:tcW w:w="3020" w:type="dxa"/>
            <w:vAlign w:val="bottom"/>
          </w:tcPr>
          <w:p>
            <w:pPr>
              <w:jc w:val="center"/>
              <w:ind w:left="550"/>
              <w:spacing w:after="0"/>
              <w:rPr>
                <w:sz w:val="20"/>
                <w:szCs w:val="20"/>
                <w:color w:val="auto"/>
              </w:rPr>
            </w:pPr>
            <w:r>
              <w:rPr>
                <w:rFonts w:ascii="Arial" w:cs="Arial" w:eastAsia="Arial" w:hAnsi="Arial"/>
                <w:sz w:val="18"/>
                <w:szCs w:val="18"/>
                <w:color w:val="auto"/>
                <w:w w:val="85"/>
              </w:rPr>
              <w:t>Canada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USWATERSERV-DR, S.R.L.</w:t>
            </w:r>
          </w:p>
        </w:tc>
        <w:tc>
          <w:tcPr>
            <w:tcW w:w="302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93"/>
              </w:rPr>
              <w:t>Dominican Republic</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MP Affiliate Resources, Inc.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Rainy River Energy Corporation</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South Shore Energy,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2"/>
              </w:rPr>
              <w:t>Wisconsin</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Upper Minnesota Properties, Inc.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Upper Minnesota Properties - Development, Inc.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Minnesota</w:t>
            </w:r>
          </w:p>
        </w:tc>
      </w:tr>
      <w:tr>
        <w:trPr>
          <w:trHeight w:val="243"/>
        </w:trPr>
        <w:tc>
          <w:tcPr>
            <w:tcW w:w="8400" w:type="dxa"/>
            <w:vAlign w:val="bottom"/>
          </w:tcPr>
          <w:p>
            <w:pPr>
              <w:ind w:left="500"/>
              <w:spacing w:after="0"/>
              <w:rPr>
                <w:sz w:val="20"/>
                <w:szCs w:val="20"/>
                <w:color w:val="auto"/>
              </w:rPr>
            </w:pPr>
            <w:r>
              <w:rPr>
                <w:rFonts w:ascii="Arial" w:cs="Arial" w:eastAsia="Arial" w:hAnsi="Arial"/>
                <w:sz w:val="18"/>
                <w:szCs w:val="18"/>
                <w:color w:val="auto"/>
              </w:rPr>
              <w:t>ALLETE Commercial,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4"/>
              </w:rPr>
              <w:t>Florida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Lehigh Acquisition, LLC</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Florida Landmark Communities,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4"/>
              </w:rPr>
              <w:t>Florida</w:t>
            </w:r>
          </w:p>
        </w:tc>
      </w:tr>
      <w:tr>
        <w:trPr>
          <w:trHeight w:val="27"/>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Lehigh Corporation</w:t>
            </w:r>
          </w:p>
        </w:tc>
        <w:tc>
          <w:tcPr>
            <w:tcW w:w="3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4"/>
              </w:rPr>
              <w:t>Florida</w:t>
            </w:r>
          </w:p>
        </w:tc>
      </w:tr>
      <w:tr>
        <w:trPr>
          <w:trHeight w:val="243"/>
        </w:trPr>
        <w:tc>
          <w:tcPr>
            <w:tcW w:w="8400" w:type="dxa"/>
            <w:vAlign w:val="bottom"/>
          </w:tcPr>
          <w:p>
            <w:pPr>
              <w:ind w:left="920"/>
              <w:spacing w:after="0"/>
              <w:rPr>
                <w:sz w:val="20"/>
                <w:szCs w:val="20"/>
                <w:color w:val="auto"/>
              </w:rPr>
            </w:pPr>
            <w:r>
              <w:rPr>
                <w:rFonts w:ascii="Arial" w:cs="Arial" w:eastAsia="Arial" w:hAnsi="Arial"/>
                <w:sz w:val="18"/>
                <w:szCs w:val="18"/>
                <w:color w:val="auto"/>
              </w:rPr>
              <w:t>Mardem, LLC</w:t>
            </w:r>
          </w:p>
        </w:tc>
        <w:tc>
          <w:tcPr>
            <w:tcW w:w="3020" w:type="dxa"/>
            <w:vAlign w:val="bottom"/>
          </w:tcPr>
          <w:p>
            <w:pPr>
              <w:jc w:val="center"/>
              <w:ind w:left="530"/>
              <w:spacing w:after="0"/>
              <w:rPr>
                <w:sz w:val="20"/>
                <w:szCs w:val="20"/>
                <w:color w:val="auto"/>
              </w:rPr>
            </w:pPr>
            <w:r>
              <w:rPr>
                <w:rFonts w:ascii="Arial" w:cs="Arial" w:eastAsia="Arial" w:hAnsi="Arial"/>
                <w:sz w:val="18"/>
                <w:szCs w:val="18"/>
                <w:color w:val="auto"/>
                <w:w w:val="94"/>
              </w:rPr>
              <w:t>Florida</w:t>
            </w:r>
          </w:p>
        </w:tc>
      </w:tr>
    </w:tbl>
    <w:p>
      <w:pPr>
        <w:spacing w:after="0" w:line="31" w:lineRule="exact"/>
        <w:rPr>
          <w:sz w:val="20"/>
          <w:szCs w:val="20"/>
          <w:color w:val="auto"/>
        </w:rPr>
      </w:pPr>
    </w:p>
    <w:p>
      <w:pPr>
        <w:sectPr>
          <w:pgSz w:w="11900" w:h="16838" w:orient="portrait"/>
          <w:cols w:equalWidth="0" w:num="1">
            <w:col w:w="11420"/>
          </w:cols>
          <w:pgMar w:left="240" w:top="121" w:right="239" w:bottom="1062" w:gutter="0" w:footer="0" w:header="0"/>
        </w:sectPr>
      </w:pPr>
    </w:p>
    <w:p>
      <w:pPr>
        <w:spacing w:after="0"/>
        <w:rPr>
          <w:sz w:val="20"/>
          <w:szCs w:val="20"/>
          <w:color w:val="auto"/>
        </w:rPr>
      </w:pPr>
      <w:r>
        <w:rPr>
          <w:rFonts w:ascii="Arial" w:cs="Arial" w:eastAsia="Arial" w:hAnsi="Arial"/>
          <w:sz w:val="15"/>
          <w:szCs w:val="15"/>
          <w:i w:val="1"/>
          <w:iCs w:val="1"/>
          <w:color w:val="auto"/>
        </w:rPr>
        <w:t>(a) Certain insignificant subsidiaries are omitted.</w:t>
      </w:r>
    </w:p>
    <w:p>
      <w:pPr>
        <w:sectPr>
          <w:pgSz w:w="11900" w:h="16838" w:orient="portrait"/>
          <w:cols w:equalWidth="0" w:num="1">
            <w:col w:w="11420"/>
          </w:cols>
          <w:pgMar w:left="240" w:top="121" w:right="239" w:bottom="1062" w:gutter="0" w:footer="0" w:header="0"/>
          <w:type w:val="continuous"/>
        </w:sectPr>
      </w:pPr>
    </w:p>
    <w:bookmarkStart w:id="296" w:name="page297"/>
    <w:bookmarkEnd w:id="296"/>
    <w:tbl>
      <w:tblPr>
        <w:tblLayout w:type="fixed"/>
        <w:tblInd w:w="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760" w:type="dxa"/>
            <w:vAlign w:val="bottom"/>
            <w:gridSpan w:val="2"/>
          </w:tcPr>
          <w:p>
            <w:pPr>
              <w:ind w:left="3960"/>
              <w:spacing w:after="0"/>
              <w:rPr>
                <w:sz w:val="20"/>
                <w:szCs w:val="20"/>
                <w:color w:val="auto"/>
              </w:rPr>
            </w:pPr>
            <w:r>
              <w:rPr>
                <w:rFonts w:ascii="Arial" w:cs="Arial" w:eastAsia="Arial" w:hAnsi="Arial"/>
                <w:sz w:val="18"/>
                <w:szCs w:val="18"/>
                <w:b w:val="1"/>
                <w:bCs w:val="1"/>
                <w:color w:val="auto"/>
                <w:w w:val="91"/>
              </w:rPr>
              <w:t>Exhibit 21</w:t>
            </w:r>
          </w:p>
        </w:tc>
      </w:tr>
      <w:tr>
        <w:trPr>
          <w:trHeight w:val="446"/>
        </w:trPr>
        <w:tc>
          <w:tcPr>
            <w:tcW w:w="66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8"/>
                <w:szCs w:val="18"/>
                <w:i w:val="1"/>
                <w:iCs w:val="1"/>
                <w:color w:val="auto"/>
              </w:rPr>
              <w:t>(a)</w:t>
            </w:r>
          </w:p>
        </w:tc>
        <w:tc>
          <w:tcPr>
            <w:tcW w:w="4760" w:type="dxa"/>
            <w:vAlign w:val="bottom"/>
            <w:gridSpan w:val="2"/>
          </w:tcPr>
          <w:p>
            <w:pPr>
              <w:jc w:val="center"/>
              <w:ind w:left="289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44"/>
        </w:trPr>
        <w:tc>
          <w:tcPr>
            <w:tcW w:w="66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Palm Coast Holdings, Inc.</w:t>
            </w:r>
          </w:p>
        </w:tc>
        <w:tc>
          <w:tcPr>
            <w:tcW w:w="4740" w:type="dxa"/>
            <w:vAlign w:val="bottom"/>
            <w:tcBorders>
              <w:top w:val="single" w:sz="8" w:color="auto"/>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920"/>
              <w:spacing w:after="0"/>
              <w:rPr>
                <w:sz w:val="20"/>
                <w:szCs w:val="20"/>
                <w:color w:val="auto"/>
              </w:rPr>
            </w:pPr>
            <w:r>
              <w:rPr>
                <w:rFonts w:ascii="Arial" w:cs="Arial" w:eastAsia="Arial" w:hAnsi="Arial"/>
                <w:sz w:val="18"/>
                <w:szCs w:val="18"/>
                <w:color w:val="auto"/>
              </w:rPr>
              <w:t>Port Orange Holdings, LLC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Interlachen Lakes Estates, LLC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Palm Coast Land, LLC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Florida Water Services Corporation</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4"/>
              </w:rPr>
              <w:t>Florida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Energy Replacement Property, LLC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Energy Land, Incorporated</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2"/>
              </w:rPr>
              <w:t>Wisconsin</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Lakeview Financial Corporation II</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MP Investments, Inc.</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RendField Land Company, Inc.</w:t>
            </w:r>
          </w:p>
        </w:tc>
        <w:tc>
          <w:tcPr>
            <w:tcW w:w="4760" w:type="dxa"/>
            <w:vAlign w:val="bottom"/>
            <w:gridSpan w:val="2"/>
          </w:tcPr>
          <w:p>
            <w:pPr>
              <w:jc w:val="center"/>
              <w:ind w:left="2910"/>
              <w:spacing w:after="0"/>
              <w:rPr>
                <w:sz w:val="20"/>
                <w:szCs w:val="20"/>
                <w:color w:val="auto"/>
              </w:rPr>
            </w:pPr>
            <w:r>
              <w:rPr>
                <w:rFonts w:ascii="Arial" w:cs="Arial" w:eastAsia="Arial" w:hAnsi="Arial"/>
                <w:sz w:val="18"/>
                <w:szCs w:val="18"/>
                <w:color w:val="auto"/>
                <w:w w:val="91"/>
              </w:rPr>
              <w:t>Minnesota</w:t>
            </w:r>
          </w:p>
        </w:tc>
      </w:tr>
      <w:tr>
        <w:trPr>
          <w:trHeight w:val="27"/>
        </w:trPr>
        <w:tc>
          <w:tcPr>
            <w:tcW w:w="662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Superior Water, Light and Power Company</w:t>
            </w:r>
          </w:p>
        </w:tc>
        <w:tc>
          <w:tcPr>
            <w:tcW w:w="474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r>
      <w:tr>
        <w:trPr>
          <w:trHeight w:val="20"/>
        </w:trPr>
        <w:tc>
          <w:tcPr>
            <w:tcW w:w="662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5"/>
          <w:szCs w:val="15"/>
          <w:i w:val="1"/>
          <w:iCs w:val="1"/>
          <w:color w:val="auto"/>
        </w:rPr>
        <w:t>Certain insignificant subsidiaries are omitted.</w:t>
      </w:r>
    </w:p>
    <w:p>
      <w:pPr>
        <w:sectPr>
          <w:pgSz w:w="11900" w:h="16838" w:orient="portrait"/>
          <w:cols w:equalWidth="0" w:num="1">
            <w:col w:w="11420"/>
          </w:cols>
          <w:pgMar w:left="240" w:top="122"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60"/>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S-3 (Nos. 333-212794, 333-211075) and Form S-8 (Nos. 333-162890, 333-183051, 333-190336, 333-207846, 333-228120) of ALLETE, Inc. of our report dated February 14, 2019, relating to the financial statements, financial statement schedule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ectPr>
          <w:pgSz w:w="11900" w:h="16838" w:orient="portrait"/>
          <w:cols w:equalWidth="0" w:num="1">
            <w:col w:w="11420"/>
          </w:cols>
          <w:pgMar w:left="240" w:top="121"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14, 2019</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31750</wp:posOffset>
            </wp:positionV>
            <wp:extent cx="39789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1"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J. Adams, certify that:</w:t>
      </w:r>
    </w:p>
    <w:p>
      <w:pPr>
        <w:spacing w:after="0" w:line="225" w:lineRule="exact"/>
        <w:rPr>
          <w:sz w:val="20"/>
          <w:szCs w:val="20"/>
          <w:color w:val="auto"/>
        </w:rPr>
      </w:pPr>
    </w:p>
    <w:p>
      <w:pPr>
        <w:ind w:left="340" w:hanging="332"/>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14, 2019</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2018,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14, 2019</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4">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14, 2019</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5">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quarter ended December 31, 2018, BNI Energy, owner of Center Mine, received six citations under Section 104(a) of the Mine Safety Act, none of which were significant and substantial (S&amp;S) citations; fourteen citations were received for the year ended December 31, 2018, one of which was a S&amp;S citation. For the year ended December 31, 2018, BNI Energy paid $3,658 in penalties for citations closed during the period. For the year ended December 31, 2018,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1" w:right="219" w:bottom="1440" w:gutter="0" w:footer="0" w:header="0"/>
        </w:sectPr>
      </w:pPr>
    </w:p>
    <w:bookmarkStart w:id="302" w:name="page303"/>
    <w:bookmarkEnd w:id="302"/>
    <w:p>
      <w:pPr>
        <w:ind w:left="10640"/>
        <w:spacing w:after="0"/>
        <w:rPr>
          <w:sz w:val="20"/>
          <w:szCs w:val="20"/>
          <w:color w:val="auto"/>
        </w:rPr>
      </w:pPr>
      <w:r>
        <w:rPr>
          <w:rFonts w:ascii="Arial" w:cs="Arial" w:eastAsia="Arial" w:hAnsi="Arial"/>
          <w:sz w:val="17"/>
          <w:szCs w:val="17"/>
          <w:color w:val="auto"/>
        </w:rPr>
        <w:t>Exhibit 99</w:t>
      </w:r>
    </w:p>
    <w:p>
      <w:pPr>
        <w:sectPr>
          <w:pgSz w:w="11900" w:h="16838" w:orient="portrait"/>
          <w:cols w:equalWidth="0" w:num="1">
            <w:col w:w="11420"/>
          </w:cols>
          <w:pgMar w:left="240" w:top="1300" w:right="239" w:bottom="1440" w:gutter="0" w:footer="0" w:header="0"/>
        </w:sectPr>
      </w:pPr>
    </w:p>
    <w:p>
      <w:pPr>
        <w:spacing w:after="0" w:line="75"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6">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February 14, 2019</w:t>
      </w:r>
    </w:p>
    <w:p>
      <w:pPr>
        <w:spacing w:after="0" w:line="86" w:lineRule="exact"/>
        <w:rPr>
          <w:sz w:val="20"/>
          <w:szCs w:val="20"/>
          <w:color w:val="auto"/>
        </w:rPr>
      </w:pPr>
    </w:p>
    <w:p>
      <w:pPr>
        <w:sectPr>
          <w:pgSz w:w="11900" w:h="16838" w:orient="portrait"/>
          <w:cols w:equalWidth="0" w:num="2">
            <w:col w:w="8000" w:space="720"/>
            <w:col w:w="2700"/>
          </w:cols>
          <w:pgMar w:left="240" w:top="1300" w:right="23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sectPr>
          <w:pgSz w:w="11900" w:h="16838" w:orient="portrait"/>
          <w:cols w:equalWidth="0" w:num="2">
            <w:col w:w="8160" w:space="560"/>
            <w:col w:w="2700"/>
          </w:cols>
          <w:pgMar w:left="240" w:top="1300" w:right="23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218-723-3952</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vmeyer@allete.com</w:t>
      </w:r>
    </w:p>
    <w:p>
      <w:pPr>
        <w:sectPr>
          <w:pgSz w:w="11900" w:h="16838" w:orient="portrait"/>
          <w:cols w:equalWidth="0" w:num="1">
            <w:col w:w="11420"/>
          </w:cols>
          <w:pgMar w:left="240" w:top="1300" w:right="239" w:bottom="1440" w:gutter="0" w:footer="0" w:header="0"/>
          <w:type w:val="continuous"/>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200" w:lineRule="exact"/>
        <w:rPr>
          <w:sz w:val="20"/>
          <w:szCs w:val="20"/>
          <w:color w:val="auto"/>
        </w:rPr>
      </w:pPr>
    </w:p>
    <w:p>
      <w:pPr>
        <w:spacing w:after="0" w:line="23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ALLETE, Inc. reports 2018 earnings of $3.38 per share; initiates 2019 earnings guidance; 2019 to be a significant year of renewable energy projects</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DULUTH, Minn. - ALLETE, Inc. (NYSE: ALE) today reported 2018 earnings of $3.38 per share on net income of $174.1 million and operating revenue of $1.5 billion. Reported results from 2017 were $3.38 per share on net income of $172.2 million and operating revenue of $1.4 billion.</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Net income in 2017 included a $13.0 million after-tax, or $0.25 per share, benefit for the re-measurement of ALLETE’s deferred income tax assets and liabilities resulting from the Tax Cuts and Jobs Act (TCJA) that was enacted on December 22, 2017. Results for 2017 also reflected a benefit of $7.9 million after-tax, or $0.16 per share, for the Minnesota Public Utilities Commission’s (MPUC) modification of its November 2016 order on the allocation of North Dakota investment tax credits. These benefits were partially offset by a non-cash $11.4 million after-tax charge, or $0.22 per share, for the MPUC’s decision in Minnesota Power’s rate case in January 2018, disallowing recovery of Minnesota Power’s regulatory asset for deferred fuel adjustment clause costs due to the anticipated adoption of a forward-looking fuel adjustment clause methodology.</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“Our accomplishments in 2018 were many, as evidenced by our strong financial performance and continued positioning with our multi-faceted strategy for future growth,” said ALLETE Chairman and CEO Al Hodnik. “Our hard work and thoughtful positioning over the past several years is already contributing value to our shareholders and we expect that to continue for the long-term. 2019 will be a year of robust construction and further investment for growth as our Regulated Operations and ALLETE Clean Energy will complete approximately $400 million in renewable energy related projects for a cleaner energy future.”</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ALLETE’s Regulated Operations segment, which includes Minnesota Power, Superior Water, Light and Power, and the Company’s investment in the American Transmission Co. (ATC), recorded 2018 net income of $131.0 million, compared to $128.4 million in 2017. Minnesota Power’s 2017 net income reflects the previously mentioned $11.4 million after-tax charge for the MPUC’s decision disallowing recovery of Minnesota Power’s regulatory asset for deferred fuel adjustment clause costs in 2017. In addition, net income in 2018 reflects lower transmission revenue resulting from lower MISO-related revenue, timing of fuel adjustment clause recoveries, lower industrial sales, and higher property tax and interest expense. These decreases were partially offset by lower operating and maintenance expense, higher pricing on power supply agreements with Other Power Suppliers, increased cost recovery rider revenue and higher kilowatt hour (kWh) sales to residential and commercial customers due to more favorable weather conditions in 2018.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ALLETE’s Energy Infrastructure and Related Services businesses, which include ALLETE Clean Energy and U.S. Water Services, recorded net income of $33.7 million and $3.2 million, respectively. Earnings at ALLETE Clean Energy in 2018 included the sale of a wind energy facility to Montana-Dakota Utilities, a lower federal income tax rate enacted as part of TCJA and $7.4 million after-tax of additional production tax credits as ALLETE Clean Energy continues to execute its refurbishment strategy. These increases were partially offset by higher operating and maintenance expenses. Earnings in 2017 included a favorable impact of $23.6 million after-tax for the remeasurement of deferred income tax assets and liabilities resulting from the TCJA.</w:t>
      </w:r>
    </w:p>
    <w:p>
      <w:pPr>
        <w:sectPr>
          <w:pgSz w:w="11900" w:h="16838" w:orient="portrait"/>
          <w:cols w:equalWidth="0" w:num="1">
            <w:col w:w="11420"/>
          </w:cols>
          <w:pgMar w:left="240" w:top="1300" w:right="239" w:bottom="1440" w:gutter="0" w:footer="0" w:header="0"/>
          <w:type w:val="continuous"/>
        </w:sectPr>
      </w:pPr>
    </w:p>
    <w:bookmarkStart w:id="303" w:name="page304"/>
    <w:bookmarkEnd w:id="303"/>
    <w:p>
      <w:pPr>
        <w:ind w:right="20"/>
        <w:spacing w:after="0" w:line="263" w:lineRule="auto"/>
        <w:rPr>
          <w:sz w:val="20"/>
          <w:szCs w:val="20"/>
          <w:color w:val="auto"/>
        </w:rPr>
      </w:pPr>
      <w:r>
        <w:rPr>
          <w:rFonts w:ascii="Arial" w:cs="Arial" w:eastAsia="Arial" w:hAnsi="Arial"/>
          <w:sz w:val="19"/>
          <w:szCs w:val="19"/>
          <w:color w:val="auto"/>
        </w:rPr>
        <w:t>Earnings at U.S. Water Services in 2018 included increased revenue due to higher capital project sales and higher sales of chemicals and related services, partially offset by increased operating expenses. 2018 earnings also reflected a $0.6 million after-tax expense recognized as cost of sales related to purchase price accounting for sales backlog. Net income in 2017 reflected a $9.2 million after-tax benefit for the re-measurement of deferred income tax assets and liabilities resulting from the TCJA.</w:t>
      </w:r>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Corporate and Other businesses, which include BNI Energy and ALLETE Properties, recorded net income of $6.2 million in 2018 compared to a net loss of $8.4 million in 2017. Net income in 2018 included an increase for the change in fair value of the contingent consideration liability of $1.3 million after-tax. The net loss in 2017 included additional income tax expense of $19.8 million after-tax for the remeasurement of deferred income tax assets and liabilities resulting from the TCJA. The net loss in 2017 also included the previously mentioned favorable impact of $7.9 million after-tax for the MPUC’s modification of its November 2016 order on the allocation of North Dakota investment tax credits.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Earnings were diluted by $0.04 per share in 2018, due to additional shares of common stock outstanding as of December 31,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Company’s 2019 earnings guidance were filed as part of today’s Form 8-K filing.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February 14, 2019; financial slides posted on company website</w:t>
      </w:r>
    </w:p>
    <w:p>
      <w:pPr>
        <w:spacing w:after="0" w:line="2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 xml:space="preserve">ALLETE’s earnings conference call will be at 10:00 a.m. (EST), February 14, 2019, at which time management will discuss fourth quarter and 2018 financial results. To participate in the call, analysts are asked to dial 877-303-5852, pass code 4766869, ten minutes prior to the start time and refer to the “ALLETE’s Conference Call Announcing Fourth Quarter 2018 Financial Results.” All interested parties may listen to the live audio-only webcast accompanied by financial slides, which will be available on ALLETE’s Investor Relations website </w:t>
      </w:r>
      <w:r>
        <w:rPr>
          <w:rFonts w:ascii="Arial" w:cs="Arial" w:eastAsia="Arial" w:hAnsi="Arial"/>
          <w:sz w:val="19"/>
          <w:szCs w:val="19"/>
          <w:u w:val="single" w:color="auto"/>
          <w:color w:val="0563C1"/>
        </w:rPr>
        <w:t>http://investor.allete.com/events-presentations</w:t>
      </w:r>
      <w:r>
        <w:rPr>
          <w:rFonts w:ascii="Arial" w:cs="Arial" w:eastAsia="Arial" w:hAnsi="Arial"/>
          <w:sz w:val="19"/>
          <w:szCs w:val="19"/>
          <w:color w:val="000000"/>
        </w:rPr>
        <w:t>. A replay of the call will be available through February 18, 2019 by calling (855) 859-2056, pass</w:t>
      </w:r>
      <w:r>
        <w:rPr>
          <w:rFonts w:ascii="Arial" w:cs="Arial" w:eastAsia="Arial" w:hAnsi="Arial"/>
          <w:sz w:val="19"/>
          <w:szCs w:val="19"/>
          <w:color w:val="0563C1"/>
        </w:rPr>
        <w:t xml:space="preserve"> </w:t>
      </w:r>
      <w:r>
        <w:rPr>
          <w:rFonts w:ascii="Arial" w:cs="Arial" w:eastAsia="Arial" w:hAnsi="Arial"/>
          <w:sz w:val="19"/>
          <w:szCs w:val="19"/>
          <w:color w:val="000000"/>
        </w:rPr>
        <w:t xml:space="preserve">code 4766869. The webcast will be accessible for one year at </w:t>
      </w:r>
      <w:r>
        <w:rPr>
          <w:rFonts w:ascii="Arial" w:cs="Arial" w:eastAsia="Arial" w:hAnsi="Arial"/>
          <w:sz w:val="19"/>
          <w:szCs w:val="19"/>
          <w:u w:val="single" w:color="auto"/>
          <w:color w:val="0563C1"/>
        </w:rPr>
        <w:t>www.allete.com</w:t>
      </w:r>
      <w:r>
        <w:rPr>
          <w:rFonts w:ascii="Arial" w:cs="Arial" w:eastAsia="Arial" w:hAnsi="Arial"/>
          <w:sz w:val="19"/>
          <w:szCs w:val="19"/>
          <w:color w:val="000000"/>
        </w:rPr>
        <w:t>.</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U.S. Water headquartered in St. Michael, Minn., and has an eight percent equity interest in the American Transmission Co. More information about ALLETE is available at </w:t>
      </w:r>
      <w:r>
        <w:rPr>
          <w:rFonts w:ascii="Arial" w:cs="Arial" w:eastAsia="Arial" w:hAnsi="Arial"/>
          <w:sz w:val="20"/>
          <w:szCs w:val="20"/>
          <w:u w:val="single" w:color="auto"/>
          <w:color w:val="auto"/>
        </w:rPr>
        <w:t>www.allete.com</w:t>
      </w:r>
      <w:r>
        <w:rPr>
          <w:rFonts w:ascii="Arial" w:cs="Arial" w:eastAsia="Arial" w:hAnsi="Arial"/>
          <w:sz w:val="20"/>
          <w:szCs w:val="20"/>
          <w:color w:val="auto"/>
        </w:rPr>
        <w:t xml:space="preserve">. </w:t>
      </w:r>
      <w:r>
        <w:rPr>
          <w:rFonts w:ascii="Arial" w:cs="Arial" w:eastAsia="Arial" w:hAnsi="Arial"/>
          <w:sz w:val="20"/>
          <w:szCs w:val="20"/>
          <w:i w:val="1"/>
          <w:iCs w:val="1"/>
          <w:color w:val="auto"/>
        </w:rPr>
        <w:t>ALE-CORP</w:t>
      </w:r>
    </w:p>
    <w:p>
      <w:pPr>
        <w:spacing w:after="0" w:line="19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92"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9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i w:val="1"/>
          <w:iCs w:val="1"/>
          <w:color w:val="auto"/>
        </w:rPr>
        <w:t>Non-GAAP financial measures utilized by the Company may include presentations of earnings (loss) per share and earnings before interest, taxes, depreciation and amortization.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420"/>
          </w:cols>
          <w:pgMar w:left="240" w:top="920" w:right="2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9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Contracts with Customer – Utility</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$270.2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$239.7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$1,059.5</w:t>
            </w:r>
          </w:p>
        </w:tc>
        <w:tc>
          <w:tcPr>
            <w:tcW w:w="960" w:type="dxa"/>
            <w:vAlign w:val="bottom"/>
          </w:tcPr>
          <w:p>
            <w:pPr>
              <w:jc w:val="right"/>
              <w:spacing w:after="0"/>
              <w:rPr>
                <w:sz w:val="20"/>
                <w:szCs w:val="20"/>
                <w:color w:val="auto"/>
              </w:rPr>
            </w:pPr>
            <w:r>
              <w:rPr>
                <w:rFonts w:ascii="Arial" w:cs="Arial" w:eastAsia="Arial" w:hAnsi="Arial"/>
                <w:sz w:val="18"/>
                <w:szCs w:val="18"/>
                <w:color w:val="auto"/>
              </w:rPr>
              <w:t>$1,063.8</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 – Non-utility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172.4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92.3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415.5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23.6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448.3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337.9</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1,498.6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106.9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113.7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407.5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16.8</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18.1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69.9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109.4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41.6</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218.0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86.9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92.7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340.5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344.1</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205.6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14.1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14.2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57.9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384.3</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305.6</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1,297.4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1,193.4</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64.0</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(9.7)</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(10.8)</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54.3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21.5</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158.6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(19.9)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51.5</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51.3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$0.81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9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$0.535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59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1000" w:type="dxa"/>
            <w:vAlign w:val="bottom"/>
          </w:tcPr>
          <w:p>
            <w:pPr>
              <w:jc w:val="right"/>
              <w:spacing w:after="0"/>
              <w:rPr>
                <w:sz w:val="20"/>
                <w:szCs w:val="20"/>
                <w:color w:val="auto"/>
              </w:rPr>
            </w:pPr>
            <w:r>
              <w:rPr>
                <w:rFonts w:ascii="Arial" w:cs="Arial" w:eastAsia="Arial" w:hAnsi="Arial"/>
                <w:sz w:val="18"/>
                <w:szCs w:val="18"/>
                <w:color w:val="auto"/>
              </w:rPr>
              <w:t>268.6</w:t>
            </w:r>
          </w:p>
        </w:tc>
        <w:tc>
          <w:tcPr>
            <w:tcW w:w="438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1,428.5</w:t>
            </w:r>
          </w:p>
        </w:tc>
        <w:tc>
          <w:tcPr>
            <w:tcW w:w="940" w:type="dxa"/>
            <w:vAlign w:val="bottom"/>
          </w:tcPr>
          <w:p>
            <w:pPr>
              <w:jc w:val="right"/>
              <w:spacing w:after="0"/>
              <w:rPr>
                <w:sz w:val="20"/>
                <w:szCs w:val="20"/>
                <w:color w:val="auto"/>
              </w:rPr>
            </w:pPr>
            <w:r>
              <w:rPr>
                <w:rFonts w:ascii="Arial" w:cs="Arial" w:eastAsia="Arial" w:hAnsi="Arial"/>
                <w:sz w:val="18"/>
                <w:szCs w:val="18"/>
                <w:color w:val="auto"/>
              </w:rPr>
              <w:t>1,439.2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Property, Plant and Equipment – Net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389.5</w:t>
            </w:r>
          </w:p>
        </w:tc>
        <w:tc>
          <w:tcPr>
            <w:tcW w:w="1000" w:type="dxa"/>
            <w:vAlign w:val="bottom"/>
          </w:tcPr>
          <w:p>
            <w:pPr>
              <w:jc w:val="right"/>
              <w:spacing w:after="0"/>
              <w:rPr>
                <w:sz w:val="20"/>
                <w:szCs w:val="20"/>
                <w:color w:val="auto"/>
              </w:rPr>
            </w:pPr>
            <w:r>
              <w:rPr>
                <w:rFonts w:ascii="Arial" w:cs="Arial" w:eastAsia="Arial" w:hAnsi="Arial"/>
                <w:sz w:val="18"/>
                <w:szCs w:val="18"/>
                <w:color w:val="auto"/>
              </w:rPr>
              <w:t>384.7</w:t>
            </w:r>
          </w:p>
        </w:tc>
        <w:tc>
          <w:tcPr>
            <w:tcW w:w="438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512.1</w:t>
            </w:r>
          </w:p>
        </w:tc>
        <w:tc>
          <w:tcPr>
            <w:tcW w:w="940" w:type="dxa"/>
            <w:vAlign w:val="bottom"/>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Plans</w:t>
            </w: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0" w:type="dxa"/>
            <w:vAlign w:val="bottom"/>
          </w:tcPr>
          <w:p>
            <w:pPr>
              <w:jc w:val="right"/>
              <w:spacing w:after="0"/>
              <w:rPr>
                <w:sz w:val="20"/>
                <w:szCs w:val="20"/>
                <w:color w:val="auto"/>
              </w:rPr>
            </w:pPr>
            <w:r>
              <w:rPr>
                <w:rFonts w:ascii="Arial" w:cs="Arial" w:eastAsia="Arial" w:hAnsi="Arial"/>
                <w:sz w:val="18"/>
                <w:szCs w:val="18"/>
                <w:color w:val="auto"/>
              </w:rPr>
              <w:t>53.1</w:t>
            </w:r>
          </w:p>
        </w:tc>
        <w:tc>
          <w:tcPr>
            <w:tcW w:w="438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262.6</w:t>
            </w:r>
          </w:p>
        </w:tc>
        <w:tc>
          <w:tcPr>
            <w:tcW w:w="94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 – Net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000" w:type="dxa"/>
            <w:vAlign w:val="bottom"/>
          </w:tcPr>
          <w:p>
            <w:pPr>
              <w:jc w:val="right"/>
              <w:spacing w:after="0"/>
              <w:rPr>
                <w:sz w:val="20"/>
                <w:szCs w:val="20"/>
                <w:color w:val="auto"/>
              </w:rPr>
            </w:pPr>
            <w:r>
              <w:rPr>
                <w:rFonts w:ascii="Arial" w:cs="Arial" w:eastAsia="Arial" w:hAnsi="Arial"/>
                <w:sz w:val="18"/>
                <w:szCs w:val="18"/>
                <w:color w:val="auto"/>
              </w:rPr>
              <w:t>107.7</w:t>
            </w:r>
          </w:p>
        </w:tc>
        <w:tc>
          <w:tcPr>
            <w:tcW w:w="4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0"/>
        </w:trPr>
        <w:tc>
          <w:tcPr>
            <w:tcW w:w="28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17" w:right="239" w:bottom="1440" w:gutter="0" w:footer="0" w:header="0"/>
        </w:sectPr>
      </w:pPr>
    </w:p>
    <w:bookmarkStart w:id="305" w:name="page306"/>
    <w:bookmarkEnd w:id="3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20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17.8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33.7</w:t>
            </w: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5"/>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5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$61.1</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$41.4</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$174.1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High</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$82.82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$81.24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$82.82</w:t>
            </w:r>
          </w:p>
        </w:tc>
        <w:tc>
          <w:tcPr>
            <w:tcW w:w="960" w:type="dxa"/>
            <w:vAlign w:val="bottom"/>
          </w:tcPr>
          <w:p>
            <w:pPr>
              <w:jc w:val="right"/>
              <w:spacing w:after="0"/>
              <w:rPr>
                <w:sz w:val="20"/>
                <w:szCs w:val="20"/>
                <w:color w:val="auto"/>
              </w:rPr>
            </w:pPr>
            <w:r>
              <w:rPr>
                <w:rFonts w:ascii="Arial" w:cs="Arial" w:eastAsia="Arial" w:hAnsi="Arial"/>
                <w:sz w:val="18"/>
                <w:szCs w:val="18"/>
                <w:color w:val="auto"/>
              </w:rPr>
              <w:t>$81.24</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$72.42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$72.96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$66.64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Close</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$76.22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$74.36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$76.22</w:t>
            </w:r>
          </w:p>
        </w:tc>
        <w:tc>
          <w:tcPr>
            <w:tcW w:w="960" w:type="dxa"/>
            <w:vAlign w:val="bottom"/>
          </w:tcPr>
          <w:p>
            <w:pPr>
              <w:jc w:val="right"/>
              <w:spacing w:after="0"/>
              <w:rPr>
                <w:sz w:val="20"/>
                <w:szCs w:val="20"/>
                <w:color w:val="auto"/>
              </w:rPr>
            </w:pPr>
            <w:r>
              <w:rPr>
                <w:rFonts w:ascii="Arial" w:cs="Arial" w:eastAsia="Arial" w:hAnsi="Arial"/>
                <w:sz w:val="18"/>
                <w:szCs w:val="18"/>
                <w:color w:val="auto"/>
              </w:rPr>
              <w:t>$74.36</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$41.85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$40.46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1,426</w:t>
            </w:r>
          </w:p>
        </w:tc>
        <w:tc>
          <w:tcPr>
            <w:tcW w:w="96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1,843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1,890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7,261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r>
      <w:tr>
        <w:trPr>
          <w:trHeight w:val="243"/>
        </w:trPr>
        <w:tc>
          <w:tcPr>
            <w:tcW w:w="532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195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798</w:t>
            </w: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r>
      <w:tr>
        <w:trPr>
          <w:trHeight w:val="243"/>
        </w:trPr>
        <w:tc>
          <w:tcPr>
            <w:tcW w:w="53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977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3,953</w:t>
            </w:r>
          </w:p>
        </w:tc>
        <w:tc>
          <w:tcPr>
            <w:tcW w:w="960" w:type="dxa"/>
            <w:vAlign w:val="bottom"/>
          </w:tcPr>
          <w:p>
            <w:pPr>
              <w:jc w:val="right"/>
              <w:spacing w:after="0"/>
              <w:rPr>
                <w:sz w:val="20"/>
                <w:szCs w:val="20"/>
                <w:color w:val="auto"/>
              </w:rPr>
            </w:pPr>
            <w:r>
              <w:rPr>
                <w:rFonts w:ascii="Arial" w:cs="Arial" w:eastAsia="Arial" w:hAnsi="Arial"/>
                <w:sz w:val="18"/>
                <w:szCs w:val="18"/>
                <w:color w:val="auto"/>
              </w:rPr>
              <w:t>4,039</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3,779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14,578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r>
      <w:tr>
        <w:trPr>
          <w:trHeight w:val="588"/>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Utility Revenue</w:t>
            </w:r>
          </w:p>
        </w:tc>
        <w:tc>
          <w:tcPr>
            <w:tcW w:w="2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Retail and Municipal Electric Revenue</w:t>
            </w:r>
          </w:p>
        </w:tc>
        <w:tc>
          <w:tcPr>
            <w:tcW w:w="2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35.5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29.8</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141.9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133.6</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120.3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Municipal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13.1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12.8</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54.9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202.5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174.1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772.2</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43.0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37.7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170.3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161.8</w:t>
            </w:r>
          </w:p>
        </w:tc>
      </w:tr>
      <w:tr>
        <w:trPr>
          <w:trHeight w:val="27"/>
        </w:trPr>
        <w:tc>
          <w:tcPr>
            <w:tcW w:w="5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(Includes Water and Gas Revenue)</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r>
      <w:tr>
        <w:trPr>
          <w:trHeight w:val="237"/>
        </w:trPr>
        <w:tc>
          <w:tcPr>
            <w:tcW w:w="5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$270.2</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$239.7</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$1,059.5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$1,063.8</w:t>
            </w:r>
          </w:p>
        </w:tc>
      </w:tr>
      <w:tr>
        <w:trPr>
          <w:trHeight w:val="27"/>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10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T"/>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1)"/>
      <w:numFmt w:val="lowerLetter"/>
      <w:start w:val="1"/>
    </w:lvl>
  </w:abstractNum>
  <w:abstractNum w:abstractNumId="4">
    <w:nsid w:val="1CA0C5FA"/>
    <w:multiLevelType w:val="hybridMultilevel"/>
    <w:lvl w:ilvl="0">
      <w:lvlJc w:val="left"/>
      <w:lvlText w:val="(%1)"/>
      <w:numFmt w:val="lowerLetter"/>
      <w:start w:val="1"/>
    </w:lvl>
  </w:abstractNum>
  <w:abstractNum w:abstractNumId="5">
    <w:nsid w:val="53584BCB"/>
    <w:multiLevelType w:val="hybridMultilevel"/>
    <w:lvl w:ilvl="0">
      <w:lvlJc w:val="left"/>
      <w:lvlText w:val="(%1)"/>
      <w:numFmt w:val="lowerLetter"/>
      <w:start w:val="1"/>
    </w:lvl>
  </w:abstractNum>
  <w:abstractNum w:abstractNumId="6">
    <w:nsid w:val="415E286C"/>
    <w:multiLevelType w:val="hybridMultilevel"/>
    <w:lvl w:ilvl="0">
      <w:lvlJc w:val="left"/>
      <w:lvlText w:val="(%1)"/>
      <w:numFmt w:val="lowerLetter"/>
      <w:start w:val="1"/>
    </w:lvl>
  </w:abstractNum>
  <w:abstractNum w:abstractNumId="7">
    <w:nsid w:val="7C58FD05"/>
    <w:multiLevelType w:val="hybridMultilevel"/>
    <w:lvl w:ilvl="0">
      <w:lvlJc w:val="left"/>
      <w:lvlText w:val="(%1)"/>
      <w:numFmt w:val="lowerLetter"/>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1)"/>
      <w:numFmt w:val="lowerLetter"/>
      <w:start w:val="1"/>
    </w:lvl>
  </w:abstractNum>
  <w:abstractNum w:abstractNumId="10">
    <w:nsid w:val="5C10FE21"/>
    <w:multiLevelType w:val="hybridMultilevel"/>
    <w:lvl w:ilvl="0">
      <w:lvlJc w:val="left"/>
      <w:lvlText w:val="(%1)"/>
      <w:numFmt w:val="lowerLetter"/>
      <w:start w:val="1"/>
    </w:lvl>
  </w:abstractNum>
  <w:abstractNum w:abstractNumId="11">
    <w:nsid w:val="E7FFA2B"/>
    <w:multiLevelType w:val="hybridMultilevel"/>
    <w:lvl w:ilvl="0">
      <w:lvlJc w:val="left"/>
      <w:lvlText w:val="(%1)"/>
      <w:numFmt w:val="lowerLetter"/>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1)"/>
      <w:numFmt w:val="lowerLetter"/>
      <w:start w:val="1"/>
    </w:lvl>
  </w:abstractNum>
  <w:abstractNum w:abstractNumId="15">
    <w:nsid w:val="39B7AAA2"/>
    <w:multiLevelType w:val="hybridMultilevel"/>
    <w:lvl w:ilvl="0">
      <w:lvlJc w:val="left"/>
      <w:lvlText w:val="(%1)"/>
      <w:numFmt w:val="lowerLetter"/>
      <w:start w:val="1"/>
    </w:lvl>
  </w:abstractNum>
  <w:abstractNum w:abstractNumId="16">
    <w:nsid w:val="2B0D8DBE"/>
    <w:multiLevelType w:val="hybridMultilevel"/>
    <w:lvl w:ilvl="0">
      <w:lvlJc w:val="left"/>
      <w:lvlText w:val="(%1)"/>
      <w:numFmt w:val="decimal"/>
      <w:start w:val="3"/>
    </w:lvl>
  </w:abstractNum>
  <w:abstractNum w:abstractNumId="17">
    <w:nsid w:val="6C80EC70"/>
    <w:multiLevelType w:val="hybridMultilevel"/>
    <w:lvl w:ilvl="0">
      <w:lvlJc w:val="left"/>
      <w:lvlText w:val="\emdash "/>
      <w:numFmt w:val="bullet"/>
      <w:start w:val="1"/>
    </w:lvl>
  </w:abstractNum>
  <w:abstractNum w:abstractNumId="18">
    <w:nsid w:val="379E21B5"/>
    <w:multiLevelType w:val="hybridMultilevel"/>
    <w:lvl w:ilvl="0">
      <w:lvlJc w:val="left"/>
      <w:lvlText w:val="%1"/>
      <w:numFmt w:val="decimal"/>
      <w:start w:val="32"/>
    </w:lvl>
  </w:abstractNum>
  <w:abstractNum w:abstractNumId="19">
    <w:nsid w:val="69E373"/>
    <w:multiLevelType w:val="hybridMultilevel"/>
    <w:lvl w:ilvl="0">
      <w:lvlJc w:val="left"/>
      <w:lvlText w:val="%1"/>
      <w:numFmt w:val="decimal"/>
      <w:start w:val="99"/>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1)"/>
      <w:numFmt w:val="lowerLetter"/>
      <w:start w:val="1"/>
    </w:lvl>
  </w:abstractNum>
  <w:abstractNum w:abstractNumId="24">
    <w:nsid w:val="5675FF36"/>
    <w:multiLevelType w:val="hybridMultilevel"/>
    <w:lvl w:ilvl="0">
      <w:lvlJc w:val="left"/>
      <w:lvlText w:val="(%1)"/>
      <w:numFmt w:val="lowerLetter"/>
      <w:start w:val="1"/>
    </w:lvl>
  </w:abstractNum>
  <w:abstractNum w:abstractNumId="25">
    <w:nsid w:val="3DD15094"/>
    <w:multiLevelType w:val="hybridMultilevel"/>
    <w:lvl w:ilvl="0">
      <w:lvlJc w:val="left"/>
      <w:lvlText w:val="(%1)"/>
      <w:numFmt w:val="lowerLetter"/>
      <w:start w:val="1"/>
    </w:lvl>
  </w:abstractNum>
  <w:abstractNum w:abstractNumId="26">
    <w:nsid w:val="3DB012B3"/>
    <w:multiLevelType w:val="hybridMultilevel"/>
    <w:lvl w:ilvl="0">
      <w:lvlJc w:val="left"/>
      <w:lvlText w:val="(%1)"/>
      <w:numFmt w:val="lowerLetter"/>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1"/>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1)"/>
      <w:numFmt w:val="lowerLetter"/>
      <w:start w:val="1"/>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lowerLetter"/>
      <w:start w:val="1"/>
    </w:lvl>
  </w:abstractNum>
  <w:abstractNum w:abstractNumId="34">
    <w:nsid w:val="56438D15"/>
    <w:multiLevelType w:val="hybridMultilevel"/>
    <w:lvl w:ilvl="0">
      <w:lvlJc w:val="left"/>
      <w:lvlText w:val="(%1)"/>
      <w:numFmt w:val="lowerLetter"/>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Letter"/>
      <w:start w:val="1"/>
    </w:lvl>
  </w:abstractNum>
  <w:abstractNum w:abstractNumId="37">
    <w:nsid w:val="17A1B582"/>
    <w:multiLevelType w:val="hybridMultilevel"/>
    <w:lvl w:ilvl="0">
      <w:lvlJc w:val="left"/>
      <w:lvlText w:val="(%1)"/>
      <w:numFmt w:val="lowerLetter"/>
      <w:start w:val="1"/>
    </w:lvl>
  </w:abstractNum>
  <w:abstractNum w:abstractNumId="38">
    <w:nsid w:val="4DF72E4E"/>
    <w:multiLevelType w:val="hybridMultilevel"/>
    <w:lvl w:ilvl="0">
      <w:lvlJc w:val="left"/>
      <w:lvlText w:val="(%1)"/>
      <w:numFmt w:val="lowerLetter"/>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1)"/>
      <w:numFmt w:val="lowerLetter"/>
      <w:start w:val="1"/>
    </w:lvl>
  </w:abstractNum>
  <w:abstractNum w:abstractNumId="41">
    <w:nsid w:val="2A082C70"/>
    <w:multiLevelType w:val="hybridMultilevel"/>
    <w:lvl w:ilvl="0">
      <w:lvlJc w:val="left"/>
      <w:lvlText w:val="(%1)"/>
      <w:numFmt w:val="lowerLetter"/>
      <w:start w:val="1"/>
    </w:lvl>
  </w:abstractNum>
  <w:abstractNum w:abstractNumId="42">
    <w:nsid w:val="5EC6AFD4"/>
    <w:multiLevelType w:val="hybridMultilevel"/>
    <w:lvl w:ilvl="0">
      <w:lvlJc w:val="left"/>
      <w:lvlText w:val="(%1)"/>
      <w:numFmt w:val="lowerLetter"/>
      <w:start w:val="1"/>
    </w:lvl>
  </w:abstractNum>
  <w:abstractNum w:abstractNumId="43">
    <w:nsid w:val="19E21BB2"/>
    <w:multiLevelType w:val="hybridMultilevel"/>
    <w:lvl w:ilvl="0">
      <w:lvlJc w:val="left"/>
      <w:lvlText w:val="(%1)"/>
      <w:numFmt w:val="lowerLetter"/>
      <w:start w:val="1"/>
    </w:lvl>
  </w:abstractNum>
  <w:abstractNum w:abstractNumId="44">
    <w:nsid w:val="75E0858A"/>
    <w:multiLevelType w:val="hybridMultilevel"/>
    <w:lvl w:ilvl="0">
      <w:lvlJc w:val="left"/>
      <w:lvlText w:val="(%1)"/>
      <w:numFmt w:val="lowerLetter"/>
      <w:start w:val="1"/>
    </w:lvl>
  </w:abstractNum>
  <w:abstractNum w:abstractNumId="45">
    <w:nsid w:val="57A61A29"/>
    <w:multiLevelType w:val="hybridMultilevel"/>
    <w:lvl w:ilvl="0">
      <w:lvlJc w:val="left"/>
      <w:lvlText w:val="(%1)"/>
      <w:numFmt w:val="lowerLetter"/>
      <w:start w:val="1"/>
    </w:lvl>
  </w:abstractNum>
  <w:abstractNum w:abstractNumId="46">
    <w:nsid w:val="5399C654"/>
    <w:multiLevelType w:val="hybridMultilevel"/>
    <w:lvl w:ilvl="0">
      <w:lvlJc w:val="left"/>
      <w:lvlText w:val="(%1)"/>
      <w:numFmt w:val="lowerLetter"/>
      <w:start w:val="2"/>
    </w:lvl>
  </w:abstractNum>
  <w:abstractNum w:abstractNumId="47">
    <w:nsid w:val="20EE1348"/>
    <w:multiLevelType w:val="hybridMultilevel"/>
    <w:lvl w:ilvl="0">
      <w:lvlJc w:val="left"/>
      <w:lvlText w:val="(%1)"/>
      <w:numFmt w:val="lowerLetter"/>
      <w:start w:val="2"/>
    </w:lvl>
  </w:abstractNum>
  <w:abstractNum w:abstractNumId="48">
    <w:nsid w:val="4427069A"/>
    <w:multiLevelType w:val="hybridMultilevel"/>
    <w:lvl w:ilvl="0">
      <w:lvlJc w:val="left"/>
      <w:lvlText w:val="(%1)"/>
      <w:numFmt w:val="lowerRoman"/>
      <w:start w:val="2"/>
    </w:lvl>
  </w:abstractNum>
  <w:abstractNum w:abstractNumId="49">
    <w:nsid w:val="B37E80A"/>
    <w:multiLevelType w:val="hybridMultilevel"/>
    <w:lvl w:ilvl="0">
      <w:lvlJc w:val="left"/>
      <w:lvlText w:val="(%1)"/>
      <w:numFmt w:val="lowerLetter"/>
      <w:start w:val="1"/>
    </w:lvl>
  </w:abstractNum>
  <w:abstractNum w:abstractNumId="50">
    <w:nsid w:val="2157F6BC"/>
    <w:multiLevelType w:val="hybridMultilevel"/>
    <w:lvl w:ilvl="0">
      <w:lvlJc w:val="left"/>
      <w:lvlText w:val="(%1)"/>
      <w:numFmt w:val="lowerLetter"/>
      <w:start w:val="5"/>
    </w:lvl>
  </w:abstractNum>
  <w:abstractNum w:abstractNumId="51">
    <w:nsid w:val="704E1DD5"/>
    <w:multiLevelType w:val="hybridMultilevel"/>
    <w:lvl w:ilvl="0">
      <w:lvlJc w:val="left"/>
      <w:lvlText w:val="(%1)"/>
      <w:numFmt w:val="lowerLetter"/>
      <w:start w:val="16"/>
    </w:lvl>
  </w:abstractNum>
  <w:abstractNum w:abstractNumId="52">
    <w:nsid w:val="57D2F10E"/>
    <w:multiLevelType w:val="hybridMultilevel"/>
    <w:lvl w:ilvl="0">
      <w:lvlJc w:val="left"/>
      <w:lvlText w:val="(%1)"/>
      <w:numFmt w:val="lowerRoman"/>
      <w:start w:val="2"/>
    </w:lvl>
  </w:abstractNum>
  <w:abstractNum w:abstractNumId="53">
    <w:nsid w:val="BFFAE18"/>
    <w:multiLevelType w:val="hybridMultilevel"/>
    <w:lvl w:ilvl="0">
      <w:lvlJc w:val="left"/>
      <w:lvlText w:val="(%1)"/>
      <w:numFmt w:val="lowerLetter"/>
      <w:start w:val="5"/>
    </w:lvl>
  </w:abstractNum>
  <w:abstractNum w:abstractNumId="54">
    <w:nsid w:val="E3E47A8"/>
    <w:multiLevelType w:val="hybridMultilevel"/>
    <w:lvl w:ilvl="0">
      <w:lvlJc w:val="left"/>
      <w:lvlText w:val="(%1)"/>
      <w:numFmt w:val="lowerLetter"/>
      <w:start w:val="1"/>
    </w:lvl>
  </w:abstractNum>
  <w:abstractNum w:abstractNumId="55">
    <w:nsid w:val="2E48F044"/>
    <w:multiLevelType w:val="hybridMultilevel"/>
    <w:lvl w:ilvl="0">
      <w:lvlJc w:val="left"/>
      <w:lvlText w:val="(%1)"/>
      <w:numFmt w:val="lowerLetter"/>
      <w:start w:val="2"/>
    </w:lvl>
  </w:abstractNum>
  <w:abstractNum w:abstractNumId="56">
    <w:nsid w:val="49D0FEAC"/>
    <w:multiLevelType w:val="hybridMultilevel"/>
    <w:lvl w:ilvl="0">
      <w:lvlJc w:val="left"/>
      <w:lvlText w:val="(%1)"/>
      <w:numFmt w:val="lowerLetter"/>
      <w:start w:val="1"/>
    </w:lvl>
  </w:abstractNum>
  <w:abstractNum w:abstractNumId="57">
    <w:nsid w:val="4BEE5A5B"/>
    <w:multiLevelType w:val="hybridMultilevel"/>
    <w:lvl w:ilvl="0">
      <w:lvlJc w:val="left"/>
      <w:lvlText w:val="(%1)"/>
      <w:numFmt w:val="lowerLetter"/>
      <w:start w:val="1"/>
    </w:lvl>
    <w:lvl w:ilvl="1">
      <w:lvlJc w:val="left"/>
      <w:lvlText w:val="(%2)"/>
      <w:numFmt w:val="lowerRoman"/>
      <w:start w:val="1"/>
    </w:lvl>
  </w:abstractNum>
  <w:abstractNum w:abstractNumId="58">
    <w:nsid w:val="5551B9F3"/>
    <w:multiLevelType w:val="hybridMultilevel"/>
    <w:lvl w:ilvl="0">
      <w:lvlJc w:val="left"/>
      <w:lvlText w:val="(%1)"/>
      <w:numFmt w:val="lowerLetter"/>
      <w:start w:val="1"/>
    </w:lvl>
  </w:abstractNum>
  <w:abstractNum w:abstractNumId="59">
    <w:nsid w:val="24F6AB8E"/>
    <w:multiLevelType w:val="hybridMultilevel"/>
    <w:lvl w:ilvl="0">
      <w:lvlJc w:val="left"/>
      <w:lvlText w:val="(%1)"/>
      <w:numFmt w:val="lowerLetter"/>
      <w:start w:val="1"/>
    </w:lvl>
  </w:abstractNum>
  <w:abstractNum w:abstractNumId="60">
    <w:nsid w:val="634C574C"/>
    <w:multiLevelType w:val="hybridMultilevel"/>
    <w:lvl w:ilvl="0">
      <w:lvlJc w:val="left"/>
      <w:lvlText w:val="(%1)"/>
      <w:numFmt w:val="lowerLetter"/>
      <w:start w:val="4"/>
    </w:lvl>
    <w:lvl w:ilvl="1">
      <w:lvlJc w:val="left"/>
      <w:lvlText w:val="(%2)"/>
      <w:numFmt w:val="upperLetter"/>
      <w:start w:val="1"/>
    </w:lvl>
  </w:abstractNum>
  <w:abstractNum w:abstractNumId="61">
    <w:nsid w:val="24E99DD7"/>
    <w:multiLevelType w:val="hybridMultilevel"/>
    <w:lvl w:ilvl="0">
      <w:lvlJc w:val="left"/>
      <w:lvlText w:val="(%1)"/>
      <w:numFmt w:val="lowerLetter"/>
      <w:start w:val="1"/>
    </w:lvl>
  </w:abstractNum>
  <w:abstractNum w:abstractNumId="62">
    <w:nsid w:val="2A31B62D"/>
    <w:multiLevelType w:val="hybridMultilevel"/>
    <w:lvl w:ilvl="0">
      <w:lvlJc w:val="left"/>
      <w:lvlText w:val="(%1)"/>
      <w:numFmt w:val="lowerLetter"/>
      <w:start w:val="3"/>
    </w:lvl>
  </w:abstractNum>
  <w:abstractNum w:abstractNumId="63">
    <w:nsid w:val="1849C29B"/>
    <w:multiLevelType w:val="hybridMultilevel"/>
    <w:lvl w:ilvl="0">
      <w:lvlJc w:val="left"/>
      <w:lvlText w:val="(%1)"/>
      <w:numFmt w:val="lowerLetter"/>
      <w:start w:val="1"/>
    </w:lvl>
  </w:abstractNum>
  <w:abstractNum w:abstractNumId="64">
    <w:nsid w:val="7DFF9D09"/>
    <w:multiLevelType w:val="hybridMultilevel"/>
    <w:lvl w:ilvl="0">
      <w:lvlJc w:val="left"/>
      <w:lvlText w:val="%1"/>
      <w:numFmt w:val="lowerLetter"/>
      <w:start w:val="1"/>
    </w:lvl>
    <w:lvl w:ilvl="1">
      <w:lvlJc w:val="left"/>
      <w:lvlText w:val="(%2)"/>
      <w:numFmt w:val="lowerLetter"/>
      <w:start w:val="1"/>
    </w:lvl>
  </w:abstractNum>
  <w:abstractNum w:abstractNumId="65">
    <w:nsid w:val="754342"/>
    <w:multiLevelType w:val="hybridMultilevel"/>
    <w:lvl w:ilvl="0">
      <w:lvlJc w:val="left"/>
      <w:lvlText w:val="(%1)"/>
      <w:numFmt w:val="lowerLetter"/>
      <w:start w:val="9"/>
    </w:lvl>
    <w:lvl w:ilvl="1">
      <w:lvlJc w:val="left"/>
      <w:lvlText w:val="%2"/>
      <w:numFmt w:val="lowerLetter"/>
      <w:start w:val="1"/>
    </w:lvl>
  </w:abstractNum>
  <w:abstractNum w:abstractNumId="66">
    <w:nsid w:val="69E7F3E5"/>
    <w:multiLevelType w:val="hybridMultilevel"/>
    <w:lvl w:ilvl="0">
      <w:lvlJc w:val="left"/>
      <w:lvlText w:val="(%1)"/>
      <w:numFmt w:val="lowerLetter"/>
      <w:start w:val="3"/>
    </w:lvl>
  </w:abstractNum>
  <w:abstractNum w:abstractNumId="67">
    <w:nsid w:val="2A6DE806"/>
    <w:multiLevelType w:val="hybridMultilevel"/>
    <w:lvl w:ilvl="0">
      <w:lvlJc w:val="left"/>
      <w:lvlText w:val="(%1)"/>
      <w:numFmt w:val="lowerLetter"/>
      <w:start w:val="6"/>
    </w:lvl>
  </w:abstractNum>
  <w:abstractNum w:abstractNumId="68">
    <w:nsid w:val="1816F8C4"/>
    <w:multiLevelType w:val="hybridMultilevel"/>
    <w:lvl w:ilvl="0">
      <w:lvlJc w:val="left"/>
      <w:lvlText w:val="(%1)"/>
      <w:numFmt w:val="lowerRoman"/>
      <w:start w:val="1"/>
    </w:lvl>
  </w:abstractNum>
  <w:abstractNum w:abstractNumId="69">
    <w:nsid w:val="37DF2233"/>
    <w:multiLevelType w:val="hybridMultilevel"/>
    <w:lvl w:ilvl="0">
      <w:lvlJc w:val="left"/>
      <w:lvlText w:val="(%1)"/>
      <w:numFmt w:val="lowerLetter"/>
      <w:start w:val="10"/>
    </w:lvl>
  </w:abstractNum>
  <w:abstractNum w:abstractNumId="70">
    <w:nsid w:val="7AB49DAF"/>
    <w:multiLevelType w:val="hybridMultilevel"/>
    <w:lvl w:ilvl="0">
      <w:lvlJc w:val="left"/>
      <w:lvlText w:val="%1"/>
      <w:numFmt w:val="lowerLetter"/>
      <w:start w:val="1"/>
    </w:lvl>
    <w:lvl w:ilvl="1">
      <w:lvlJc w:val="left"/>
      <w:lvlText w:val="(%2)"/>
      <w:numFmt w:val="lowerLetter"/>
      <w:start w:val="1"/>
    </w:lvl>
  </w:abstractNum>
  <w:abstractNum w:abstractNumId="71">
    <w:nsid w:val="759F82CD"/>
    <w:multiLevelType w:val="hybridMultilevel"/>
    <w:lvl w:ilvl="0">
      <w:lvlJc w:val="left"/>
      <w:lvlText w:val="(%1)"/>
      <w:numFmt w:val="lowerLetter"/>
      <w:start w:val="35"/>
    </w:lvl>
    <w:lvl w:ilvl="1">
      <w:lvlJc w:val="left"/>
      <w:lvlText w:val="%2"/>
      <w:numFmt w:val="lowerLetter"/>
      <w:start w:val="1"/>
    </w:lvl>
  </w:abstractNum>
  <w:abstractNum w:abstractNumId="72">
    <w:nsid w:val="61E74EA3"/>
    <w:multiLevelType w:val="hybridMultilevel"/>
    <w:lvl w:ilvl="0">
      <w:lvlJc w:val="left"/>
      <w:lvlText w:val="(%1)"/>
      <w:numFmt w:val="lowerLetter"/>
      <w:start w:val="4"/>
    </w:lvl>
  </w:abstractNum>
  <w:abstractNum w:abstractNumId="73">
    <w:nsid w:val="597B4D84"/>
    <w:multiLevelType w:val="hybridMultilevel"/>
    <w:lvl w:ilvl="0">
      <w:lvlJc w:val="left"/>
      <w:lvlText w:val="(%1)"/>
      <w:numFmt w:val="lowerLetter"/>
      <w:start w:val="2"/>
    </w:lvl>
    <w:lvl w:ilvl="1">
      <w:lvlJc w:val="left"/>
      <w:lvlText w:val="(%2)"/>
      <w:numFmt w:val="lowerRoman"/>
      <w:start w:val="1"/>
    </w:lvl>
  </w:abstractNum>
  <w:abstractNum w:abstractNumId="74">
    <w:nsid w:val="F819E7F"/>
    <w:multiLevelType w:val="hybridMultilevel"/>
    <w:lvl w:ilvl="0">
      <w:lvlJc w:val="left"/>
      <w:lvlText w:val="%1"/>
      <w:numFmt w:val="lowerLetter"/>
      <w:start w:val="1"/>
    </w:lvl>
    <w:lvl w:ilvl="1">
      <w:lvlJc w:val="left"/>
      <w:lvlText w:val="(%2)"/>
      <w:numFmt w:val="lowerRoman"/>
      <w:start w:val="6"/>
    </w:lvl>
  </w:abstractNum>
  <w:abstractNum w:abstractNumId="75">
    <w:nsid w:val="57C7D42D"/>
    <w:multiLevelType w:val="hybridMultilevel"/>
    <w:lvl w:ilvl="0">
      <w:lvlJc w:val="left"/>
      <w:lvlText w:val="(%1)"/>
      <w:numFmt w:val="lowerLetter"/>
      <w:start w:val="3"/>
    </w:lvl>
    <w:lvl w:ilvl="1">
      <w:lvlJc w:val="left"/>
      <w:lvlText w:val="%2"/>
      <w:numFmt w:val="lowerRoman"/>
      <w:start w:val="1"/>
    </w:lvl>
  </w:abstractNum>
  <w:abstractNum w:abstractNumId="76">
    <w:nsid w:val="312167AD"/>
    <w:multiLevelType w:val="hybridMultilevel"/>
    <w:lvl w:ilvl="0">
      <w:lvlJc w:val="left"/>
      <w:lvlText w:val="%1"/>
      <w:numFmt w:val="lowerLetter"/>
      <w:start w:val="1"/>
    </w:lvl>
    <w:lvl w:ilvl="1">
      <w:lvlJc w:val="left"/>
      <w:lvlText w:val="(%2)"/>
      <w:numFmt w:val="lowerLetter"/>
      <w:start w:val="1"/>
    </w:lvl>
  </w:abstractNum>
  <w:abstractNum w:abstractNumId="77">
    <w:nsid w:val="631B64D4"/>
    <w:multiLevelType w:val="hybridMultilevel"/>
    <w:lvl w:ilvl="0">
      <w:lvlJc w:val="left"/>
      <w:lvlText w:val="(%1)"/>
      <w:numFmt w:val="lowerLetter"/>
      <w:start w:val="35"/>
    </w:lvl>
    <w:lvl w:ilvl="1">
      <w:lvlJc w:val="left"/>
      <w:lvlText w:val="(%2)"/>
      <w:numFmt w:val="lowerLetter"/>
      <w:start w:val="3"/>
    </w:lvl>
  </w:abstractNum>
  <w:abstractNum w:abstractNumId="78">
    <w:nsid w:val="78B5E776"/>
    <w:multiLevelType w:val="hybridMultilevel"/>
    <w:lvl w:ilvl="0">
      <w:lvlJc w:val="left"/>
      <w:lvlText w:val="(%1)"/>
      <w:numFmt w:val="lowerLetter"/>
      <w:start w:val="4"/>
    </w:lvl>
  </w:abstractNum>
  <w:abstractNum w:abstractNumId="79">
    <w:nsid w:val="75486E47"/>
    <w:multiLevelType w:val="hybridMultilevel"/>
    <w:lvl w:ilvl="0">
      <w:lvlJc w:val="left"/>
      <w:lvlText w:val="(%1)"/>
      <w:numFmt w:val="lowerLetter"/>
      <w:start w:val="1"/>
    </w:lvl>
    <w:lvl w:ilvl="1">
      <w:lvlJc w:val="left"/>
      <w:lvlText w:val="(%2)"/>
      <w:numFmt w:val="lowerRoman"/>
      <w:start w:val="1"/>
    </w:lvl>
  </w:abstractNum>
  <w:abstractNum w:abstractNumId="80">
    <w:nsid w:val="6E534CDE"/>
    <w:multiLevelType w:val="hybridMultilevel"/>
    <w:lvl w:ilvl="0">
      <w:lvlJc w:val="left"/>
      <w:lvlText w:val="(%1)"/>
      <w:numFmt w:val="lowerLetter"/>
      <w:start w:val="4"/>
    </w:lvl>
  </w:abstractNum>
  <w:abstractNum w:abstractNumId="81">
    <w:nsid w:val="1A0DDE32"/>
    <w:multiLevelType w:val="hybridMultilevel"/>
    <w:lvl w:ilvl="0">
      <w:lvlJc w:val="left"/>
      <w:lvlText w:val="(%1)"/>
      <w:numFmt w:val="lowerLetter"/>
      <w:start w:val="5"/>
    </w:lvl>
  </w:abstractNum>
  <w:abstractNum w:abstractNumId="82">
    <w:nsid w:val="65968C1C"/>
    <w:multiLevelType w:val="hybridMultilevel"/>
    <w:lvl w:ilvl="0">
      <w:lvlJc w:val="left"/>
      <w:lvlText w:val="(%1)"/>
      <w:numFmt w:val="lowerLetter"/>
      <w:start w:val="1"/>
    </w:lvl>
  </w:abstractNum>
  <w:abstractNum w:abstractNumId="83">
    <w:nsid w:val="46263DEC"/>
    <w:multiLevelType w:val="hybridMultilevel"/>
    <w:lvl w:ilvl="0">
      <w:lvlJc w:val="left"/>
      <w:lvlText w:val="(%1)"/>
      <w:numFmt w:val="lowerLetter"/>
      <w:start w:val="1"/>
    </w:lvl>
    <w:lvl w:ilvl="1">
      <w:lvlJc w:val="left"/>
      <w:lvlText w:val="(%2)"/>
      <w:numFmt w:val="lowerRoman"/>
      <w:start w:val="1"/>
    </w:lvl>
  </w:abstractNum>
  <w:abstractNum w:abstractNumId="84">
    <w:nsid w:val="260D8C4A"/>
    <w:multiLevelType w:val="hybridMultilevel"/>
    <w:lvl w:ilvl="0">
      <w:lvlJc w:val="left"/>
      <w:lvlText w:val="%1"/>
      <w:numFmt w:val="lowerLetter"/>
      <w:start w:val="1"/>
    </w:lvl>
    <w:lvl w:ilvl="1">
      <w:lvlJc w:val="left"/>
      <w:lvlText w:val="(%2)"/>
      <w:numFmt w:val="lowerLetter"/>
      <w:start w:val="2"/>
    </w:lvl>
  </w:abstractNum>
  <w:abstractNum w:abstractNumId="85">
    <w:nsid w:val="73D4D3C4"/>
    <w:multiLevelType w:val="hybridMultilevel"/>
    <w:lvl w:ilvl="0">
      <w:lvlJc w:val="left"/>
      <w:lvlText w:val="(%1)"/>
      <w:numFmt w:val="lowerLetter"/>
      <w:start w:val="9"/>
    </w:lvl>
    <w:lvl w:ilvl="1">
      <w:lvlJc w:val="left"/>
      <w:lvlText w:val="%2"/>
      <w:numFmt w:val="lowerLetter"/>
      <w:start w:val="1"/>
    </w:lvl>
  </w:abstractNum>
  <w:abstractNum w:abstractNumId="86">
    <w:nsid w:val="746F2E30"/>
    <w:multiLevelType w:val="hybridMultilevel"/>
    <w:lvl w:ilvl="0">
      <w:lvlJc w:val="left"/>
      <w:lvlText w:val="(%1)"/>
      <w:numFmt w:val="lowerLetter"/>
      <w:start w:val="1"/>
    </w:lvl>
    <w:lvl w:ilvl="1">
      <w:lvlJc w:val="left"/>
      <w:lvlText w:val="(%2)"/>
      <w:numFmt w:val="lowerRoman"/>
      <w:start w:val="1"/>
    </w:lvl>
  </w:abstractNum>
  <w:abstractNum w:abstractNumId="87">
    <w:nsid w:val="6FDE8AF6"/>
    <w:multiLevelType w:val="hybridMultilevel"/>
    <w:lvl w:ilvl="0">
      <w:lvlJc w:val="left"/>
      <w:lvlText w:val="(%1)"/>
      <w:numFmt w:val="lowerLetter"/>
      <w:start w:val="2"/>
    </w:lvl>
  </w:abstractNum>
  <w:abstractNum w:abstractNumId="88">
    <w:nsid w:val="3FC32E20"/>
    <w:multiLevelType w:val="hybridMultilevel"/>
    <w:lvl w:ilvl="0">
      <w:lvlJc w:val="left"/>
      <w:lvlText w:val="(%1)"/>
      <w:numFmt w:val="lowerRoman"/>
      <w:start w:val="1"/>
    </w:lvl>
  </w:abstractNum>
  <w:abstractNum w:abstractNumId="89">
    <w:nsid w:val="49C0E823"/>
    <w:multiLevelType w:val="hybridMultilevel"/>
    <w:lvl w:ilvl="0">
      <w:lvlJc w:val="left"/>
      <w:lvlText w:val="(%1)"/>
      <w:numFmt w:val="lowerLetter"/>
      <w:start w:val="1"/>
    </w:lvl>
  </w:abstractNum>
  <w:abstractNum w:abstractNumId="90">
    <w:nsid w:val="14D53685"/>
    <w:multiLevelType w:val="hybridMultilevel"/>
    <w:lvl w:ilvl="0">
      <w:lvlJc w:val="left"/>
      <w:lvlText w:val="(%1)"/>
      <w:numFmt w:val="lowerLetter"/>
      <w:start w:val="2"/>
    </w:lvl>
  </w:abstractNum>
  <w:abstractNum w:abstractNumId="91">
    <w:nsid w:val="230F856C"/>
    <w:multiLevelType w:val="hybridMultilevel"/>
    <w:lvl w:ilvl="0">
      <w:lvlJc w:val="left"/>
      <w:lvlText w:val="(%1)"/>
      <w:numFmt w:val="lowerLetter"/>
      <w:start w:val="6"/>
    </w:lvl>
    <w:lvl w:ilvl="1">
      <w:lvlJc w:val="left"/>
      <w:lvlText w:val="(%2)"/>
      <w:numFmt w:val="lowerRoman"/>
      <w:start w:val="1"/>
    </w:lvl>
  </w:abstractNum>
  <w:abstractNum w:abstractNumId="92">
    <w:nsid w:val="6EAA85FB"/>
    <w:multiLevelType w:val="hybridMultilevel"/>
    <w:lvl w:ilvl="0">
      <w:lvlJc w:val="left"/>
      <w:lvlText w:val="(%1)"/>
      <w:numFmt w:val="upperLetter"/>
      <w:start w:val="1"/>
    </w:lvl>
    <w:lvl w:ilvl="1">
      <w:lvlJc w:val="left"/>
      <w:lvlText w:val="%2."/>
      <w:numFmt w:val="decimal"/>
      <w:start w:val="1"/>
    </w:lvl>
  </w:abstractNum>
  <w:abstractNum w:abstractNumId="93">
    <w:nsid w:val="3F06ECB2"/>
    <w:multiLevelType w:val="hybridMultilevel"/>
    <w:lvl w:ilvl="0">
      <w:lvlJc w:val="left"/>
      <w:lvlText w:val="%1"/>
      <w:numFmt w:val="upperLetter"/>
      <w:start w:val="1"/>
    </w:lvl>
    <w:lvl w:ilvl="1">
      <w:lvlJc w:val="left"/>
      <w:lvlText w:val="%2."/>
      <w:numFmt w:val="decimal"/>
      <w:start w:val="4"/>
    </w:lvl>
  </w:abstractNum>
  <w:abstractNum w:abstractNumId="94">
    <w:nsid w:val="3B594807"/>
    <w:multiLevelType w:val="hybridMultilevel"/>
    <w:lvl w:ilvl="0">
      <w:lvlJc w:val="left"/>
      <w:lvlText w:val="(%1)"/>
      <w:numFmt w:val="upperLetter"/>
      <w:start w:val="3"/>
    </w:lvl>
    <w:lvl w:ilvl="1">
      <w:lvlJc w:val="left"/>
      <w:lvlText w:val="%2"/>
      <w:numFmt w:val="decimal"/>
      <w:start w:val="1"/>
    </w:lvl>
  </w:abstractNum>
  <w:abstractNum w:abstractNumId="95">
    <w:nsid w:val="6CAA2304"/>
    <w:multiLevelType w:val="hybridMultilevel"/>
    <w:lvl w:ilvl="0">
      <w:lvlJc w:val="left"/>
      <w:lvlText w:val="%1"/>
      <w:numFmt w:val="lowerRoman"/>
      <w:start w:val="1"/>
    </w:lvl>
    <w:lvl w:ilvl="1">
      <w:lvlJc w:val="left"/>
      <w:lvlText w:val="(%2)"/>
      <w:numFmt w:val="upperLetter"/>
      <w:start w:val="4"/>
    </w:lvl>
  </w:abstractNum>
  <w:abstractNum w:abstractNumId="96">
    <w:nsid w:val="3F7C2FF4"/>
    <w:multiLevelType w:val="hybridMultilevel"/>
    <w:lvl w:ilvl="0">
      <w:lvlJc w:val="left"/>
      <w:lvlText w:val="(%1)"/>
      <w:numFmt w:val="lowerRoman"/>
      <w:start w:val="1"/>
    </w:lvl>
    <w:lvl w:ilvl="1">
      <w:lvlJc w:val="left"/>
      <w:lvlText w:val="%2"/>
      <w:numFmt w:val="upperLetter"/>
      <w:start w:val="1"/>
    </w:lvl>
  </w:abstractNum>
  <w:abstractNum w:abstractNumId="97">
    <w:nsid w:val="25413BEC"/>
    <w:multiLevelType w:val="hybridMultilevel"/>
    <w:lvl w:ilvl="0">
      <w:lvlJc w:val="left"/>
      <w:lvlText w:val="(%1)"/>
      <w:numFmt w:val="lowerLetter"/>
      <w:start w:val="7"/>
    </w:lvl>
  </w:abstractNum>
  <w:abstractNum w:abstractNumId="98">
    <w:nsid w:val="17180B0B"/>
    <w:multiLevelType w:val="hybridMultilevel"/>
    <w:lvl w:ilvl="0">
      <w:lvlJc w:val="left"/>
      <w:lvlText w:val="%1"/>
      <w:numFmt w:val="lowerRoman"/>
      <w:start w:val="1"/>
    </w:lvl>
    <w:lvl w:ilvl="1">
      <w:lvlJc w:val="left"/>
      <w:lvlText w:val="(%2)"/>
      <w:numFmt w:val="lowerLetter"/>
      <w:start w:val="1"/>
    </w:lvl>
  </w:abstractNum>
  <w:abstractNum w:abstractNumId="99">
    <w:nsid w:val="579328B9"/>
    <w:multiLevelType w:val="hybridMultilevel"/>
    <w:lvl w:ilvl="0">
      <w:lvlJc w:val="left"/>
      <w:lvlText w:val="(%1)"/>
      <w:numFmt w:val="lowerRoman"/>
      <w:start w:val="1"/>
    </w:lvl>
    <w:lvl w:ilvl="1">
      <w:lvlJc w:val="left"/>
      <w:lvlText w:val="%2"/>
      <w:numFmt w:val="lowerLetter"/>
      <w:start w:val="1"/>
    </w:lvl>
  </w:abstractNum>
  <w:abstractNum w:abstractNumId="100">
    <w:nsid w:val="5D205E20"/>
    <w:multiLevelType w:val="hybridMultilevel"/>
    <w:lvl w:ilvl="0">
      <w:lvlJc w:val="left"/>
      <w:lvlText w:val="(%1)"/>
      <w:numFmt w:val="lowerLetter"/>
      <w:start w:val="2"/>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Letter"/>
      <w:start w:val="1"/>
    </w:lvl>
  </w:abstractNum>
  <w:abstractNum w:abstractNumId="103">
    <w:nsid w:val="3F07ACC3"/>
    <w:multiLevelType w:val="hybridMultilevel"/>
    <w:lvl w:ilvl="0">
      <w:lvlJc w:val="left"/>
      <w:lvlText w:val="(%1)"/>
      <w:numFmt w:val="lowerLetter"/>
      <w:start w:val="1"/>
    </w:lvl>
  </w:abstractNum>
  <w:abstractNum w:abstractNumId="104">
    <w:nsid w:val="6B47F63E"/>
    <w:multiLevelType w:val="hybridMultilevel"/>
    <w:lvl w:ilvl="0">
      <w:lvlJc w:val="left"/>
      <w:lvlText w:val="(%1)"/>
      <w:numFmt w:val="lowerLetter"/>
      <w:start w:val="1"/>
    </w:lvl>
  </w:abstractNum>
  <w:abstractNum w:abstractNumId="105">
    <w:nsid w:val="5CB44A05"/>
    <w:multiLevelType w:val="hybridMultilevel"/>
    <w:lvl w:ilvl="0">
      <w:lvlJc w:val="left"/>
      <w:lvlText w:val="(%1)"/>
      <w:numFmt w:val="lowerLetter"/>
      <w:start w:val="1"/>
    </w:lvl>
  </w:abstractNum>
  <w:abstractNum w:abstractNumId="106">
    <w:nsid w:val="16CF80F1"/>
    <w:multiLevelType w:val="hybridMultilevel"/>
    <w:lvl w:ilvl="0">
      <w:lvlJc w:val="left"/>
      <w:lvlText w:val="%1"/>
      <w:numFmt w:val="lowerLetter"/>
      <w:start w:val="1"/>
    </w:lvl>
    <w:lvl w:ilvl="1">
      <w:lvlJc w:val="left"/>
      <w:lvlText w:val="(%2)"/>
      <w:numFmt w:val="lowerLetter"/>
      <w:start w:val="4"/>
    </w:lvl>
  </w:abstractNum>
  <w:abstractNum w:abstractNumId="107">
    <w:nsid w:val="1C695DEC"/>
    <w:multiLevelType w:val="hybridMultilevel"/>
    <w:lvl w:ilvl="0">
      <w:lvlJc w:val="left"/>
      <w:lvlText w:val="(%1)"/>
      <w:numFmt w:val="lowerLetter"/>
      <w:start w:val="35"/>
    </w:lvl>
    <w:lvl w:ilvl="1">
      <w:lvlJc w:val="left"/>
      <w:lvlText w:val="(%2)"/>
      <w:numFmt w:val="lowerLetter"/>
      <w:start w:val="9"/>
    </w:lvl>
  </w:abstractNum>
  <w:abstractNum w:abstractNumId="108">
    <w:nsid w:val="3FCFAED9"/>
    <w:multiLevelType w:val="hybridMultilevel"/>
    <w:lvl w:ilvl="0">
      <w:lvlJc w:val="left"/>
      <w:lvlText w:val="(%1)"/>
      <w:numFmt w:val="lowerLetter"/>
      <w:start w:val="1"/>
    </w:lvl>
  </w:abstractNum>
  <w:abstractNum w:abstractNumId="109">
    <w:nsid w:val="F856867"/>
    <w:multiLevelType w:val="hybridMultilevel"/>
    <w:lvl w:ilvl="0">
      <w:lvlJc w:val="left"/>
      <w:lvlText w:val="(%1)"/>
      <w:numFmt w:val="lowerLetter"/>
      <w:start w:val="1"/>
    </w:lvl>
  </w:abstractNum>
  <w:abstractNum w:abstractNumId="110">
    <w:nsid w:val="11B1CC33"/>
    <w:multiLevelType w:val="hybridMultilevel"/>
    <w:lvl w:ilvl="0">
      <w:lvlJc w:val="left"/>
      <w:lvlText w:val="(%1)"/>
      <w:numFmt w:val="lowerLetter"/>
      <w:start w:val="3"/>
    </w:lvl>
  </w:abstractNum>
  <w:abstractNum w:abstractNumId="111">
    <w:nsid w:val="2E22FBB7"/>
    <w:multiLevelType w:val="hybridMultilevel"/>
    <w:lvl w:ilvl="0">
      <w:lvlJc w:val="left"/>
      <w:lvlText w:val="(%1)"/>
      <w:numFmt w:val="lowerLetter"/>
      <w:start w:val="1"/>
    </w:lvl>
  </w:abstractNum>
  <w:abstractNum w:abstractNumId="112">
    <w:nsid w:val="29934699"/>
    <w:multiLevelType w:val="hybridMultilevel"/>
    <w:lvl w:ilvl="0">
      <w:lvlJc w:val="left"/>
      <w:lvlText w:val="(%1)"/>
      <w:numFmt w:val="lowerLetter"/>
      <w:start w:val="1"/>
    </w:lvl>
  </w:abstractNum>
  <w:abstractNum w:abstractNumId="113">
    <w:nsid w:val="77485850"/>
    <w:multiLevelType w:val="hybridMultilevel"/>
    <w:lvl w:ilvl="0">
      <w:lvlJc w:val="left"/>
      <w:lvlText w:val="(%1)"/>
      <w:numFmt w:val="lowerLetter"/>
      <w:start w:val="7"/>
    </w:lvl>
  </w:abstractNum>
  <w:abstractNum w:abstractNumId="114">
    <w:nsid w:val="744939A3"/>
    <w:multiLevelType w:val="hybridMultilevel"/>
    <w:lvl w:ilvl="0">
      <w:lvlJc w:val="left"/>
      <w:lvlText w:val="(%1)"/>
      <w:numFmt w:val="lowerLetter"/>
      <w:start w:val="1"/>
    </w:lvl>
  </w:abstractNum>
  <w:abstractNum w:abstractNumId="115">
    <w:nsid w:val="4FA0D2E3"/>
    <w:multiLevelType w:val="hybridMultilevel"/>
    <w:lvl w:ilvl="0">
      <w:lvlJc w:val="left"/>
      <w:lvlText w:val="(%1)"/>
      <w:numFmt w:val="lowerLetter"/>
      <w:start w:val="1"/>
    </w:lvl>
  </w:abstractNum>
  <w:abstractNum w:abstractNumId="116">
    <w:nsid w:val="6B1D2C14"/>
    <w:multiLevelType w:val="hybridMultilevel"/>
    <w:lvl w:ilvl="0">
      <w:lvlJc w:val="left"/>
      <w:lvlText w:val="%1"/>
      <w:numFmt w:val="lowerRoman"/>
      <w:start w:val="1"/>
    </w:lvl>
    <w:lvl w:ilvl="1">
      <w:lvlJc w:val="left"/>
      <w:lvlText w:val="(%2)"/>
      <w:numFmt w:val="lowerLetter"/>
      <w:start w:val="2"/>
    </w:lvl>
  </w:abstractNum>
  <w:abstractNum w:abstractNumId="117">
    <w:nsid w:val="68B867D3"/>
    <w:multiLevelType w:val="hybridMultilevel"/>
    <w:lvl w:ilvl="0">
      <w:lvlJc w:val="left"/>
      <w:lvlText w:val="(%1)"/>
      <w:numFmt w:val="lowerRoman"/>
      <w:start w:val="4"/>
    </w:lvl>
    <w:lvl w:ilvl="1">
      <w:lvlJc w:val="left"/>
      <w:lvlText w:val="(%2)"/>
      <w:numFmt w:val="lowerLetter"/>
      <w:start w:val="9"/>
    </w:lvl>
  </w:abstractNum>
  <w:abstractNum w:abstractNumId="118">
    <w:nsid w:val="3F7F5DD9"/>
    <w:multiLevelType w:val="hybridMultilevel"/>
    <w:lvl w:ilvl="0">
      <w:lvlJc w:val="left"/>
      <w:lvlText w:val="(%1)"/>
      <w:numFmt w:val="lowerLetter"/>
      <w:start w:val="10"/>
    </w:lvl>
  </w:abstractNum>
  <w:abstractNum w:abstractNumId="119">
    <w:nsid w:val="2AE05A34"/>
    <w:multiLevelType w:val="hybridMultilevel"/>
    <w:lvl w:ilvl="0">
      <w:lvlJc w:val="left"/>
      <w:lvlText w:val="(%1)"/>
      <w:numFmt w:val="lowerLetter"/>
      <w:start w:val="1"/>
    </w:lvl>
  </w:abstractNum>
  <w:abstractNum w:abstractNumId="120">
    <w:nsid w:val="32794FF7"/>
    <w:multiLevelType w:val="hybridMultilevel"/>
    <w:lvl w:ilvl="0">
      <w:lvlJc w:val="left"/>
      <w:lvlText w:val="%1"/>
      <w:numFmt w:val="lowerLetter"/>
      <w:start w:val="1"/>
    </w:lvl>
    <w:lvl w:ilvl="1">
      <w:lvlJc w:val="left"/>
      <w:lvlText w:val="(%2)"/>
      <w:numFmt w:val="lowerRoman"/>
      <w:start w:val="1"/>
    </w:lvl>
  </w:abstractNum>
  <w:abstractNum w:abstractNumId="121">
    <w:nsid w:val="5454945E"/>
    <w:multiLevelType w:val="hybridMultilevel"/>
    <w:lvl w:ilvl="0">
      <w:lvlJc w:val="left"/>
      <w:lvlText w:val="(%1)"/>
      <w:numFmt w:val="lowerLetter"/>
      <w:start w:val="5"/>
    </w:lvl>
    <w:lvl w:ilvl="1">
      <w:lvlJc w:val="left"/>
      <w:lvlText w:val="(%2)"/>
      <w:numFmt w:val="lowerRoman"/>
      <w:start w:val="1"/>
    </w:lvl>
  </w:abstractNum>
  <w:abstractNum w:abstractNumId="122">
    <w:nsid w:val="4DEFDFA0"/>
    <w:multiLevelType w:val="hybridMultilevel"/>
    <w:lvl w:ilvl="0">
      <w:lvlJc w:val="left"/>
      <w:lvlText w:val="(%1)"/>
      <w:numFmt w:val="lowerLetter"/>
      <w:start w:val="8"/>
    </w:lvl>
  </w:abstractNum>
  <w:abstractNum w:abstractNumId="123">
    <w:nsid w:val="2123D5F2"/>
    <w:multiLevelType w:val="hybridMultilevel"/>
    <w:lvl w:ilvl="0">
      <w:lvlJc w:val="left"/>
      <w:lvlText w:val="(%1)"/>
      <w:numFmt w:val="lowerLetter"/>
      <w:start w:val="1"/>
    </w:lvl>
  </w:abstractNum>
  <w:abstractNum w:abstractNumId="124">
    <w:nsid w:val="135B8110"/>
    <w:multiLevelType w:val="hybridMultilevel"/>
    <w:lvl w:ilvl="0">
      <w:lvlJc w:val="left"/>
      <w:lvlText w:val="(%1)"/>
      <w:numFmt w:val="lowerLetter"/>
      <w:start w:val="1"/>
    </w:lvl>
  </w:abstractNum>
  <w:abstractNum w:abstractNumId="125">
    <w:nsid w:val="94927A8"/>
    <w:multiLevelType w:val="hybridMultilevel"/>
    <w:lvl w:ilvl="0">
      <w:lvlJc w:val="left"/>
      <w:lvlText w:val="(%1)"/>
      <w:numFmt w:val="lowerLetter"/>
      <w:start w:val="4"/>
    </w:lvl>
  </w:abstractNum>
  <w:abstractNum w:abstractNumId="126">
    <w:nsid w:val="DCDF8F6"/>
    <w:multiLevelType w:val="hybridMultilevel"/>
    <w:lvl w:ilvl="0">
      <w:lvlJc w:val="left"/>
      <w:lvlText w:val="(%1)"/>
      <w:numFmt w:val="lowerLetter"/>
      <w:start w:val="6"/>
    </w:lvl>
  </w:abstractNum>
  <w:abstractNum w:abstractNumId="127">
    <w:nsid w:val="52D7B105"/>
    <w:multiLevelType w:val="hybridMultilevel"/>
    <w:lvl w:ilvl="0">
      <w:lvlJc w:val="left"/>
      <w:lvlText w:val="(%1)"/>
      <w:numFmt w:val="lowerLetter"/>
      <w:start w:val="1"/>
    </w:lvl>
  </w:abstractNum>
  <w:abstractNum w:abstractNumId="128">
    <w:nsid w:val="2E8A6394"/>
    <w:multiLevelType w:val="hybridMultilevel"/>
    <w:lvl w:ilvl="0">
      <w:lvlJc w:val="left"/>
      <w:lvlText w:val="%1"/>
      <w:numFmt w:val="lowerLetter"/>
      <w:start w:val="1"/>
    </w:lvl>
    <w:lvl w:ilvl="1">
      <w:lvlJc w:val="left"/>
      <w:lvlText w:val="(%2)"/>
      <w:numFmt w:val="lowerLetter"/>
      <w:start w:val="1"/>
    </w:lvl>
  </w:abstractNum>
  <w:abstractNum w:abstractNumId="129">
    <w:nsid w:val="24E60401"/>
    <w:multiLevelType w:val="hybridMultilevel"/>
    <w:lvl w:ilvl="0">
      <w:lvlJc w:val="left"/>
      <w:lvlText w:val="(%1)"/>
      <w:numFmt w:val="lowerLetter"/>
      <w:start w:val="2"/>
    </w:lvl>
    <w:lvl w:ilvl="1">
      <w:lvlJc w:val="left"/>
      <w:lvlText w:val="%2"/>
      <w:numFmt w:val="lowerLetter"/>
      <w:start w:val="1"/>
    </w:lvl>
  </w:abstractNum>
  <w:abstractNum w:abstractNumId="130">
    <w:nsid w:val="2A6AD9BE"/>
    <w:multiLevelType w:val="hybridMultilevel"/>
    <w:lvl w:ilvl="0">
      <w:lvlJc w:val="left"/>
      <w:lvlText w:val="(%1)"/>
      <w:numFmt w:val="lowerRoman"/>
      <w:start w:val="1"/>
    </w:lvl>
  </w:abstractNum>
  <w:abstractNum w:abstractNumId="131">
    <w:nsid w:val="BAAC1B4"/>
    <w:multiLevelType w:val="hybridMultilevel"/>
    <w:lvl w:ilvl="0">
      <w:lvlJc w:val="left"/>
      <w:lvlText w:val="(%1)"/>
      <w:numFmt w:val="lowerLetter"/>
      <w:start w:val="2"/>
    </w:lvl>
  </w:abstractNum>
  <w:abstractNum w:abstractNumId="132">
    <w:nsid w:val="36B2AC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779D8544"/>
    <w:multiLevelType w:val="hybridMultilevel"/>
    <w:lvl w:ilvl="0">
      <w:lvlJc w:val="left"/>
      <w:lvlText w:val="(%1)"/>
      <w:numFmt w:val="lowerRoman"/>
      <w:start w:val="3"/>
    </w:lvl>
  </w:abstractNum>
  <w:abstractNum w:abstractNumId="134">
    <w:nsid w:val="4AB26E78"/>
    <w:multiLevelType w:val="hybridMultilevel"/>
    <w:lvl w:ilvl="0">
      <w:lvlJc w:val="left"/>
      <w:lvlText w:val="(%1)"/>
      <w:numFmt w:val="lowerLetter"/>
      <w:start w:val="2"/>
    </w:lvl>
  </w:abstractNum>
  <w:abstractNum w:abstractNumId="135">
    <w:nsid w:val="21FAA2FA"/>
    <w:multiLevelType w:val="hybridMultilevel"/>
    <w:lvl w:ilvl="0">
      <w:lvlJc w:val="left"/>
      <w:lvlText w:val="(%1)"/>
      <w:numFmt w:val="lowerLetter"/>
      <w:start w:val="3"/>
    </w:lvl>
  </w:abstractNum>
  <w:abstractNum w:abstractNumId="136">
    <w:nsid w:val="5451CF49"/>
    <w:multiLevelType w:val="hybridMultilevel"/>
    <w:lvl w:ilvl="0">
      <w:lvlJc w:val="left"/>
      <w:lvlText w:val="(%1)"/>
      <w:numFmt w:val="lowerLetter"/>
      <w:start w:val="1"/>
    </w:lvl>
  </w:abstractNum>
  <w:abstractNum w:abstractNumId="137">
    <w:nsid w:val="6181EF69"/>
    <w:multiLevelType w:val="hybridMultilevel"/>
    <w:lvl w:ilvl="0">
      <w:lvlJc w:val="left"/>
      <w:lvlText w:val="%1"/>
      <w:numFmt w:val="lowerLetter"/>
      <w:start w:val="1"/>
    </w:lvl>
    <w:lvl w:ilvl="1">
      <w:lvlJc w:val="left"/>
      <w:lvlText w:val="(%2)"/>
      <w:numFmt w:val="lowerLetter"/>
      <w:start w:val="1"/>
    </w:lvl>
  </w:abstractNum>
  <w:abstractNum w:abstractNumId="138">
    <w:nsid w:val="3E6400E6"/>
    <w:multiLevelType w:val="hybridMultilevel"/>
    <w:lvl w:ilvl="0">
      <w:lvlJc w:val="left"/>
      <w:lvlText w:val="(%1)"/>
      <w:numFmt w:val="lowerLetter"/>
      <w:start w:val="35"/>
    </w:lvl>
    <w:lvl w:ilvl="1">
      <w:lvlJc w:val="left"/>
      <w:lvlText w:val="(%2)"/>
      <w:numFmt w:val="lowerLetter"/>
      <w:start w:val="2"/>
    </w:lvl>
  </w:abstractNum>
  <w:abstractNum w:abstractNumId="139">
    <w:nsid w:val="14217E23"/>
    <w:multiLevelType w:val="hybridMultilevel"/>
    <w:lvl w:ilvl="0">
      <w:lvlJc w:val="left"/>
      <w:lvlText w:val="(%1)"/>
      <w:numFmt w:val="lowerLetter"/>
      <w:start w:val="4"/>
    </w:lvl>
  </w:abstractNum>
  <w:abstractNum w:abstractNumId="140">
    <w:nsid w:val="710757D0"/>
    <w:multiLevelType w:val="hybridMultilevel"/>
    <w:lvl w:ilvl="0">
      <w:lvlJc w:val="left"/>
      <w:lvlText w:val="%1"/>
      <w:numFmt w:val="lowerLetter"/>
      <w:start w:val="1"/>
    </w:lvl>
    <w:lvl w:ilvl="1">
      <w:lvlJc w:val="left"/>
      <w:lvlText w:val="(%2)"/>
      <w:numFmt w:val="lowerLetter"/>
      <w:start w:val="1"/>
    </w:lvl>
  </w:abstractNum>
  <w:abstractNum w:abstractNumId="141">
    <w:nsid w:val="5015CD1A"/>
    <w:multiLevelType w:val="hybridMultilevel"/>
    <w:lvl w:ilvl="0">
      <w:lvlJc w:val="left"/>
      <w:lvlText w:val="(%1)"/>
      <w:numFmt w:val="lowerLetter"/>
      <w:start w:val="2"/>
    </w:lvl>
    <w:lvl w:ilvl="1">
      <w:lvlJc w:val="left"/>
      <w:lvlText w:val="(%2)"/>
      <w:numFmt w:val="lowerLetter"/>
      <w:start w:val="2"/>
    </w:lvl>
  </w:abstractNum>
  <w:abstractNum w:abstractNumId="142">
    <w:nsid w:val="424479DA"/>
    <w:multiLevelType w:val="hybridMultilevel"/>
    <w:lvl w:ilvl="0">
      <w:lvlJc w:val="left"/>
      <w:lvlText w:val="(%1)"/>
      <w:numFmt w:val="upperLetter"/>
      <w:start w:val="1"/>
    </w:lvl>
  </w:abstractNum>
  <w:abstractNum w:abstractNumId="143">
    <w:nsid w:val="1A9A9E69"/>
    <w:multiLevelType w:val="hybridMultilevel"/>
    <w:lvl w:ilvl="0">
      <w:lvlJc w:val="left"/>
      <w:lvlText w:val="(%1)"/>
      <w:numFmt w:val="lowerRoman"/>
      <w:start w:val="2"/>
    </w:lvl>
  </w:abstractNum>
  <w:abstractNum w:abstractNumId="144">
    <w:nsid w:val="475E256A"/>
    <w:multiLevelType w:val="hybridMultilevel"/>
    <w:lvl w:ilvl="0">
      <w:lvlJc w:val="left"/>
      <w:lvlText w:val="(%1)"/>
      <w:numFmt w:val="upperLetter"/>
      <w:start w:val="1"/>
    </w:lvl>
  </w:abstractNum>
  <w:abstractNum w:abstractNumId="145">
    <w:nsid w:val="368DB37E"/>
    <w:multiLevelType w:val="hybridMultilevel"/>
    <w:lvl w:ilvl="0">
      <w:lvlJc w:val="left"/>
      <w:lvlText w:val="(%1)"/>
      <w:numFmt w:val="lowerRoman"/>
      <w:start w:val="4"/>
    </w:lvl>
  </w:abstractNum>
  <w:abstractNum w:abstractNumId="146">
    <w:nsid w:val="6A3B714C"/>
    <w:multiLevelType w:val="hybridMultilevel"/>
    <w:lvl w:ilvl="0">
      <w:lvlJc w:val="left"/>
      <w:lvlText w:val="(%1)"/>
      <w:numFmt w:val="lowerLetter"/>
      <w:start w:val="3"/>
    </w:lvl>
    <w:lvl w:ilvl="1">
      <w:lvlJc w:val="left"/>
      <w:lvlText w:val="(%2)"/>
      <w:numFmt w:val="lowerLetter"/>
      <w:start w:val="9"/>
    </w:lvl>
  </w:abstractNum>
  <w:abstractNum w:abstractNumId="147">
    <w:nsid w:val="327B517E"/>
    <w:multiLevelType w:val="hybridMultilevel"/>
    <w:lvl w:ilvl="0">
      <w:lvlJc w:val="left"/>
      <w:lvlText w:val="%1"/>
      <w:numFmt w:val="lowerLetter"/>
      <w:start w:val="1"/>
    </w:lvl>
    <w:lvl w:ilvl="1">
      <w:lvlJc w:val="left"/>
      <w:lvlText w:val="(%2)"/>
      <w:numFmt w:val="lowerLetter"/>
      <w:start w:val="35"/>
    </w:lvl>
  </w:abstractNum>
  <w:abstractNum w:abstractNumId="148">
    <w:nsid w:val="1F461B51"/>
    <w:multiLevelType w:val="hybridMultilevel"/>
    <w:lvl w:ilvl="0">
      <w:lvlJc w:val="left"/>
      <w:lvlText w:val="(%1)"/>
      <w:numFmt w:val="lowerLetter"/>
      <w:start w:val="4"/>
    </w:lvl>
    <w:lvl w:ilvl="1">
      <w:lvlJc w:val="left"/>
      <w:lvlText w:val="%2"/>
      <w:numFmt w:val="lowerLetter"/>
      <w:start w:val="1"/>
    </w:lvl>
  </w:abstractNum>
  <w:abstractNum w:abstractNumId="149">
    <w:nsid w:val="29BACF25"/>
    <w:multiLevelType w:val="hybridMultilevel"/>
    <w:lvl w:ilvl="0">
      <w:lvlJc w:val="left"/>
      <w:lvlText w:val="(%1)"/>
      <w:numFmt w:val="lowerLetter"/>
      <w:start w:val="25"/>
    </w:lvl>
  </w:abstractNum>
  <w:abstractNum w:abstractNumId="150">
    <w:nsid w:val="5D5BABB3"/>
    <w:multiLevelType w:val="hybridMultilevel"/>
    <w:lvl w:ilvl="0">
      <w:lvlJc w:val="left"/>
      <w:lvlText w:val="(%1)"/>
      <w:numFmt w:val="lowerLetter"/>
      <w:start w:val="5"/>
    </w:lvl>
  </w:abstractNum>
  <w:abstractNum w:abstractNumId="151">
    <w:nsid w:val="51BF6B48"/>
    <w:multiLevelType w:val="hybridMultilevel"/>
    <w:lvl w:ilvl="0">
      <w:lvlJc w:val="left"/>
      <w:lvlText w:val="(%1)"/>
      <w:numFmt w:val="lowerLetter"/>
      <w:start w:val="1"/>
    </w:lvl>
  </w:abstractNum>
  <w:abstractNum w:abstractNumId="152">
    <w:nsid w:val="7E0F6384"/>
    <w:multiLevelType w:val="hybridMultilevel"/>
    <w:lvl w:ilvl="0">
      <w:lvlJc w:val="left"/>
      <w:lvlText w:val="(%1)"/>
      <w:numFmt w:val="lowerLetter"/>
      <w:start w:val="1"/>
    </w:lvl>
  </w:abstractNum>
  <w:abstractNum w:abstractNumId="153">
    <w:nsid w:val="2B4B8B53"/>
    <w:multiLevelType w:val="hybridMultilevel"/>
    <w:lvl w:ilvl="0">
      <w:lvlJc w:val="left"/>
      <w:lvlText w:val="(%1)"/>
      <w:numFmt w:val="lowerLetter"/>
      <w:start w:val="2"/>
    </w:lvl>
  </w:abstractNum>
  <w:abstractNum w:abstractNumId="154">
    <w:nsid w:val="72E3413A"/>
    <w:multiLevelType w:val="hybridMultilevel"/>
    <w:lvl w:ilvl="0">
      <w:lvlJc w:val="left"/>
      <w:lvlText w:val="(%1)"/>
      <w:numFmt w:val="lowerLetter"/>
      <w:start w:val="1"/>
    </w:lvl>
  </w:abstractNum>
  <w:abstractNum w:abstractNumId="155">
    <w:nsid w:val="116AE494"/>
    <w:multiLevelType w:val="hybridMultilevel"/>
    <w:lvl w:ilvl="0">
      <w:lvlJc w:val="left"/>
      <w:lvlText w:val="(%1)"/>
      <w:numFmt w:val="lowerLetter"/>
      <w:start w:val="3"/>
    </w:lvl>
  </w:abstractNum>
  <w:abstractNum w:abstractNumId="156">
    <w:nsid w:val="3494B2FB"/>
    <w:multiLevelType w:val="hybridMultilevel"/>
    <w:lvl w:ilvl="0">
      <w:lvlJc w:val="left"/>
      <w:lvlText w:val="(%1)"/>
      <w:numFmt w:val="lowerLetter"/>
      <w:start w:val="1"/>
    </w:lvl>
    <w:lvl w:ilvl="1">
      <w:lvlJc w:val="left"/>
      <w:lvlText w:val="(%2)"/>
      <w:numFmt w:val="lowerRoman"/>
      <w:start w:val="1"/>
    </w:lvl>
  </w:abstractNum>
  <w:abstractNum w:abstractNumId="157">
    <w:nsid w:val="B13A31"/>
    <w:multiLevelType w:val="hybridMultilevel"/>
    <w:lvl w:ilvl="0">
      <w:lvlJc w:val="left"/>
      <w:lvlText w:val="(%1)"/>
      <w:numFmt w:val="lowerLetter"/>
      <w:start w:val="1"/>
    </w:lvl>
  </w:abstractNum>
  <w:abstractNum w:abstractNumId="158">
    <w:nsid w:val="64429599"/>
    <w:multiLevelType w:val="hybridMultilevel"/>
    <w:lvl w:ilvl="0">
      <w:lvlJc w:val="left"/>
      <w:lvlText w:val="%1."/>
      <w:numFmt w:val="decimal"/>
      <w:start w:val="1"/>
    </w:lvl>
  </w:abstractNum>
  <w:abstractNum w:abstractNumId="159">
    <w:nsid w:val="631F1690"/>
    <w:multiLevelType w:val="hybridMultilevel"/>
    <w:lvl w:ilvl="0">
      <w:lvlJc w:val="left"/>
      <w:lvlText w:val="%1."/>
      <w:numFmt w:val="decimal"/>
      <w:start w:val="3"/>
    </w:lvl>
  </w:abstractNum>
  <w:abstractNum w:abstractNumId="160">
    <w:nsid w:val="25973E32"/>
    <w:multiLevelType w:val="hybridMultilevel"/>
    <w:lvl w:ilvl="0">
      <w:lvlJc w:val="left"/>
      <w:lvlText w:val="%1."/>
      <w:numFmt w:val="decimal"/>
      <w:start w:val="7"/>
    </w:lvl>
  </w:abstractNum>
  <w:abstractNum w:abstractNumId="161">
    <w:nsid w:val="EAD6F57"/>
    <w:multiLevelType w:val="hybridMultilevel"/>
    <w:lvl w:ilvl="0">
      <w:lvlJc w:val="left"/>
      <w:lvlText w:val="%1."/>
      <w:numFmt w:val="decimal"/>
      <w:start w:val="1"/>
    </w:lvl>
  </w:abstractNum>
  <w:abstractNum w:abstractNumId="162">
    <w:nsid w:val="6EC9D844"/>
    <w:multiLevelType w:val="hybridMultilevel"/>
    <w:lvl w:ilvl="0">
      <w:lvlJc w:val="left"/>
      <w:lvlText w:val="(%1)"/>
      <w:numFmt w:val="lowerLetter"/>
      <w:start w:val="2"/>
    </w:lvl>
    <w:lvl w:ilvl="1">
      <w:lvlJc w:val="left"/>
      <w:lvlText w:val="%2."/>
      <w:numFmt w:val="decimal"/>
      <w:start w:val="2"/>
    </w:lvl>
  </w:abstractNum>
  <w:abstractNum w:abstractNumId="163">
    <w:nsid w:val="5C49EAEE"/>
    <w:multiLevelType w:val="hybridMultilevel"/>
    <w:lvl w:ilvl="0">
      <w:lvlJc w:val="left"/>
      <w:lvlText w:val="%1."/>
      <w:numFmt w:val="decimal"/>
      <w:start w:val="1"/>
    </w:lvl>
  </w:abstractNum>
  <w:abstractNum w:abstractNumId="164">
    <w:nsid w:val="64AF49B"/>
    <w:multiLevelType w:val="hybridMultilevel"/>
    <w:lvl w:ilvl="0">
      <w:lvlJc w:val="left"/>
      <w:lvlText w:val="%1."/>
      <w:numFmt w:val="decimal"/>
      <w:start w:val="2"/>
    </w:lvl>
  </w:abstractNum>
  <w:abstractNum w:abstractNumId="165">
    <w:nsid w:val="397C46BC"/>
    <w:multiLevelType w:val="hybridMultilevel"/>
    <w:lvl w:ilvl="0">
      <w:lvlJc w:val="left"/>
      <w:lvlText w:val="%1."/>
      <w:numFmt w:val="decimal"/>
      <w:start w:val="1"/>
    </w:lvl>
  </w:abstractNum>
  <w:abstractNum w:abstractNumId="166">
    <w:nsid w:val="7E448DE9"/>
    <w:multiLevelType w:val="hybridMultilevel"/>
    <w:lvl w:ilvl="0">
      <w:lvlJc w:val="left"/>
      <w:lvlText w:val="%1."/>
      <w:numFmt w:val="decimal"/>
      <w:start w:val="1"/>
    </w:lvl>
  </w:abstractNum>
  <w:abstractNum w:abstractNumId="167">
    <w:nsid w:val="5A9CC3E5"/>
    <w:multiLevelType w:val="hybridMultilevel"/>
    <w:lvl w:ilvl="0">
      <w:lvlJc w:val="left"/>
      <w:lvlText w:val="%1."/>
      <w:numFmt w:val="decimal"/>
      <w:start w:val="3"/>
    </w:lvl>
  </w:abstractNum>
  <w:abstractNum w:abstractNumId="168">
    <w:nsid w:val="1AFE3625"/>
    <w:multiLevelType w:val="hybridMultilevel"/>
    <w:lvl w:ilvl="0">
      <w:lvlJc w:val="left"/>
      <w:lvlText w:val="%1."/>
      <w:numFmt w:val="decimal"/>
      <w:start w:val="4"/>
    </w:lvl>
  </w:abstractNum>
  <w:abstractNum w:abstractNumId="169">
    <w:nsid w:val="3CA88ECF"/>
    <w:multiLevelType w:val="hybridMultilevel"/>
    <w:lvl w:ilvl="0">
      <w:lvlJc w:val="left"/>
      <w:lvlText w:val="(%1)"/>
      <w:numFmt w:val="lowerRoman"/>
      <w:start w:val="2"/>
    </w:lvl>
  </w:abstractNum>
  <w:abstractNum w:abstractNumId="170">
    <w:nsid w:val="6EBE4208"/>
    <w:multiLevelType w:val="hybridMultilevel"/>
    <w:lvl w:ilvl="0">
      <w:lvlJc w:val="left"/>
      <w:lvlText w:val="(%1)"/>
      <w:numFmt w:val="lowerRoman"/>
      <w:start w:val="2"/>
    </w:lvl>
  </w:abstractNum>
  <w:abstractNum w:abstractNumId="171">
    <w:nsid w:val="C058DF5"/>
    <w:multiLevelType w:val="hybridMultilevel"/>
    <w:lvl w:ilvl="0">
      <w:lvlJc w:val="left"/>
      <w:lvlText w:val="(%1)"/>
      <w:numFmt w:val="lowerLetter"/>
      <w:start w:val="1"/>
    </w:lvl>
  </w:abstractNum>
  <w:abstractNum w:abstractNumId="172">
    <w:nsid w:val="CBE5BE9"/>
    <w:multiLevelType w:val="hybridMultilevel"/>
    <w:lvl w:ilvl="0">
      <w:lvlJc w:val="left"/>
      <w:lvlText w:val="(%1)"/>
      <w:numFmt w:val="lowerLetter"/>
      <w:start w:val="1"/>
    </w:lvl>
  </w:abstractNum>
  <w:abstractNum w:abstractNumId="173">
    <w:nsid w:val="3102BBE2"/>
    <w:multiLevelType w:val="hybridMultilevel"/>
    <w:lvl w:ilvl="0">
      <w:lvlJc w:val="left"/>
      <w:lvlText w:val="(%1)"/>
      <w:numFmt w:val="lowerLetter"/>
      <w:start w:val="3"/>
    </w:lvl>
  </w:abstractNum>
  <w:abstractNum w:abstractNumId="174">
    <w:nsid w:val="26A02C5E"/>
    <w:multiLevelType w:val="hybridMultilevel"/>
    <w:lvl w:ilvl="0">
      <w:lvlJc w:val="left"/>
      <w:lvlText w:val="(%1)"/>
      <w:numFmt w:val="lowerLetter"/>
      <w:start w:val="1"/>
    </w:lvl>
  </w:abstractNum>
  <w:abstractNum w:abstractNumId="175">
    <w:nsid w:val="541C8153"/>
    <w:multiLevelType w:val="hybridMultilevel"/>
    <w:lvl w:ilvl="0">
      <w:lvlJc w:val="left"/>
      <w:lvlText w:val="(%1)"/>
      <w:numFmt w:val="lowerLetter"/>
      <w:start w:val="1"/>
    </w:lvl>
  </w:abstractNum>
  <w:abstractNum w:abstractNumId="176">
    <w:nsid w:val="67906F60"/>
    <w:multiLevelType w:val="hybridMultilevel"/>
    <w:lvl w:ilvl="0">
      <w:lvlJc w:val="left"/>
      <w:lvlText w:val="(%1)"/>
      <w:numFmt w:val="lowerRoman"/>
      <w:start w:val="1"/>
    </w:lvl>
  </w:abstractNum>
  <w:abstractNum w:abstractNumId="177">
    <w:nsid w:val="10DB9DAA"/>
    <w:multiLevelType w:val="hybridMultilevel"/>
    <w:lvl w:ilvl="0">
      <w:lvlJc w:val="left"/>
      <w:lvlText w:val="(%1)"/>
      <w:numFmt w:val="lowerRoman"/>
      <w:start w:val="2"/>
    </w:lvl>
    <w:lvl w:ilvl="1">
      <w:lvlJc w:val="left"/>
      <w:lvlText w:val="(%2)"/>
      <w:numFmt w:val="decimal"/>
      <w:start w:val="12"/>
    </w:lvl>
  </w:abstractNum>
  <w:abstractNum w:abstractNumId="178">
    <w:nsid w:val="697D2D2"/>
    <w:multiLevelType w:val="hybridMultilevel"/>
    <w:lvl w:ilvl="0">
      <w:lvlJc w:val="left"/>
      <w:lvlText w:val="(%1)"/>
      <w:numFmt w:val="lowerRoman"/>
      <w:start w:val="1"/>
    </w:lvl>
  </w:abstractNum>
  <w:abstractNum w:abstractNumId="179">
    <w:nsid w:val="6D68AB2"/>
    <w:multiLevelType w:val="hybridMultilevel"/>
    <w:lvl w:ilvl="0">
      <w:lvlJc w:val="left"/>
      <w:lvlText w:val="(%1)"/>
      <w:numFmt w:val="lowerRoman"/>
      <w:start w:val="2"/>
    </w:lvl>
  </w:abstractNum>
  <w:abstractNum w:abstractNumId="180">
    <w:nsid w:val="3A966CD0"/>
    <w:multiLevelType w:val="hybridMultilevel"/>
    <w:lvl w:ilvl="0">
      <w:lvlJc w:val="left"/>
      <w:lvlText w:val="(%1)"/>
      <w:numFmt w:val="lowerLetter"/>
      <w:start w:val="1"/>
    </w:lvl>
  </w:abstractNum>
  <w:abstractNum w:abstractNumId="181">
    <w:nsid w:val="63F37E85"/>
    <w:multiLevelType w:val="hybridMultilevel"/>
    <w:lvl w:ilvl="0">
      <w:lvlJc w:val="left"/>
      <w:lvlText w:val="%1."/>
      <w:numFmt w:val="decimal"/>
      <w:start w:val="1"/>
    </w:lvl>
  </w:abstractNum>
  <w:abstractNum w:abstractNumId="182">
    <w:nsid w:val="5895F5FA"/>
    <w:multiLevelType w:val="hybridMultilevel"/>
    <w:lvl w:ilvl="0">
      <w:lvlJc w:val="left"/>
      <w:lvlText w:val="%1."/>
      <w:numFmt w:val="decimal"/>
      <w:start w:val="4"/>
    </w:lvl>
  </w:abstractNum>
  <w:abstractNum w:abstractNumId="183">
    <w:nsid w:val="38A5D054"/>
    <w:multiLevelType w:val="hybridMultilevel"/>
    <w:lvl w:ilvl="0">
      <w:lvlJc w:val="left"/>
      <w:lvlText w:val="%1."/>
      <w:numFmt w:val="decimal"/>
      <w:start w:val="6"/>
    </w:lvl>
  </w:abstractNum>
  <w:abstractNum w:abstractNumId="184">
    <w:nsid w:val="F3F09D8"/>
    <w:multiLevelType w:val="hybridMultilevel"/>
    <w:lvl w:ilvl="0">
      <w:lvlJc w:val="left"/>
      <w:lvlText w:val="%1)"/>
      <w:numFmt w:val="lowerLetter"/>
      <w:start w:val="1"/>
    </w:lvl>
  </w:abstractNum>
  <w:abstractNum w:abstractNumId="185">
    <w:nsid w:val="4B793735"/>
    <w:multiLevelType w:val="hybridMultilevel"/>
    <w:lvl w:ilvl="0">
      <w:lvlJc w:val="left"/>
      <w:lvlText w:val="%1)"/>
      <w:numFmt w:val="lowerLetter"/>
      <w:start w:val="4"/>
    </w:lvl>
    <w:lvl w:ilvl="1">
      <w:lvlJc w:val="left"/>
      <w:lvlText w:val="%2."/>
      <w:numFmt w:val="lowerRoman"/>
      <w:start w:val="1"/>
    </w:lvl>
  </w:abstractNum>
  <w:abstractNum w:abstractNumId="186">
    <w:nsid w:val="4A10B4E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187">
    <w:nsid w:val="43D3BCD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88">
    <w:nsid w:val="4C2A7166"/>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89">
    <w:nsid w:val="2E534A82"/>
    <w:multiLevelType w:val="hybridMultilevel"/>
    <w:lvl w:ilvl="0">
      <w:lvlJc w:val="left"/>
      <w:lvlText w:val="%1."/>
      <w:numFmt w:val="decimal"/>
      <w:start w:val="11"/>
    </w:lvl>
  </w:abstractNum>
  <w:abstractNum w:abstractNumId="190">
    <w:nsid w:val="26F2D364"/>
    <w:multiLevelType w:val="hybridMultilevel"/>
    <w:lvl w:ilvl="0">
      <w:lvlJc w:val="left"/>
      <w:lvlText w:val="(%1)"/>
      <w:numFmt w:val="lowerRoman"/>
      <w:start w:val="1"/>
    </w:lvl>
  </w:abstractNum>
  <w:abstractNum w:abstractNumId="191">
    <w:nsid w:val="71C1AF98"/>
    <w:multiLevelType w:val="hybridMultilevel"/>
    <w:lvl w:ilvl="0">
      <w:lvlJc w:val="left"/>
      <w:lvlText w:val="(%1)"/>
      <w:numFmt w:val="lowerRoman"/>
      <w:start w:val="1"/>
    </w:lvl>
  </w:abstractNum>
  <w:abstractNum w:abstractNumId="192">
    <w:nsid w:val="3D00B9D9"/>
    <w:multiLevelType w:val="hybridMultilevel"/>
    <w:lvl w:ilvl="0">
      <w:lvlJc w:val="left"/>
      <w:lvlText w:val="(%1)"/>
      <w:numFmt w:val="decimal"/>
      <w:start w:val="6"/>
    </w:lvl>
  </w:abstractNum>
  <w:abstractNum w:abstractNumId="193">
    <w:nsid w:val="15BCABA8"/>
    <w:multiLevelType w:val="hybridMultilevel"/>
    <w:lvl w:ilvl="0">
      <w:lvlJc w:val="left"/>
      <w:lvlText w:val="%1."/>
      <w:numFmt w:val="decimal"/>
      <w:start w:val="1"/>
    </w:lvl>
  </w:abstractNum>
  <w:abstractNum w:abstractNumId="194">
    <w:nsid w:val="4E0B9A87"/>
    <w:multiLevelType w:val="hybridMultilevel"/>
    <w:lvl w:ilvl="0">
      <w:lvlJc w:val="left"/>
      <w:lvlText w:val="%1."/>
      <w:numFmt w:val="decimal"/>
      <w:start w:val="5"/>
    </w:lvl>
  </w:abstractNum>
  <w:abstractNum w:abstractNumId="195">
    <w:nsid w:val="434BAE75"/>
    <w:multiLevelType w:val="hybridMultilevel"/>
    <w:lvl w:ilvl="0">
      <w:lvlJc w:val="left"/>
      <w:lvlText w:val="%1)"/>
      <w:numFmt w:val="lowerLetter"/>
      <w:start w:val="1"/>
    </w:lvl>
  </w:abstractNum>
  <w:abstractNum w:abstractNumId="196">
    <w:nsid w:val="4F38F265"/>
    <w:multiLevelType w:val="hybridMultilevel"/>
    <w:lvl w:ilvl="0">
      <w:lvlJc w:val="left"/>
      <w:lvlText w:val="%1)"/>
      <w:numFmt w:val="lowerLetter"/>
      <w:start w:val="6"/>
    </w:lvl>
    <w:lvl w:ilvl="1">
      <w:lvlJc w:val="left"/>
      <w:lvlText w:val="%2."/>
      <w:numFmt w:val="lowerRoman"/>
      <w:start w:val="1"/>
    </w:lvl>
  </w:abstractNum>
  <w:abstractNum w:abstractNumId="197">
    <w:nsid w:val="4C50287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198">
    <w:nsid w:val="1DE8725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99">
    <w:nsid w:val="6A37288A"/>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200">
    <w:nsid w:val="8F8B73F"/>
    <w:multiLevelType w:val="hybridMultilevel"/>
    <w:lvl w:ilvl="0">
      <w:lvlJc w:val="left"/>
      <w:lvlText w:val="(%1)"/>
      <w:numFmt w:val="lowerLetter"/>
      <w:start w:val="1"/>
    </w:lvl>
  </w:abstractNum>
  <w:abstractNum w:abstractNumId="201">
    <w:nsid w:val="CA6B462"/>
    <w:multiLevelType w:val="hybridMultilevel"/>
    <w:lvl w:ilvl="0">
      <w:lvlJc w:val="left"/>
      <w:lvlText w:val="(%1)"/>
      <w:numFmt w:val="decimal"/>
      <w:start w:val="1"/>
    </w:lvl>
  </w:abstractNum>
  <w:abstractNum w:abstractNumId="202">
    <w:nsid w:val="763CB680"/>
    <w:multiLevelType w:val="hybridMultilevel"/>
    <w:lvl w:ilvl="0">
      <w:lvlJc w:val="left"/>
      <w:lvlText w:val="%1"/>
      <w:numFmt w:val="decimal"/>
      <w:start w:val="1"/>
    </w:lvl>
    <w:lvl w:ilvl="1">
      <w:lvlJc w:val="left"/>
      <w:lvlText w:val="%2."/>
      <w:numFmt w:val="decimal"/>
      <w:start w:val="1"/>
    </w:lvl>
  </w:abstractNum>
  <w:abstractNum w:abstractNumId="203">
    <w:nsid w:val="15B71329"/>
    <w:multiLevelType w:val="hybridMultilevel"/>
    <w:lvl w:ilvl="0">
      <w:lvlJc w:val="left"/>
      <w:lvlText w:val="%1."/>
      <w:numFmt w:val="decimal"/>
      <w:start w:val="2"/>
    </w:lvl>
    <w:lvl w:ilvl="1">
      <w:lvlJc w:val="left"/>
      <w:lvlText w:val="%2"/>
      <w:numFmt w:val="decimal"/>
      <w:start w:val="1"/>
    </w:lvl>
  </w:abstractNum>
  <w:abstractNum w:abstractNumId="204">
    <w:nsid w:val="3DA97044"/>
    <w:multiLevelType w:val="hybridMultilevel"/>
    <w:lvl w:ilvl="0">
      <w:lvlJc w:val="left"/>
      <w:lvlText w:val="%1."/>
      <w:numFmt w:val="decimal"/>
      <w:start w:val="3"/>
    </w:lvl>
  </w:abstractNum>
  <w:abstractNum w:abstractNumId="205">
    <w:nsid w:val="1CDCE2DE"/>
    <w:multiLevelType w:val="hybridMultilevel"/>
    <w:lvl w:ilvl="0">
      <w:lvlJc w:val="left"/>
      <w:lvlText w:val="%1."/>
      <w:numFmt w:val="decimal"/>
      <w:start w:val="4"/>
    </w:lvl>
  </w:abstractNum>
  <w:abstractNum w:abstractNumId="206">
    <w:nsid w:val="69D3947C"/>
    <w:multiLevelType w:val="hybridMultilevel"/>
    <w:lvl w:ilvl="0">
      <w:lvlJc w:val="left"/>
      <w:lvlText w:val="%1."/>
      <w:numFmt w:val="decimal"/>
      <w:start w:val="5"/>
    </w:lvl>
  </w:abstractNum>
  <w:abstractNum w:abstractNumId="207">
    <w:nsid w:val="2539DFA5"/>
    <w:multiLevelType w:val="hybridMultilevel"/>
    <w:lvl w:ilvl="0">
      <w:lvlJc w:val="left"/>
      <w:lvlText w:val="%1."/>
      <w:numFmt w:val="decimal"/>
      <w:start w:val="6"/>
    </w:lvl>
  </w:abstractNum>
  <w:abstractNum w:abstractNumId="208">
    <w:nsid w:val="2DB88089"/>
    <w:multiLevelType w:val="hybridMultilevel"/>
    <w:lvl w:ilvl="0">
      <w:lvlJc w:val="left"/>
      <w:lvlText w:val="%1."/>
      <w:numFmt w:val="decimal"/>
      <w:start w:val="7"/>
    </w:lvl>
  </w:abstractNum>
  <w:abstractNum w:abstractNumId="209">
    <w:nsid w:val="706B674E"/>
    <w:multiLevelType w:val="hybridMultilevel"/>
    <w:lvl w:ilvl="0">
      <w:lvlJc w:val="left"/>
      <w:lvlText w:val="%1."/>
      <w:numFmt w:val="decimal"/>
      <w:start w:val="8"/>
    </w:lvl>
  </w:abstractNum>
  <w:abstractNum w:abstractNumId="210">
    <w:nsid w:val="2C106A57"/>
    <w:multiLevelType w:val="hybridMultilevel"/>
    <w:lvl w:ilvl="0">
      <w:lvlJc w:val="left"/>
      <w:lvlText w:val="%1."/>
      <w:numFmt w:val="decimal"/>
      <w:start w:val="13"/>
    </w:lvl>
  </w:abstractNum>
  <w:abstractNum w:abstractNumId="211">
    <w:nsid w:val="684EED59"/>
    <w:multiLevelType w:val="hybridMultilevel"/>
    <w:lvl w:ilvl="0">
      <w:lvlJc w:val="left"/>
      <w:lvlText w:val="%1."/>
      <w:numFmt w:val="decimal"/>
      <w:start w:val="16"/>
    </w:lvl>
  </w:abstractNum>
  <w:abstractNum w:abstractNumId="212">
    <w:nsid w:val="545EE5D3"/>
    <w:multiLevelType w:val="hybridMultilevel"/>
    <w:lvl w:ilvl="0">
      <w:lvlJc w:val="left"/>
      <w:lvlText w:val="%1"/>
      <w:numFmt w:val="decimal"/>
      <w:start w:val="56"/>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54" Type="http://schemas.openxmlformats.org/officeDocument/2006/relationships/image" Target="media/image20.png"/><Relationship Id="rId60" Type="http://schemas.openxmlformats.org/officeDocument/2006/relationships/image" Target="media/image21.png"/><Relationship Id="rId66" Type="http://schemas.openxmlformats.org/officeDocument/2006/relationships/image" Target="media/image22.png"/><Relationship Id="rId67" Type="http://schemas.openxmlformats.org/officeDocument/2006/relationships/image" Target="media/image23.png"/><Relationship Id="rId68" Type="http://schemas.openxmlformats.org/officeDocument/2006/relationships/image" Target="media/image24.png"/><Relationship Id="rId71" Type="http://schemas.openxmlformats.org/officeDocument/2006/relationships/image" Target="media/image25.png"/><Relationship Id="rId74" Type="http://schemas.openxmlformats.org/officeDocument/2006/relationships/image" Target="media/image26.png"/><Relationship Id="rId77" Type="http://schemas.openxmlformats.org/officeDocument/2006/relationships/image" Target="media/image27.png"/><Relationship Id="rId80" Type="http://schemas.openxmlformats.org/officeDocument/2006/relationships/image" Target="media/image28.png"/><Relationship Id="rId83" Type="http://schemas.openxmlformats.org/officeDocument/2006/relationships/image" Target="media/image29.png"/><Relationship Id="rId85" Type="http://schemas.openxmlformats.org/officeDocument/2006/relationships/image" Target="media/image30.png"/><Relationship Id="rId88" Type="http://schemas.openxmlformats.org/officeDocument/2006/relationships/image" Target="media/image31.png"/><Relationship Id="rId90" Type="http://schemas.openxmlformats.org/officeDocument/2006/relationships/image" Target="media/image32.png"/><Relationship Id="rId93" Type="http://schemas.openxmlformats.org/officeDocument/2006/relationships/image" Target="media/image33.png"/><Relationship Id="rId96" Type="http://schemas.openxmlformats.org/officeDocument/2006/relationships/image" Target="media/image34.png"/><Relationship Id="rId99" Type="http://schemas.openxmlformats.org/officeDocument/2006/relationships/image" Target="media/image35.png"/><Relationship Id="rId102" Type="http://schemas.openxmlformats.org/officeDocument/2006/relationships/image" Target="media/image36.png"/><Relationship Id="rId105" Type="http://schemas.openxmlformats.org/officeDocument/2006/relationships/image" Target="media/image37.png"/><Relationship Id="rId108" Type="http://schemas.openxmlformats.org/officeDocument/2006/relationships/image" Target="media/image38.png"/><Relationship Id="rId111" Type="http://schemas.openxmlformats.org/officeDocument/2006/relationships/image" Target="media/image39.png"/><Relationship Id="rId114" Type="http://schemas.openxmlformats.org/officeDocument/2006/relationships/image" Target="media/image40.png"/><Relationship Id="rId117" Type="http://schemas.openxmlformats.org/officeDocument/2006/relationships/image" Target="media/image41.png"/><Relationship Id="rId118" Type="http://schemas.openxmlformats.org/officeDocument/2006/relationships/image" Target="media/image42.png"/><Relationship Id="rId121" Type="http://schemas.openxmlformats.org/officeDocument/2006/relationships/image" Target="media/image43.png"/><Relationship Id="rId123" Type="http://schemas.openxmlformats.org/officeDocument/2006/relationships/image" Target="media/image44.png"/><Relationship Id="rId134" Type="http://schemas.openxmlformats.org/officeDocument/2006/relationships/image" Target="media/image45.png"/><Relationship Id="rId135" Type="http://schemas.openxmlformats.org/officeDocument/2006/relationships/image" Target="media/image46.png"/><Relationship Id="rId136" Type="http://schemas.openxmlformats.org/officeDocument/2006/relationships/image" Target="media/image47.png"/><Relationship Id="rId137" Type="http://schemas.openxmlformats.org/officeDocument/2006/relationships/image" Target="media/image48.png"/><Relationship Id="rId138" Type="http://schemas.openxmlformats.org/officeDocument/2006/relationships/image" Target="media/image49.png"/><Relationship Id="rId139" Type="http://schemas.openxmlformats.org/officeDocument/2006/relationships/image" Target="media/image50.png"/><Relationship Id="rId140" Type="http://schemas.openxmlformats.org/officeDocument/2006/relationships/image" Target="media/image51.png"/><Relationship Id="rId141" Type="http://schemas.openxmlformats.org/officeDocument/2006/relationships/image" Target="media/image52.png"/><Relationship Id="rId142" Type="http://schemas.openxmlformats.org/officeDocument/2006/relationships/image" Target="media/image53.png"/><Relationship Id="rId143" Type="http://schemas.openxmlformats.org/officeDocument/2006/relationships/image" Target="media/image54.png"/><Relationship Id="rId144" Type="http://schemas.openxmlformats.org/officeDocument/2006/relationships/image" Target="media/image55.png"/><Relationship Id="rId145" Type="http://schemas.openxmlformats.org/officeDocument/2006/relationships/image" Target="media/image56.png"/><Relationship Id="rId146" Type="http://schemas.openxmlformats.org/officeDocument/2006/relationships/image" Target="media/image57.png"/><Relationship Id="rId147" Type="http://schemas.openxmlformats.org/officeDocument/2006/relationships/image" Target="media/image58.png"/><Relationship Id="rId148" Type="http://schemas.openxmlformats.org/officeDocument/2006/relationships/image" Target="media/image59.png"/><Relationship Id="rId149" Type="http://schemas.openxmlformats.org/officeDocument/2006/relationships/image" Target="media/image60.png"/><Relationship Id="rId150" Type="http://schemas.openxmlformats.org/officeDocument/2006/relationships/image" Target="media/image61.png"/><Relationship Id="rId151" Type="http://schemas.openxmlformats.org/officeDocument/2006/relationships/image" Target="media/image62.png"/><Relationship Id="rId152" Type="http://schemas.openxmlformats.org/officeDocument/2006/relationships/image" Target="media/image63.png"/><Relationship Id="rId153" Type="http://schemas.openxmlformats.org/officeDocument/2006/relationships/image" Target="media/image64.png"/><Relationship Id="rId154" Type="http://schemas.openxmlformats.org/officeDocument/2006/relationships/image" Target="media/image65.png"/><Relationship Id="rId155" Type="http://schemas.openxmlformats.org/officeDocument/2006/relationships/image" Target="media/image66.png"/><Relationship Id="rId156" Type="http://schemas.openxmlformats.org/officeDocument/2006/relationships/image" Target="media/image67.png"/><Relationship Id="rId157" Type="http://schemas.openxmlformats.org/officeDocument/2006/relationships/image" Target="media/image68.png"/><Relationship Id="rId158" Type="http://schemas.openxmlformats.org/officeDocument/2006/relationships/image" Target="media/image69.png"/><Relationship Id="rId159" Type="http://schemas.openxmlformats.org/officeDocument/2006/relationships/image" Target="media/image70.png"/><Relationship Id="rId160" Type="http://schemas.openxmlformats.org/officeDocument/2006/relationships/image" Target="media/image71.png"/><Relationship Id="rId161" Type="http://schemas.openxmlformats.org/officeDocument/2006/relationships/image" Target="media/image72.png"/><Relationship Id="rId162" Type="http://schemas.openxmlformats.org/officeDocument/2006/relationships/image" Target="media/image73.png"/><Relationship Id="rId163" Type="http://schemas.openxmlformats.org/officeDocument/2006/relationships/image" Target="media/image74.png"/><Relationship Id="rId164" Type="http://schemas.openxmlformats.org/officeDocument/2006/relationships/image" Target="media/image75.png"/><Relationship Id="rId165" Type="http://schemas.openxmlformats.org/officeDocument/2006/relationships/image" Target="media/image76.png"/><Relationship Id="rId166" Type="http://schemas.openxmlformats.org/officeDocument/2006/relationships/image" Target="media/image77.jpeg"/><Relationship Id="rId27" Type="http://schemas.openxmlformats.org/officeDocument/2006/relationships/hyperlink" Target="http://www.sec.gov/Archives/edgar/data/66756/000006675601500027/ex3b.txt" TargetMode="External"/><Relationship Id="rId28" Type="http://schemas.openxmlformats.org/officeDocument/2006/relationships/hyperlink" Target="http://www.sec.gov/Archives/edgar/data/66756/000006675604000094/r8k092104exhibit3.txt" TargetMode="External"/><Relationship Id="rId29" Type="http://schemas.openxmlformats.org/officeDocument/2006/relationships/hyperlink" Target="http://www.sec.gov/Archives/edgar/data/66756/000006675609000076/exhibit_3.htm" TargetMode="External"/><Relationship Id="rId30" Type="http://schemas.openxmlformats.org/officeDocument/2006/relationships/hyperlink" Target="http://www.sec.gov/Archives/edgar/data/66756/000006675610000052/articles.htm" TargetMode="External"/><Relationship Id="rId31" Type="http://schemas.openxmlformats.org/officeDocument/2006/relationships/hyperlink" Target="http://www.sec.gov/Archives/edgar/data/66756/000006675601500027/ex3a.txt" TargetMode="External"/><Relationship Id="rId32" Type="http://schemas.openxmlformats.org/officeDocument/2006/relationships/hyperlink" Target="http://www.sec.gov/Archives/edgar/data/66756/000006675610000052/bylaws.htm" TargetMode="External"/><Relationship Id="rId33" Type="http://schemas.openxmlformats.org/officeDocument/2006/relationships/hyperlink" Target="http://www.sec.gov/Archives/edgar/data/66756/0000066756-97-000034-index.html" TargetMode="External"/><Relationship Id="rId34" Type="http://schemas.openxmlformats.org/officeDocument/2006/relationships/hyperlink" Target="http://www.sec.gov/Archives/edgar/data/66756/0000066756-98-000017-index.html" TargetMode="External"/><Relationship Id="rId35" Type="http://schemas.openxmlformats.org/officeDocument/2006/relationships/hyperlink" Target="http://www.sec.gov/Archives/edgar/data/66756/000095012001000018/0000950120-01-000018-0002.txt" TargetMode="External"/><Relationship Id="rId36" Type="http://schemas.openxmlformats.org/officeDocument/2006/relationships/hyperlink" Target="http://www.sec.gov/Archives/edgar/data/66756/000006675603000114/rexhibit4.txt" TargetMode="External"/><Relationship Id="rId37" Type="http://schemas.openxmlformats.org/officeDocument/2006/relationships/hyperlink" Target="http://www.sec.gov/Archives/edgar/data/66756/000006675604000114/rexhibit4a.txt" TargetMode="External"/><Relationship Id="rId38" Type="http://schemas.openxmlformats.org/officeDocument/2006/relationships/hyperlink" Target="http://www.sec.gov/Archives/edgar/data/66756/000006675605000072/ex4.txt" TargetMode="External"/><Relationship Id="rId39" Type="http://schemas.openxmlformats.org/officeDocument/2006/relationships/hyperlink" Target="http://www.sec.gov/Archives/edgar/data/66756/000006675606000035/exhibit4.txt" TargetMode="External"/><Relationship Id="rId40" Type="http://schemas.openxmlformats.org/officeDocument/2006/relationships/hyperlink" Target="http://www.sec.gov/Archives/edgar/data/66756/000006675607000013/rexhibit4a3.txt" TargetMode="External"/><Relationship Id="rId41" Type="http://schemas.openxmlformats.org/officeDocument/2006/relationships/hyperlink" Target="http://www.sec.gov/Archives/edgar/data/66756/000006675608000017/exhibit_4a3.htm" TargetMode="External"/><Relationship Id="rId42" Type="http://schemas.openxmlformats.org/officeDocument/2006/relationships/hyperlink" Target="http://www.sec.gov/Archives/edgar/data/66756/000006675608000056/exhibit_4.htm" TargetMode="External"/><Relationship Id="rId43" Type="http://schemas.openxmlformats.org/officeDocument/2006/relationships/hyperlink" Target="http://www.sec.gov/Archives/edgar/data/66756/000006675609000015/exhibit_4a3.htm" TargetMode="External"/><Relationship Id="rId44" Type="http://schemas.openxmlformats.org/officeDocument/2006/relationships/hyperlink" Target="http://www.sec.gov/Archives/edgar/data/66756/000006675609000015/exhibit_4a4.htm" TargetMode="External"/><Relationship Id="rId45" Type="http://schemas.openxmlformats.org/officeDocument/2006/relationships/hyperlink" Target="http://www.sec.gov/Archives/edgar/data/66756/000006675610000043/exhibit_4.htm" TargetMode="External"/><Relationship Id="rId46" Type="http://schemas.openxmlformats.org/officeDocument/2006/relationships/hyperlink" Target="http://www.sec.gov/Archives/edgar/data/66756/000006675610000091/exhibit_4.htm" TargetMode="External"/><Relationship Id="rId47" Type="http://schemas.openxmlformats.org/officeDocument/2006/relationships/hyperlink" Target="http://www.sec.gov/Archives/edgar/data/66756/000006675612000095/exhibit4.htm" TargetMode="External"/><Relationship Id="rId48" Type="http://schemas.openxmlformats.org/officeDocument/2006/relationships/hyperlink" Target="http://www.sec.gov/Archives/edgar/data/66756/000006675613000064/exhibit4supplementalindent.htm" TargetMode="External"/><Relationship Id="rId49" Type="http://schemas.openxmlformats.org/officeDocument/2006/relationships/hyperlink" Target="http://www.sec.gov/Archives/edgar/data/66756/000006675614000049/ale3-31x2014exx4.htm" TargetMode="External"/><Relationship Id="rId50" Type="http://schemas.openxmlformats.org/officeDocument/2006/relationships/hyperlink" Target="http://www.sec.gov/Archives/edgar/data/66756/000006675614000080/ale6-30x2014exx4.htm" TargetMode="External"/><Relationship Id="rId51" Type="http://schemas.openxmlformats.org/officeDocument/2006/relationships/hyperlink" Target="http://www.sec.gov/Archives/edgar/data/66756/000006675614000089/ale9-30x2014exx4.htm" TargetMode="External"/><Relationship Id="rId52" Type="http://schemas.openxmlformats.org/officeDocument/2006/relationships/hyperlink" Target="http://www.sec.gov/Archives/edgar/data/66756/000006675615000104/ale9-30x2015exx4a.htm" TargetMode="External"/><Relationship Id="rId53" Type="http://schemas.openxmlformats.org/officeDocument/2006/relationships/hyperlink" Target="http://www.sec.gov/Archives/edgar/data/66756/000006675618000045/ale3-31x2018exx4.htm" TargetMode="External"/><Relationship Id="rId55" Type="http://schemas.openxmlformats.org/officeDocument/2006/relationships/hyperlink" Target="http://www.sec.gov/Archives/edgar/data/66756/000006675608000017/exhibit_4c3.htm" TargetMode="External"/><Relationship Id="rId56" Type="http://schemas.openxmlformats.org/officeDocument/2006/relationships/hyperlink" Target="http://www.sec.gov/Archives/edgar/data/66756/000006675608000017/exhibit_4c4.htm" TargetMode="External"/><Relationship Id="rId57" Type="http://schemas.openxmlformats.org/officeDocument/2006/relationships/hyperlink" Target="http://www.sec.gov/Archives/edgar/data/66756/000006675609000015/exhibit_4c3.htm" TargetMode="External"/><Relationship Id="rId58" Type="http://schemas.openxmlformats.org/officeDocument/2006/relationships/hyperlink" Target="http://www.sec.gov/Archives/edgar/data/66756/000006675614000026/exhibit4c312-31x2013.htm" TargetMode="External"/><Relationship Id="rId59" Type="http://schemas.openxmlformats.org/officeDocument/2006/relationships/hyperlink" Target="http://www.sec.gov/Archives/edgar/data/66756/000006675618000075/ale6-30x2018exx4.htm" TargetMode="External"/><Relationship Id="rId61" Type="http://schemas.openxmlformats.org/officeDocument/2006/relationships/hyperlink" Target="http://www.sec.gov/Archives/edgar/data/66756/000006675615000117/ex-4aceagreement.htm" TargetMode="External"/><Relationship Id="rId62" Type="http://schemas.openxmlformats.org/officeDocument/2006/relationships/hyperlink" Target="http://www.sec.gov/Archives/edgar/data/66756/000006675616000265/ex-4notepurchaseagreement.htm" TargetMode="External"/><Relationship Id="rId63" Type="http://schemas.openxmlformats.org/officeDocument/2006/relationships/hyperlink" Target="http://www.sec.gov/Archives/edgar/data/66756/000006675617000105/termloanagreementex-4.htm" TargetMode="External"/><Relationship Id="rId64" Type="http://schemas.openxmlformats.org/officeDocument/2006/relationships/hyperlink" Target="http://www.sec.gov/Archives/edgar/data/66756/0000066756-98-000036-index.html" TargetMode="External"/><Relationship Id="rId65" Type="http://schemas.openxmlformats.org/officeDocument/2006/relationships/hyperlink" Target="http://www.sec.gov/Archives/edgar/data/66756/000006675613000125/ex-10creditagreement.htm" TargetMode="External"/><Relationship Id="rId69" Type="http://schemas.openxmlformats.org/officeDocument/2006/relationships/hyperlink" Target="http://www.sec.gov/Archives/edgar/data/66756/000006675606000067/exhibit10b1.txt" TargetMode="External"/><Relationship Id="rId70" Type="http://schemas.openxmlformats.org/officeDocument/2006/relationships/hyperlink" Target="http://www.sec.gov/Archives/edgar/data/66756/000006675611000112/credit_agreement.htm" TargetMode="External"/><Relationship Id="rId72" Type="http://schemas.openxmlformats.org/officeDocument/2006/relationships/hyperlink" Target="http://www.sec.gov/Archives/edgar/data/66756/000006675613000102/ale6-30x2013exx10b.htm" TargetMode="External"/><Relationship Id="rId73" Type="http://schemas.openxmlformats.org/officeDocument/2006/relationships/hyperlink" Target="http://www.sec.gov/Archives/edgar/data/66756/000006675610000018/exhibit_10g.htm" TargetMode="External"/><Relationship Id="rId75" Type="http://schemas.openxmlformats.org/officeDocument/2006/relationships/hyperlink" Target="http://www.sec.gov/Archives/edgar/data/66756/000006675611000029/exhibit_10h1.htm" TargetMode="External"/><Relationship Id="rId76" Type="http://schemas.openxmlformats.org/officeDocument/2006/relationships/hyperlink" Target="http://www.sec.gov/Archives/edgar/data/66756/000006675616000169/exhibit10e612-31x2015.htm" TargetMode="External"/><Relationship Id="rId78" Type="http://schemas.openxmlformats.org/officeDocument/2006/relationships/hyperlink" Target="http://www.sec.gov/Archives/edgar/data/66756/000006675617000035/exhibit10e612-31x2016.htm" TargetMode="External"/><Relationship Id="rId79" Type="http://schemas.openxmlformats.org/officeDocument/2006/relationships/hyperlink" Target="http://www.sec.gov/Archives/edgar/data/66756/000006675617000035/exhibit10e712-31x2016.htm" TargetMode="External"/><Relationship Id="rId81" Type="http://schemas.openxmlformats.org/officeDocument/2006/relationships/hyperlink" Target="http://www.sec.gov/Archives/edgar/data/66756/000006675618000045/ale3-31x2018exx10a1.htm" TargetMode="External"/><Relationship Id="rId82" Type="http://schemas.openxmlformats.org/officeDocument/2006/relationships/hyperlink" Target="http://www.sec.gov/Archives/edgar/data/66756/000006675618000045/ale3-31x2018exx10a2.htm" TargetMode="External"/><Relationship Id="rId84" Type="http://schemas.openxmlformats.org/officeDocument/2006/relationships/hyperlink" Target="http://www.sec.gov/Archives/edgar/data/66756/000006675615000022/exhibit10e612-31x2014.htm" TargetMode="External"/><Relationship Id="rId86" Type="http://schemas.openxmlformats.org/officeDocument/2006/relationships/hyperlink" Target="http://www.sec.gov/Archives/edgar/data/66756/000006675609000015/exhibit_10i4.htm" TargetMode="External"/><Relationship Id="rId87" Type="http://schemas.openxmlformats.org/officeDocument/2006/relationships/hyperlink" Target="http://www.sec.gov/Archives/edgar/data/66756/000006675611000029/exhibit_10i2.htm" TargetMode="External"/><Relationship Id="rId89" Type="http://schemas.openxmlformats.org/officeDocument/2006/relationships/hyperlink" Target="http://www.sec.gov/Archives/edgar/data/66756/000006675615000022/exhibit10f312-31x2014.htm" TargetMode="External"/><Relationship Id="rId91" Type="http://schemas.openxmlformats.org/officeDocument/2006/relationships/hyperlink" Target="http://www.sec.gov/Archives/edgar/data/66756/000006675613000030/exhibit10j12-31x2012.htm" TargetMode="External"/><Relationship Id="rId92" Type="http://schemas.openxmlformats.org/officeDocument/2006/relationships/hyperlink" Target="http://www.sec.gov/Archives/edgar/data/66756/000006675605000076/rexhibit99.txt" TargetMode="External"/><Relationship Id="rId94" Type="http://schemas.openxmlformats.org/officeDocument/2006/relationships/hyperlink" Target="http://www.sec.gov/Archives/edgar/data/66756/000006675611000029/exhibit_10m2.htm" TargetMode="External"/><Relationship Id="rId95" Type="http://schemas.openxmlformats.org/officeDocument/2006/relationships/hyperlink" Target="http://www.sec.gov/Archives/edgar/data/66756/000006675614000026/exhibit10j1412-31x2013.htm" TargetMode="External"/><Relationship Id="rId97" Type="http://schemas.openxmlformats.org/officeDocument/2006/relationships/hyperlink" Target="http://www.sec.gov/Archives/edgar/data/66756/000006675614000026/exhibit14j1512-31x2013.htm" TargetMode="External"/><Relationship Id="rId98" Type="http://schemas.openxmlformats.org/officeDocument/2006/relationships/hyperlink" Target="http://www.sec.gov/Archives/edgar/data/66756/000006675615000022/exhibit10j1612-31x2014.htm" TargetMode="External"/><Relationship Id="rId100" Type="http://schemas.openxmlformats.org/officeDocument/2006/relationships/hyperlink" Target="http://www.sec.gov/Archives/edgar/data/66756/000006675615000022/exhibit10j1712-31x2014.htm" TargetMode="External"/><Relationship Id="rId101" Type="http://schemas.openxmlformats.org/officeDocument/2006/relationships/hyperlink" Target="http://www.sec.gov/Archives/edgar/data/66756/000006675613000030/exhibit10k1412-31x2012.htm" TargetMode="External"/><Relationship Id="rId103" Type="http://schemas.openxmlformats.org/officeDocument/2006/relationships/hyperlink" Target="http://www.sec.gov/Archives/edgar/data/66756/000006675613000030/ex10k1512-31x2012.htm" TargetMode="External"/><Relationship Id="rId104" Type="http://schemas.openxmlformats.org/officeDocument/2006/relationships/hyperlink" Target="http://www.sec.gov/Archives/edgar/data/66756/000006675615000110/exhibit99ltip.htm" TargetMode="External"/><Relationship Id="rId106" Type="http://schemas.openxmlformats.org/officeDocument/2006/relationships/hyperlink" Target="http://www.sec.gov/Archives/edgar/data/66756/000006675616000169/exhibit10k312-31x2015.htm" TargetMode="External"/><Relationship Id="rId107" Type="http://schemas.openxmlformats.org/officeDocument/2006/relationships/hyperlink" Target="http://www.sec.gov/Archives/edgar/data/66756/000006675616000169/exhibit10k212-31x2015.htm" TargetMode="External"/><Relationship Id="rId109" Type="http://schemas.openxmlformats.org/officeDocument/2006/relationships/hyperlink" Target="http://www.sec.gov/Archives/edgar/data/66756/000006675617000035/exhibit10i412-31x2016.htm" TargetMode="External"/><Relationship Id="rId110" Type="http://schemas.openxmlformats.org/officeDocument/2006/relationships/hyperlink" Target="http://www.sec.gov/Archives/edgar/data/66756/000006675617000035/exhibit10i512-31x2016.htm" TargetMode="External"/><Relationship Id="rId112" Type="http://schemas.openxmlformats.org/officeDocument/2006/relationships/hyperlink" Target="http://www.sec.gov/Archives/edgar/data/66756/000006675617000035/exhibit10i612-31x2016.htm" TargetMode="External"/><Relationship Id="rId113" Type="http://schemas.openxmlformats.org/officeDocument/2006/relationships/hyperlink" Target="http://www.sec.gov/Archives/edgar/data/66756/000006675618000045/ale3-31x2018exx10b.htm" TargetMode="External"/><Relationship Id="rId115" Type="http://schemas.openxmlformats.org/officeDocument/2006/relationships/hyperlink" Target="http://www.sec.gov/Archives/edgar/data/66756/000006675618000029/exhibit10i712-31x2017.htm" TargetMode="External"/><Relationship Id="rId116" Type="http://schemas.openxmlformats.org/officeDocument/2006/relationships/hyperlink" Target="http://www.sec.gov/Archives/edgar/data/66756/000006675618000029/exhibit10i812-31x2017.htm" TargetMode="External"/><Relationship Id="rId119" Type="http://schemas.openxmlformats.org/officeDocument/2006/relationships/hyperlink" Target="http://www.sec.gov/Archives/edgar/data/66756/000006675613000102/ale6-30x2013exx10a.htm" TargetMode="External"/><Relationship Id="rId120" Type="http://schemas.openxmlformats.org/officeDocument/2006/relationships/hyperlink" Target="http://www.sec.gov/Archives/edgar/data/66756/000006675615000022/exhibit10l512-31x2014.htm" TargetMode="External"/><Relationship Id="rId122" Type="http://schemas.openxmlformats.org/officeDocument/2006/relationships/hyperlink" Target="http://www.sec.gov/Archives/edgar/data/66756/000006675617000035/exhibit10k312-31x2016.htm" TargetMode="External"/><Relationship Id="rId124" Type="http://schemas.openxmlformats.org/officeDocument/2006/relationships/hyperlink" Target="http://www.sec.gov/Archives/edgar/data/66756/000006675603000048/exhibit10ac.txt" TargetMode="External"/><Relationship Id="rId125" Type="http://schemas.openxmlformats.org/officeDocument/2006/relationships/hyperlink" Target="http://www.sec.gov/Archives/edgar/data/66756/000006675604000034/rexhibit10aa2.txt" TargetMode="External"/><Relationship Id="rId126" Type="http://schemas.openxmlformats.org/officeDocument/2006/relationships/hyperlink" Target="http://www.sec.gov/Archives/edgar/data/66756/000006675605000072/ex10c.txt" TargetMode="External"/><Relationship Id="rId127" Type="http://schemas.openxmlformats.org/officeDocument/2006/relationships/hyperlink" Target="http://www.sec.gov/Archives/edgar/data/66756/000006675606000076/exhibit10d.txt" TargetMode="External"/><Relationship Id="rId128" Type="http://schemas.openxmlformats.org/officeDocument/2006/relationships/hyperlink" Target="http://www.sec.gov/Archives/edgar/data/66756/000006675613000030/ex10n512-31x2012.htm" TargetMode="External"/><Relationship Id="rId129" Type="http://schemas.openxmlformats.org/officeDocument/2006/relationships/hyperlink" Target="http://www.sec.gov/Archives/edgar/data/66756/000006675609000076/exhibit_10a.htm" TargetMode="External"/><Relationship Id="rId130" Type="http://schemas.openxmlformats.org/officeDocument/2006/relationships/hyperlink" Target="http://www.sec.gov/Archives/edgar/data/66756/000006675613000030/ex10o212-31x2012.htm" TargetMode="External"/><Relationship Id="rId131" Type="http://schemas.openxmlformats.org/officeDocument/2006/relationships/hyperlink" Target="http://www.sec.gov/Archives/edgar/data/66756/000006675613000030/ex10p212-31x2012.htm" TargetMode="External"/><Relationship Id="rId132" Type="http://schemas.openxmlformats.org/officeDocument/2006/relationships/hyperlink" Target="http://www.sec.gov/Archives/edgar/data/66756/000006675611000029/exhibit_10q.htm" TargetMode="External"/><Relationship Id="rId133" Type="http://schemas.openxmlformats.org/officeDocument/2006/relationships/hyperlink" Target="http://www.sec.gov/Archives/edgar/data/66756/000006675618000045/ale3-31x2018exx10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2019-12-28T16:49:04Z</dcterms:created>
  <dcterms:modified xsi:type="dcterms:W3CDTF">2019-12-28T16:49:04Z</dcterms:modified>
</cp:coreProperties>
</file>