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December 16, 2025</w:t>
      </w:r>
    </w:p>
    <w:p>
      <w:pPr>
        <w:spacing w:after="0" w:line="225"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Statement No. 333-284981</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Statement No. 333-287004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186055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87" w:lineRule="exact"/>
        <w:rPr>
          <w:sz w:val="24"/>
          <w:szCs w:val="24"/>
          <w:color w:val="auto"/>
        </w:rPr>
      </w:pPr>
    </w:p>
    <w:p>
      <w:pPr>
        <w:ind w:left="1460"/>
        <w:spacing w:after="0"/>
        <w:rPr>
          <w:sz w:val="20"/>
          <w:szCs w:val="20"/>
          <w:color w:val="auto"/>
        </w:rPr>
      </w:pPr>
      <w:r>
        <w:rPr>
          <w:rFonts w:ascii="Times New Roman" w:cs="Times New Roman" w:eastAsia="Times New Roman" w:hAnsi="Times New Roman"/>
          <w:sz w:val="18"/>
          <w:szCs w:val="18"/>
          <w:b w:val="1"/>
          <w:bCs w:val="1"/>
          <w:color w:val="auto"/>
        </w:rPr>
        <w:t>POST-EFFECTIVE AMENDMENT NO. 1 TO FORM S-3 REGISTRATION STATEMENT NO. 333-284981</w:t>
      </w:r>
    </w:p>
    <w:p>
      <w:pPr>
        <w:spacing w:after="0" w:line="31" w:lineRule="exact"/>
        <w:rPr>
          <w:sz w:val="24"/>
          <w:szCs w:val="24"/>
          <w:color w:val="auto"/>
        </w:rPr>
      </w:pPr>
    </w:p>
    <w:p>
      <w:pPr>
        <w:ind w:left="1460"/>
        <w:spacing w:after="0"/>
        <w:rPr>
          <w:sz w:val="20"/>
          <w:szCs w:val="20"/>
          <w:color w:val="auto"/>
        </w:rPr>
      </w:pPr>
      <w:r>
        <w:rPr>
          <w:rFonts w:ascii="Times New Roman" w:cs="Times New Roman" w:eastAsia="Times New Roman" w:hAnsi="Times New Roman"/>
          <w:sz w:val="18"/>
          <w:szCs w:val="18"/>
          <w:b w:val="1"/>
          <w:bCs w:val="1"/>
          <w:color w:val="auto"/>
        </w:rPr>
        <w:t>POST-EFFECTIVE AMENDMENT NO. 1 TO FORM S-3 REGISTRATION STATEMENT NO. 333-287004</w:t>
      </w:r>
    </w:p>
    <w:p>
      <w:pPr>
        <w:spacing w:after="0" w:line="2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UNDER THE SECURITIES ACT OF 1933</w:t>
      </w:r>
    </w:p>
    <w:p>
      <w:pPr>
        <w:sectPr>
          <w:pgSz w:w="11900" w:h="16838" w:orient="portrait"/>
          <w:cols w:equalWidth="0" w:num="1">
            <w:col w:w="11240"/>
          </w:cols>
          <w:pgMar w:left="320" w:top="225" w:right="339" w:bottom="1440" w:gutter="0" w:footer="0" w:header="0"/>
        </w:sectPr>
      </w:pPr>
    </w:p>
    <w:p>
      <w:pPr>
        <w:spacing w:after="0" w:line="221" w:lineRule="exact"/>
        <w:rPr>
          <w:sz w:val="24"/>
          <w:szCs w:val="24"/>
          <w:color w:val="auto"/>
        </w:rPr>
      </w:pPr>
    </w:p>
    <w:p>
      <w:pPr>
        <w:jc w:val="center"/>
        <w:ind w:left="20"/>
        <w:spacing w:after="0"/>
        <w:rPr>
          <w:sz w:val="20"/>
          <w:szCs w:val="20"/>
          <w:color w:val="auto"/>
        </w:rPr>
      </w:pPr>
      <w:r>
        <w:rPr>
          <w:rFonts w:ascii="Times New Roman" w:cs="Times New Roman" w:eastAsia="Times New Roman" w:hAnsi="Times New Roman"/>
          <w:sz w:val="18"/>
          <w:szCs w:val="18"/>
          <w:b w:val="1"/>
          <w:bCs w:val="1"/>
          <w:color w:val="auto"/>
        </w:rPr>
        <w:t>ALLETE, Inc.</w:t>
      </w:r>
    </w:p>
    <w:p>
      <w:pPr>
        <w:spacing w:after="0" w:line="229" w:lineRule="exact"/>
        <w:rPr>
          <w:sz w:val="24"/>
          <w:szCs w:val="24"/>
          <w:color w:val="auto"/>
        </w:rPr>
      </w:pPr>
    </w:p>
    <w:p>
      <w:pPr>
        <w:jc w:val="center"/>
        <w:ind w:left="20"/>
        <w:spacing w:after="0"/>
        <w:rPr>
          <w:sz w:val="20"/>
          <w:szCs w:val="20"/>
          <w:color w:val="auto"/>
        </w:rPr>
      </w:pPr>
      <w:r>
        <w:rPr>
          <w:rFonts w:ascii="Times New Roman" w:cs="Times New Roman" w:eastAsia="Times New Roman" w:hAnsi="Times New Roman"/>
          <w:sz w:val="17"/>
          <w:szCs w:val="17"/>
          <w:color w:val="auto"/>
        </w:rPr>
        <w:t>(Exact name of registrant as specified in its charter)</w:t>
      </w:r>
    </w:p>
    <w:p>
      <w:pPr>
        <w:spacing w:after="0" w:line="20" w:lineRule="exact"/>
        <w:rPr>
          <w:sz w:val="24"/>
          <w:szCs w:val="24"/>
          <w:color w:val="auto"/>
        </w:rPr>
      </w:pPr>
      <w:r>
        <w:rPr>
          <w:sz w:val="24"/>
          <w:szCs w:val="24"/>
          <w:color w:val="auto"/>
        </w:rPr>
        <w:br w:type="column"/>
      </w:r>
    </w:p>
    <w:p>
      <w:pPr>
        <w:spacing w:after="0" w:line="201" w:lineRule="exact"/>
        <w:rPr>
          <w:sz w:val="24"/>
          <w:szCs w:val="24"/>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Minnesota</w:t>
      </w:r>
    </w:p>
    <w:p>
      <w:pPr>
        <w:spacing w:after="0" w:line="31"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7"/>
          <w:szCs w:val="17"/>
          <w:color w:val="auto"/>
        </w:rPr>
        <w:t>(State or other jurisdiction of incorporation or</w:t>
      </w:r>
    </w:p>
    <w:p>
      <w:pPr>
        <w:spacing w:after="0" w:line="21" w:lineRule="exact"/>
        <w:rPr>
          <w:sz w:val="24"/>
          <w:szCs w:val="24"/>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organization)</w:t>
      </w:r>
    </w:p>
    <w:p>
      <w:pPr>
        <w:spacing w:after="0" w:line="20" w:lineRule="exact"/>
        <w:rPr>
          <w:sz w:val="24"/>
          <w:szCs w:val="24"/>
          <w:color w:val="auto"/>
        </w:rPr>
      </w:pPr>
      <w:r>
        <w:rPr>
          <w:sz w:val="24"/>
          <w:szCs w:val="24"/>
          <w:color w:val="auto"/>
        </w:rPr>
        <w:br w:type="column"/>
      </w:r>
    </w:p>
    <w:p>
      <w:pPr>
        <w:spacing w:after="0" w:line="164" w:lineRule="exact"/>
        <w:rPr>
          <w:sz w:val="24"/>
          <w:szCs w:val="24"/>
          <w:color w:val="auto"/>
        </w:rPr>
      </w:pPr>
    </w:p>
    <w:p>
      <w:pPr>
        <w:jc w:val="center"/>
        <w:ind w:right="560"/>
        <w:spacing w:after="0" w:line="207" w:lineRule="exact"/>
        <w:rPr>
          <w:sz w:val="20"/>
          <w:szCs w:val="20"/>
          <w:color w:val="auto"/>
        </w:rPr>
      </w:pPr>
      <w:r>
        <w:rPr>
          <w:rFonts w:ascii="Times New Roman" w:cs="Times New Roman" w:eastAsia="Times New Roman" w:hAnsi="Times New Roman"/>
          <w:sz w:val="18"/>
          <w:szCs w:val="18"/>
          <w:b w:val="1"/>
          <w:bCs w:val="1"/>
          <w:color w:val="auto"/>
        </w:rPr>
        <w:t>41</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0418150</w:t>
      </w:r>
    </w:p>
    <w:p>
      <w:pPr>
        <w:spacing w:after="0" w:line="70" w:lineRule="exact"/>
        <w:rPr>
          <w:sz w:val="24"/>
          <w:szCs w:val="24"/>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(I.R.S. Employer Identification No.)</w:t>
      </w:r>
    </w:p>
    <w:p>
      <w:pPr>
        <w:spacing w:after="0" w:line="414" w:lineRule="exact"/>
        <w:rPr>
          <w:sz w:val="24"/>
          <w:szCs w:val="24"/>
          <w:color w:val="auto"/>
        </w:rPr>
      </w:pPr>
    </w:p>
    <w:p>
      <w:pPr>
        <w:sectPr>
          <w:pgSz w:w="11900" w:h="16838" w:orient="portrait"/>
          <w:cols w:equalWidth="0" w:num="3">
            <w:col w:w="3720" w:space="300"/>
            <w:col w:w="3360" w:space="720"/>
            <w:col w:w="3140"/>
          </w:cols>
          <w:pgMar w:left="320" w:top="225"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30 West Superior Street</w:t>
      </w:r>
    </w:p>
    <w:p>
      <w:pPr>
        <w:spacing w:after="0" w:line="31" w:lineRule="exact"/>
        <w:rPr>
          <w:sz w:val="24"/>
          <w:szCs w:val="24"/>
          <w:color w:val="auto"/>
        </w:rPr>
      </w:pPr>
    </w:p>
    <w:p>
      <w:pPr>
        <w:jc w:val="center"/>
        <w:spacing w:after="0" w:line="207" w:lineRule="exact"/>
        <w:rPr>
          <w:sz w:val="20"/>
          <w:szCs w:val="20"/>
          <w:color w:val="auto"/>
        </w:rPr>
      </w:pPr>
      <w:r>
        <w:rPr>
          <w:rFonts w:ascii="Times New Roman" w:cs="Times New Roman" w:eastAsia="Times New Roman" w:hAnsi="Times New Roman"/>
          <w:sz w:val="18"/>
          <w:szCs w:val="18"/>
          <w:b w:val="1"/>
          <w:bCs w:val="1"/>
          <w:color w:val="auto"/>
        </w:rPr>
        <w:t>Duluth, Minnesota 55802</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2093</w:t>
      </w:r>
    </w:p>
    <w:p>
      <w:pPr>
        <w:spacing w:after="0" w:line="11" w:lineRule="exact"/>
        <w:rPr>
          <w:sz w:val="24"/>
          <w:szCs w:val="24"/>
          <w:color w:val="auto"/>
        </w:rPr>
      </w:pPr>
    </w:p>
    <w:p>
      <w:pPr>
        <w:jc w:val="center"/>
        <w:spacing w:after="0" w:line="207" w:lineRule="exact"/>
        <w:rPr>
          <w:sz w:val="20"/>
          <w:szCs w:val="20"/>
          <w:color w:val="auto"/>
        </w:rPr>
      </w:pPr>
      <w:r>
        <w:rPr>
          <w:rFonts w:ascii="Times New Roman" w:cs="Times New Roman" w:eastAsia="Times New Roman" w:hAnsi="Times New Roman"/>
          <w:sz w:val="18"/>
          <w:szCs w:val="18"/>
          <w:b w:val="1"/>
          <w:bCs w:val="1"/>
          <w:color w:val="auto"/>
        </w:rPr>
        <w:t>(218) 279</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5000</w:t>
      </w:r>
    </w:p>
    <w:p>
      <w:pPr>
        <w:sectPr>
          <w:pgSz w:w="11900" w:h="16838" w:orient="portrait"/>
          <w:cols w:equalWidth="0" w:num="1">
            <w:col w:w="11240"/>
          </w:cols>
          <w:pgMar w:left="320" w:top="225" w:right="339" w:bottom="1440" w:gutter="0" w:footer="0" w:header="0"/>
          <w:type w:val="continuous"/>
        </w:sectPr>
      </w:pPr>
    </w:p>
    <w:p>
      <w:pPr>
        <w:spacing w:after="0" w:line="2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including zip code, and telephone number, including area code, of registrant’s principal executive offices)</w:t>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JULIE L. PADILLA, ESQ.</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Vice President, Chief Legal Officer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Corporate Secretary</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30 West Superior Street</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Duluth, Minnesota 55802-2093</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(218) 279 5000</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(Name and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color w:val="auto"/>
        </w:rPr>
        <w:t>Approximate date of commencement of proposed sale to the public: Not applicable.</w:t>
      </w:r>
    </w:p>
    <w:p>
      <w:pPr>
        <w:spacing w:after="0" w:line="225" w:lineRule="exact"/>
        <w:rPr>
          <w:sz w:val="24"/>
          <w:szCs w:val="24"/>
          <w:color w:val="auto"/>
        </w:rPr>
      </w:pPr>
    </w:p>
    <w:p>
      <w:pPr>
        <w:jc w:val="both"/>
        <w:ind w:right="20" w:firstLine="648"/>
        <w:spacing w:after="0" w:line="239" w:lineRule="exact"/>
        <w:rPr>
          <w:sz w:val="20"/>
          <w:szCs w:val="20"/>
          <w:color w:val="auto"/>
        </w:rPr>
      </w:pPr>
      <w:r>
        <w:rPr>
          <w:rFonts w:ascii="Times New Roman" w:cs="Times New Roman" w:eastAsia="Times New Roman" w:hAnsi="Times New Roman"/>
          <w:sz w:val="18"/>
          <w:szCs w:val="18"/>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8"/>
          <w:szCs w:val="18"/>
          <w:color w:val="auto"/>
        </w:rPr>
        <w:t>☐</w:t>
      </w:r>
    </w:p>
    <w:p>
      <w:pPr>
        <w:spacing w:after="0" w:line="170" w:lineRule="exact"/>
        <w:rPr>
          <w:sz w:val="24"/>
          <w:szCs w:val="24"/>
          <w:color w:val="auto"/>
        </w:rPr>
      </w:pPr>
    </w:p>
    <w:p>
      <w:pPr>
        <w:jc w:val="both"/>
        <w:ind w:right="20" w:firstLine="648"/>
        <w:spacing w:after="0" w:line="239" w:lineRule="exact"/>
        <w:rPr>
          <w:sz w:val="20"/>
          <w:szCs w:val="20"/>
          <w:color w:val="auto"/>
        </w:rPr>
      </w:pPr>
      <w:r>
        <w:rPr>
          <w:rFonts w:ascii="Times New Roman" w:cs="Times New Roman" w:eastAsia="Times New Roman" w:hAnsi="Times New Roman"/>
          <w:sz w:val="18"/>
          <w:szCs w:val="18"/>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8"/>
          <w:szCs w:val="18"/>
          <w:color w:val="auto"/>
        </w:rPr>
        <w:t>☐</w:t>
      </w:r>
    </w:p>
    <w:p>
      <w:pPr>
        <w:spacing w:after="0" w:line="170" w:lineRule="exact"/>
        <w:rPr>
          <w:sz w:val="24"/>
          <w:szCs w:val="24"/>
          <w:color w:val="auto"/>
        </w:rPr>
      </w:pPr>
    </w:p>
    <w:p>
      <w:pPr>
        <w:jc w:val="both"/>
        <w:ind w:right="20" w:firstLine="648"/>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filed to register additional securities for an offering pursuant to Rule 462(b) under the Securities Act of 1933, please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30" w:lineRule="exact"/>
        <w:rPr>
          <w:sz w:val="24"/>
          <w:szCs w:val="24"/>
          <w:color w:val="auto"/>
        </w:rPr>
      </w:pPr>
    </w:p>
    <w:p>
      <w:pPr>
        <w:jc w:val="both"/>
        <w:ind w:firstLine="648"/>
        <w:spacing w:after="0" w:line="259" w:lineRule="exact"/>
        <w:rPr>
          <w:sz w:val="20"/>
          <w:szCs w:val="20"/>
          <w:color w:val="auto"/>
        </w:rPr>
      </w:pPr>
      <w:r>
        <w:rPr>
          <w:rFonts w:ascii="Times New Roman" w:cs="Times New Roman" w:eastAsia="Times New Roman" w:hAnsi="Times New Roman"/>
          <w:sz w:val="18"/>
          <w:szCs w:val="18"/>
          <w:color w:val="auto"/>
        </w:rPr>
        <w:t>If this Form is a post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effective amendment filed pursuant to Rule 462(c) under the Securities Act of 1933,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31" w:lineRule="exact"/>
        <w:rPr>
          <w:sz w:val="24"/>
          <w:szCs w:val="24"/>
          <w:color w:val="auto"/>
        </w:rPr>
      </w:pPr>
    </w:p>
    <w:p>
      <w:pPr>
        <w:jc w:val="both"/>
        <w:ind w:firstLine="648"/>
        <w:spacing w:after="0" w:line="259" w:lineRule="exact"/>
        <w:rPr>
          <w:sz w:val="20"/>
          <w:szCs w:val="20"/>
          <w:color w:val="auto"/>
        </w:rPr>
      </w:pPr>
      <w:r>
        <w:rPr>
          <w:rFonts w:ascii="Times New Roman" w:cs="Times New Roman" w:eastAsia="Times New Roman" w:hAnsi="Times New Roman"/>
          <w:sz w:val="18"/>
          <w:szCs w:val="18"/>
          <w:color w:val="auto"/>
        </w:rPr>
        <w:t>If this Form is a registration statement pursuant to General Instruction I.D. or a post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effective amendment thereto that shall become effective upon filing with the Commission pursuant to Rule 462(e) under the Securities Act of 1933, check the following box. </w:t>
      </w:r>
      <w:r>
        <w:rPr>
          <w:rFonts w:ascii="MS PGothic" w:cs="MS PGothic" w:eastAsia="MS PGothic" w:hAnsi="MS PGothic"/>
          <w:sz w:val="18"/>
          <w:szCs w:val="18"/>
          <w:color w:val="auto"/>
        </w:rPr>
        <w:t>☒</w:t>
      </w:r>
    </w:p>
    <w:p>
      <w:pPr>
        <w:spacing w:after="0" w:line="131" w:lineRule="exact"/>
        <w:rPr>
          <w:sz w:val="24"/>
          <w:szCs w:val="24"/>
          <w:color w:val="auto"/>
        </w:rPr>
      </w:pPr>
    </w:p>
    <w:p>
      <w:pPr>
        <w:jc w:val="both"/>
        <w:ind w:firstLine="648"/>
        <w:spacing w:after="0" w:line="259" w:lineRule="exact"/>
        <w:rPr>
          <w:sz w:val="20"/>
          <w:szCs w:val="20"/>
          <w:color w:val="auto"/>
        </w:rPr>
      </w:pPr>
      <w:r>
        <w:rPr>
          <w:rFonts w:ascii="Times New Roman" w:cs="Times New Roman" w:eastAsia="Times New Roman" w:hAnsi="Times New Roman"/>
          <w:sz w:val="18"/>
          <w:szCs w:val="18"/>
          <w:color w:val="auto"/>
        </w:rPr>
        <w:t>If this Form is a post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effective amendment to a registration statement filed pursuant to General Instruction I.D. filed to register additional securities or additional classes of securities pursuant to Rule 413(b) under the Securities Act of 1933, check the following box. </w:t>
      </w:r>
      <w:r>
        <w:rPr>
          <w:rFonts w:ascii="MS PGothic" w:cs="MS PGothic" w:eastAsia="MS PGothic" w:hAnsi="MS PGothic"/>
          <w:sz w:val="18"/>
          <w:szCs w:val="18"/>
          <w:color w:val="auto"/>
        </w:rPr>
        <w:t>☐</w:t>
      </w:r>
    </w:p>
    <w:p>
      <w:pPr>
        <w:spacing w:after="0" w:line="171"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Securities Exchange Act of 1934.</w:t>
      </w:r>
    </w:p>
    <w:p>
      <w:pPr>
        <w:sectPr>
          <w:pgSz w:w="11900" w:h="16838" w:orient="portrait"/>
          <w:cols w:equalWidth="0" w:num="1">
            <w:col w:w="11240"/>
          </w:cols>
          <w:pgMar w:left="320" w:top="225" w:right="339" w:bottom="1440" w:gutter="0" w:footer="0" w:header="0"/>
          <w:type w:val="continuous"/>
        </w:sectPr>
      </w:pPr>
    </w:p>
    <w:p>
      <w:pPr>
        <w:spacing w:after="0" w:line="135"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Large 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15"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Accelerated filer </w:t>
      </w:r>
      <w:r>
        <w:rPr>
          <w:rFonts w:ascii="MS PGothic" w:cs="MS PGothic" w:eastAsia="MS PGothic" w:hAnsi="MS PGothic"/>
          <w:sz w:val="17"/>
          <w:szCs w:val="17"/>
          <w:color w:val="auto"/>
        </w:rPr>
        <w:t>☐</w:t>
      </w:r>
    </w:p>
    <w:p>
      <w:pPr>
        <w:spacing w:after="0" w:line="200" w:lineRule="exact"/>
        <w:rPr>
          <w:sz w:val="24"/>
          <w:szCs w:val="24"/>
          <w:color w:val="auto"/>
        </w:rPr>
      </w:pPr>
    </w:p>
    <w:p>
      <w:pPr>
        <w:sectPr>
          <w:pgSz w:w="11900" w:h="16838" w:orient="portrait"/>
          <w:cols w:equalWidth="0" w:num="2">
            <w:col w:w="2100" w:space="720"/>
            <w:col w:w="8420"/>
          </w:cols>
          <w:pgMar w:left="320" w:top="225" w:right="339" w:bottom="1440" w:gutter="0" w:footer="0" w:header="0"/>
          <w:type w:val="continuous"/>
        </w:sectPr>
      </w:pPr>
    </w:p>
    <w:p>
      <w:pPr>
        <w:spacing w:after="0" w:line="37"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Non-accelerated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7"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200" w:lineRule="exact"/>
        <w:rPr>
          <w:sz w:val="24"/>
          <w:szCs w:val="24"/>
          <w:color w:val="auto"/>
        </w:rPr>
      </w:pPr>
    </w:p>
    <w:p>
      <w:pPr>
        <w:sectPr>
          <w:pgSz w:w="11900" w:h="16838" w:orient="portrait"/>
          <w:cols w:equalWidth="0" w:num="2">
            <w:col w:w="2100" w:space="720"/>
            <w:col w:w="8420"/>
          </w:cols>
          <w:pgMar w:left="320" w:top="225" w:right="339" w:bottom="1440" w:gutter="0" w:footer="0" w:header="0"/>
          <w:type w:val="continuous"/>
        </w:sectPr>
      </w:pPr>
    </w:p>
    <w:p>
      <w:pPr>
        <w:spacing w:after="0" w:line="37"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ectPr>
          <w:pgSz w:w="11900" w:h="16838" w:orient="portrait"/>
          <w:cols w:equalWidth="0" w:num="1">
            <w:col w:w="11240"/>
          </w:cols>
          <w:pgMar w:left="320" w:top="225" w:right="339" w:bottom="1440" w:gutter="0" w:footer="0" w:header="0"/>
          <w:type w:val="continuous"/>
        </w:sectPr>
      </w:pPr>
    </w:p>
    <w:p>
      <w:pPr>
        <w:spacing w:after="0" w:line="277"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of 1933.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type w:val="continuous"/>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These Post-Effective Amendments (each, a “Post-Effective Amendment” and collectively, the “Post-Effective Amendments”) relate to the following registration statements filed by ALLETE, Inc. (the “Company”) with the Securities and Exchange Commission on Form S-3: Registration Statement Nos. 333-284981 and 333-287004 (each, as amended, a “Registration Statement” and collectively, the “Registration Statements”).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December 15, 2025, pursuant to the terms of the Plan of Merger, dated as of May 5, 2024, by and among the Company, Alloy Parent LLC, a Delaware limited liability company (“Parent”), and Alloy Merger Sub LLC, a Delaware limited liability company and wholly owned subsidiary of Parent (“Merger Sub”), Merger Sub merged with and into the Company (the “Merger”), with the Company continuing as the surviving corporation in the Merger and becoming a subsidiary of Parent.</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a result of the Merger, any and all offerings of securities registered pursuant to the Registration Statements have been terminated. In accordance with undertakings made by the Company in each Registration Statement to remove from registration, by means of a post-effective amendment, any of the securities registered under such Registration Statement that remain unsold at the termination of the offering, the Company hereby removes from registration any and all securities that remain unsold under each Registration Statement as of the date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236855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Company certifies that it has reasonable grounds to believe that it meets all of the requirements for filing on Form S-3 and has duly caused these Post-Effective Amendments to the Registration Statements described above to be signed on its behalf by the undersigned, thereunto duly authorized, in the City of Duluth, State of Minnesota, on the 16</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of December, 2025.</w:t>
      </w:r>
    </w:p>
    <w:p>
      <w:pPr>
        <w:spacing w:after="0" w:line="1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ALLETE, Inc.</w:t>
      </w:r>
    </w:p>
    <w:p>
      <w:pPr>
        <w:spacing w:after="0" w:line="229" w:lineRule="exact"/>
        <w:rPr>
          <w:sz w:val="20"/>
          <w:szCs w:val="20"/>
          <w:color w:val="auto"/>
        </w:rPr>
      </w:pPr>
    </w:p>
    <w:p>
      <w:pPr>
        <w:ind w:left="5980"/>
        <w:spacing w:after="0"/>
        <w:tabs>
          <w:tab w:leader="none" w:pos="80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Julie L. Padilla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16" w:lineRule="exact"/>
        <w:rPr>
          <w:sz w:val="20"/>
          <w:szCs w:val="20"/>
          <w:color w:val="auto"/>
        </w:rPr>
      </w:pPr>
    </w:p>
    <w:p>
      <w:pPr>
        <w:jc w:val="center"/>
        <w:ind w:left="6140"/>
        <w:spacing w:after="0"/>
        <w:rPr>
          <w:sz w:val="20"/>
          <w:szCs w:val="20"/>
          <w:color w:val="auto"/>
        </w:rPr>
      </w:pPr>
      <w:r>
        <w:rPr>
          <w:rFonts w:ascii="Times New Roman" w:cs="Times New Roman" w:eastAsia="Times New Roman" w:hAnsi="Times New Roman"/>
          <w:sz w:val="18"/>
          <w:szCs w:val="18"/>
          <w:color w:val="auto"/>
        </w:rPr>
        <w:t>Julie L. Padilla</w:t>
      </w:r>
    </w:p>
    <w:p>
      <w:pPr>
        <w:spacing w:after="0" w:line="27" w:lineRule="exact"/>
        <w:rPr>
          <w:sz w:val="20"/>
          <w:szCs w:val="20"/>
          <w:color w:val="auto"/>
        </w:rPr>
      </w:pPr>
    </w:p>
    <w:p>
      <w:pPr>
        <w:jc w:val="center"/>
        <w:ind w:left="6180"/>
        <w:spacing w:after="0"/>
        <w:rPr>
          <w:sz w:val="20"/>
          <w:szCs w:val="20"/>
          <w:color w:val="auto"/>
        </w:rPr>
      </w:pPr>
      <w:r>
        <w:rPr>
          <w:rFonts w:ascii="Times New Roman" w:cs="Times New Roman" w:eastAsia="Times New Roman" w:hAnsi="Times New Roman"/>
          <w:sz w:val="18"/>
          <w:szCs w:val="18"/>
          <w:color w:val="auto"/>
        </w:rPr>
        <w:t>Vice President, Chief Legal Officer and Corporate Secretary</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 other person is required to sign these Post-Effective Amendments to the Registration Statements in reliance upon Rule 478 under the Securities Act of 1933,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2025-12-16T16:18:28Z</dcterms:created>
  <dcterms:modified xsi:type="dcterms:W3CDTF">2025-12-16T16:18:28Z</dcterms:modified>
</cp:coreProperties>
</file>