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 JUNE 30, 2005</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440" w:right="3339" w:hanging="432"/>
        <w:spacing w:after="0" w:line="255" w:lineRule="auto"/>
        <w:tabs>
          <w:tab w:leader="none" w:pos="1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020" w:space="720"/>
            <w:col w:w="5499"/>
          </w:cols>
          <w:pgMar w:left="220" w:top="395"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4"/>
          <w:szCs w:val="24"/>
          <w:color w:val="auto"/>
        </w:rPr>
      </w:pPr>
    </w:p>
    <w:p>
      <w:pPr>
        <w:ind w:left="1560"/>
        <w:spacing w:after="0"/>
        <w:tabs>
          <w:tab w:leader="none" w:pos="2220" w:val="left"/>
          <w:tab w:leader="none" w:pos="28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3"/>
          <w:szCs w:val="13"/>
          <w:color w:val="auto"/>
        </w:rPr>
        <w:t>No</w:t>
      </w:r>
    </w:p>
    <w:p>
      <w:pPr>
        <w:spacing w:after="0" w:line="7" w:lineRule="exact"/>
        <w:rPr>
          <w:sz w:val="24"/>
          <w:szCs w:val="24"/>
          <w:color w:val="auto"/>
        </w:rPr>
      </w:pPr>
    </w:p>
    <w:p>
      <w:pPr>
        <w:ind w:left="2080"/>
        <w:spacing w:after="0"/>
        <w:tabs>
          <w:tab w:leader="none" w:pos="3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Rule 12b-2 of the Exchange Act).</w:t>
      </w:r>
    </w:p>
    <w:p>
      <w:pPr>
        <w:spacing w:after="0" w:line="1" w:lineRule="exact"/>
        <w:rPr>
          <w:sz w:val="24"/>
          <w:szCs w:val="24"/>
          <w:color w:val="auto"/>
        </w:rPr>
      </w:pPr>
    </w:p>
    <w:p>
      <w:pPr>
        <w:ind w:left="1560"/>
        <w:spacing w:after="0"/>
        <w:tabs>
          <w:tab w:leader="none" w:pos="2220" w:val="left"/>
          <w:tab w:leader="none" w:pos="28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3"/>
          <w:szCs w:val="13"/>
          <w:color w:val="auto"/>
        </w:rPr>
        <w:t>No</w:t>
      </w:r>
    </w:p>
    <w:p>
      <w:pPr>
        <w:spacing w:after="0" w:line="7" w:lineRule="exact"/>
        <w:rPr>
          <w:sz w:val="24"/>
          <w:szCs w:val="24"/>
          <w:color w:val="auto"/>
        </w:rPr>
      </w:pPr>
    </w:p>
    <w:p>
      <w:pPr>
        <w:ind w:left="2080"/>
        <w:spacing w:after="0"/>
        <w:tabs>
          <w:tab w:leader="none" w:pos="3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29,992,521 shares outstanding</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as of June 30, 2005</w:t>
      </w:r>
    </w:p>
    <w:p>
      <w:pPr>
        <w:sectPr>
          <w:pgSz w:w="11900" w:h="16838" w:orient="portrait"/>
          <w:cols w:equalWidth="0" w:num="1">
            <w:col w:w="10239"/>
          </w:cols>
          <w:pgMar w:left="220" w:top="39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1680"/>
              <w:spacing w:after="0"/>
              <w:rPr>
                <w:sz w:val="20"/>
                <w:szCs w:val="20"/>
                <w:color w:val="auto"/>
              </w:rPr>
            </w:pPr>
            <w:r>
              <w:rPr>
                <w:rFonts w:ascii="Courier New" w:cs="Courier New" w:eastAsia="Courier New" w:hAnsi="Courier New"/>
                <w:sz w:val="14"/>
                <w:szCs w:val="14"/>
                <w:color w:val="auto"/>
              </w:rPr>
              <w:t>INDEX</w:t>
            </w:r>
          </w:p>
        </w:tc>
        <w:tc>
          <w:tcPr>
            <w:tcW w:w="60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Reform Act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7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60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60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Balance Sheet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June 30, 2005 and December 31, 2004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Income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Quarter and Six Months Ended June 30, 2005 and 2004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Cash Flows -</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Six Months Ended June 30, 2005 and 2004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18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Condition and Results of Operations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Market Risk</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331"/>
        </w:trPr>
        <w:tc>
          <w:tcPr>
            <w:tcW w:w="630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60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Unregistered Sales of Equity Securities and Use</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of Proceeds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Defaults Upon Senior Securities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6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Courier New" w:cs="Courier New" w:eastAsia="Courier New" w:hAnsi="Courier New"/>
                <w:sz w:val="14"/>
                <w:szCs w:val="14"/>
                <w:color w:val="auto"/>
              </w:rPr>
              <w:t>ALLETE Second Quarter 2005 Form 10-Q</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2004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Year Ended December 31, 2004</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ADESA</w:t>
      </w:r>
      <w:r>
        <w:rPr>
          <w:sz w:val="20"/>
          <w:szCs w:val="20"/>
          <w:color w:val="auto"/>
        </w:rPr>
        <w:tab/>
      </w:r>
      <w:r>
        <w:rPr>
          <w:rFonts w:ascii="Courier New" w:cs="Courier New" w:eastAsia="Courier New" w:hAnsi="Courier New"/>
          <w:sz w:val="14"/>
          <w:szCs w:val="14"/>
          <w:color w:val="auto"/>
        </w:rPr>
        <w:t>ADESA, Inc.</w:t>
      </w:r>
    </w:p>
    <w:p>
      <w:pPr>
        <w:spacing w:after="0" w:line="7" w:lineRule="exact"/>
        <w:rPr>
          <w:sz w:val="20"/>
          <w:szCs w:val="20"/>
          <w:color w:val="auto"/>
        </w:rPr>
      </w:pPr>
    </w:p>
    <w:p>
      <w:pPr>
        <w:spacing w:after="0"/>
        <w:tabs>
          <w:tab w:leader="none" w:pos="3520" w:val="left"/>
          <w:tab w:leader="none" w:pos="6360" w:val="left"/>
        </w:tabs>
        <w:rPr>
          <w:sz w:val="20"/>
          <w:szCs w:val="20"/>
          <w:color w:val="auto"/>
        </w:rPr>
      </w:pPr>
      <w:r>
        <w:rPr>
          <w:rFonts w:ascii="Courier New" w:cs="Courier New" w:eastAsia="Courier New" w:hAnsi="Courier New"/>
          <w:sz w:val="14"/>
          <w:szCs w:val="14"/>
          <w:color w:val="auto"/>
        </w:rPr>
        <w:t>AICPA</w:t>
      </w:r>
      <w:r>
        <w:rPr>
          <w:sz w:val="20"/>
          <w:szCs w:val="20"/>
          <w:color w:val="auto"/>
        </w:rPr>
        <w:tab/>
      </w:r>
      <w:r>
        <w:rPr>
          <w:rFonts w:ascii="Courier New" w:cs="Courier New" w:eastAsia="Courier New" w:hAnsi="Courier New"/>
          <w:sz w:val="14"/>
          <w:szCs w:val="14"/>
          <w:color w:val="auto"/>
        </w:rPr>
        <w:t>American Institute of Certified</w:t>
        <w:tab/>
        <w:t>Public</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Accountants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APB</w:t>
      </w:r>
      <w:r>
        <w:rPr>
          <w:sz w:val="20"/>
          <w:szCs w:val="20"/>
          <w:color w:val="auto"/>
        </w:rPr>
        <w:tab/>
      </w:r>
      <w:r>
        <w:rPr>
          <w:rFonts w:ascii="Courier New" w:cs="Courier New" w:eastAsia="Courier New" w:hAnsi="Courier New"/>
          <w:sz w:val="14"/>
          <w:szCs w:val="14"/>
          <w:color w:val="auto"/>
        </w:rPr>
        <w:t>Accounting Principles Board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Aqua America</w:t>
      </w:r>
      <w:r>
        <w:rPr>
          <w:sz w:val="20"/>
          <w:szCs w:val="20"/>
          <w:color w:val="auto"/>
        </w:rPr>
        <w:tab/>
      </w:r>
      <w:r>
        <w:rPr>
          <w:rFonts w:ascii="Courier New" w:cs="Courier New" w:eastAsia="Courier New" w:hAnsi="Courier New"/>
          <w:sz w:val="14"/>
          <w:szCs w:val="14"/>
          <w:color w:val="auto"/>
        </w:rPr>
        <w:t>Aqua America,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Florida Landmark</w:t>
      </w:r>
      <w:r>
        <w:rPr>
          <w:sz w:val="20"/>
          <w:szCs w:val="20"/>
          <w:color w:val="auto"/>
        </w:rPr>
        <w:tab/>
      </w:r>
      <w:r>
        <w:rPr>
          <w:rFonts w:ascii="Courier New" w:cs="Courier New" w:eastAsia="Courier New" w:hAnsi="Courier New"/>
          <w:sz w:val="14"/>
          <w:szCs w:val="14"/>
          <w:color w:val="auto"/>
        </w:rPr>
        <w:t>Florida Landmark Communities,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Staff Position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Accepted in the United States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Hibbard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Resources</w:t>
      </w:r>
    </w:p>
    <w:p>
      <w:pPr>
        <w:spacing w:after="0" w:line="173" w:lineRule="exact"/>
        <w:rPr>
          <w:sz w:val="20"/>
          <w:szCs w:val="20"/>
          <w:color w:val="auto"/>
        </w:rPr>
      </w:pPr>
    </w:p>
    <w:p>
      <w:pPr>
        <w:ind w:left="1900"/>
        <w:spacing w:after="0"/>
        <w:tabs>
          <w:tab w:leader="none" w:pos="6800" w:val="left"/>
        </w:tabs>
        <w:rPr>
          <w:sz w:val="20"/>
          <w:szCs w:val="20"/>
          <w:color w:val="auto"/>
        </w:rPr>
      </w:pPr>
      <w:r>
        <w:rPr>
          <w:rFonts w:ascii="Courier New" w:cs="Courier New" w:eastAsia="Courier New" w:hAnsi="Courier New"/>
          <w:sz w:val="14"/>
          <w:szCs w:val="14"/>
          <w:color w:val="auto"/>
        </w:rPr>
        <w:t>ALLETE Second Quarter 2005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782"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in addition to any assumptions and other factors referred to specifically in connection with such forward-looking statements, which are difficult to predict, contain uncertainties, are beyond our control and may cause actual results or outcomes to differ materially from those contained in forward-looking statements:</w:t>
      </w:r>
    </w:p>
    <w:p>
      <w:pPr>
        <w:spacing w:after="0" w:line="164" w:lineRule="exact"/>
        <w:rPr>
          <w:sz w:val="20"/>
          <w:szCs w:val="20"/>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jc w:val="both"/>
        <w:ind w:left="260" w:right="3339" w:hanging="166"/>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FPSC,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3"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260" w:right="3339" w:hanging="166"/>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w:t>
      </w: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7" w:lineRule="exact"/>
        <w:rPr>
          <w:rFonts w:ascii="Courier New" w:cs="Courier New" w:eastAsia="Courier New" w:hAnsi="Courier New"/>
          <w:sz w:val="14"/>
          <w:szCs w:val="14"/>
          <w:color w:val="auto"/>
        </w:rPr>
      </w:pPr>
    </w:p>
    <w:p>
      <w:pPr>
        <w:ind w:left="260" w:hanging="166"/>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 and</w:t>
      </w:r>
    </w:p>
    <w:p>
      <w:pPr>
        <w:spacing w:after="0" w:line="7" w:lineRule="exact"/>
        <w:rPr>
          <w:rFonts w:ascii="Courier New" w:cs="Courier New" w:eastAsia="Courier New" w:hAnsi="Courier New"/>
          <w:sz w:val="14"/>
          <w:szCs w:val="14"/>
          <w:color w:val="auto"/>
        </w:rPr>
      </w:pPr>
    </w:p>
    <w:p>
      <w:pPr>
        <w:jc w:val="both"/>
        <w:ind w:left="260" w:right="3339" w:hanging="166"/>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7 under the heading "Factors that May Affect Future Results" beginning on page 36 of our 2004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our 2004 Form 10-K and in our other reports filed with the SEC that attempt to advise interested parties of the factors that may affect our business.</w:t>
      </w:r>
    </w:p>
    <w:p>
      <w:pPr>
        <w:spacing w:after="0" w:line="32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3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tbl>
      <w:tblPr>
        <w:tblLayout w:type="fixed"/>
        <w:tblInd w:w="7240" w:type="dxa"/>
        <w:tblCellMar>
          <w:top w:w="0" w:type="dxa"/>
          <w:left w:w="0" w:type="dxa"/>
          <w:bottom w:w="0" w:type="dxa"/>
          <w:right w:w="0" w:type="dxa"/>
        </w:tblCellMar>
      </w:tblPr>
      <w:tr>
        <w:trPr>
          <w:trHeight w:val="162"/>
        </w:trPr>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79.1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44.9</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Restricted Cash</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149.2</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$2.0 and $2.0)</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883.0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$1,353.4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$1,431.4</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143.9</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777.0</w:t>
      </w:r>
      <w:r>
        <w:rPr>
          <w:sz w:val="20"/>
          <w:szCs w:val="20"/>
          <w:color w:val="auto"/>
        </w:rPr>
        <w:tab/>
      </w:r>
      <w:r>
        <w:rPr>
          <w:rFonts w:ascii="Courier New" w:cs="Courier New" w:eastAsia="Courier New" w:hAnsi="Courier New"/>
          <w:sz w:val="14"/>
          <w:szCs w:val="14"/>
          <w:color w:val="auto"/>
        </w:rPr>
        <w:t>800.9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30.0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29.7 Shares Outstanding</w:t>
            </w:r>
          </w:p>
        </w:tc>
        <w:tc>
          <w:tcPr>
            <w:tcW w:w="288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412.9</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400.1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(79.3)</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(51.4)</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88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(11.4)</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(11.4)</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254.2</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293.2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576.4</w:t>
      </w:r>
      <w:r>
        <w:rPr>
          <w:sz w:val="20"/>
          <w:szCs w:val="20"/>
          <w:color w:val="auto"/>
        </w:rPr>
        <w:tab/>
      </w:r>
      <w:r>
        <w:rPr>
          <w:rFonts w:ascii="Courier New" w:cs="Courier New" w:eastAsia="Courier New" w:hAnsi="Courier New"/>
          <w:sz w:val="14"/>
          <w:szCs w:val="14"/>
          <w:color w:val="auto"/>
        </w:rPr>
        <w:t>630.5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88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$1,353.4</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82" w:right="1440" w:bottom="257" w:gutter="0" w:footer="0" w:header="0"/>
        </w:sectPr>
      </w:pPr>
    </w:p>
    <w:bookmarkStart w:id="5" w:name="page6"/>
    <w:bookmarkEnd w:id="5"/>
    <w:p>
      <w:pPr>
        <w:ind w:left="484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Millions Except Per Share Amounts - Unaudited</w:t>
      </w:r>
    </w:p>
    <w:p>
      <w:pPr>
        <w:sectPr>
          <w:pgSz w:w="11900" w:h="16838" w:orient="portrait"/>
          <w:cols w:equalWidth="0" w:num="1">
            <w:col w:w="10780"/>
          </w:cols>
          <w:pgMar w:left="220" w:top="782" w:right="899" w:bottom="1088" w:gutter="0" w:footer="0" w:header="0"/>
        </w:sectPr>
      </w:pPr>
    </w:p>
    <w:p>
      <w:pPr>
        <w:spacing w:after="0" w:line="338"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8080" w:space="720"/>
            <w:col w:w="1980"/>
          </w:cols>
          <w:pgMar w:left="220" w:top="782" w:right="899" w:bottom="1088" w:gutter="0" w:footer="0" w:header="0"/>
          <w:type w:val="continuous"/>
        </w:sectPr>
      </w:pPr>
    </w:p>
    <w:p>
      <w:pPr>
        <w:ind w:left="6220"/>
        <w:spacing w:after="0"/>
        <w:tabs>
          <w:tab w:leader="none" w:pos="7300" w:val="left"/>
          <w:tab w:leader="none" w:pos="8600" w:val="left"/>
          <w:tab w:leader="none" w:pos="998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780"/>
          </w:cols>
          <w:pgMar w:left="220" w:top="782" w:right="899" w:bottom="1088"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$ 186.8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$ 393.7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70.3</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77.2</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139.4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146.1</w:t>
            </w: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81.6</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77.2</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164.7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160.8</w:t>
            </w: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77.9</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242.5</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166.9</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407.3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331.8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0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22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22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(21.5)</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FROM</w:t>
            </w:r>
          </w:p>
        </w:tc>
        <w:tc>
          <w:tcPr>
            <w:tcW w:w="3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 CHANGE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 ACCOUNTING</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PRINCIPLE</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23.8</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43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FROM DISCONTINUED OPERATIONS - NET OF TAX</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65.6</w:t>
            </w:r>
          </w:p>
        </w:tc>
      </w:tr>
      <w:tr>
        <w:trPr>
          <w:trHeight w:val="331"/>
        </w:trPr>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2680" w:type="dxa"/>
            <w:vAlign w:val="bottom"/>
          </w:tcPr>
          <w:p>
            <w:pPr>
              <w:ind w:left="60"/>
              <w:spacing w:after="0"/>
              <w:rPr>
                <w:sz w:val="20"/>
                <w:szCs w:val="20"/>
                <w:color w:val="auto"/>
              </w:rPr>
            </w:pPr>
            <w:r>
              <w:rPr>
                <w:rFonts w:ascii="Courier New" w:cs="Courier New" w:eastAsia="Courier New" w:hAnsi="Courier New"/>
                <w:sz w:val="14"/>
                <w:szCs w:val="14"/>
                <w:color w:val="auto"/>
              </w:rPr>
              <w:t>NET OF TAX</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(40.3)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2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28.5</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(LOSS) PER</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1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$0.85</w:t>
            </w:r>
          </w:p>
        </w:tc>
      </w:tr>
      <w:tr>
        <w:trPr>
          <w:trHeight w:val="166"/>
        </w:trPr>
        <w:tc>
          <w:tcPr>
            <w:tcW w:w="51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Accounting</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300" w:val="left"/>
          <w:tab w:leader="none" w:pos="8520" w:val="left"/>
          <w:tab w:leader="none" w:pos="9980" w:val="left"/>
        </w:tabs>
        <w:rPr>
          <w:sz w:val="20"/>
          <w:szCs w:val="20"/>
          <w:color w:val="auto"/>
        </w:rPr>
      </w:pP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$(0.84)</w:t>
      </w:r>
      <w:r>
        <w:rPr>
          <w:sz w:val="20"/>
          <w:szCs w:val="20"/>
          <w:color w:val="auto"/>
        </w:rPr>
        <w:tab/>
      </w:r>
      <w:r>
        <w:rPr>
          <w:rFonts w:ascii="Courier New" w:cs="Courier New" w:eastAsia="Courier New" w:hAnsi="Courier New"/>
          <w:sz w:val="14"/>
          <w:szCs w:val="14"/>
          <w:color w:val="auto"/>
        </w:rPr>
        <w:t>$2.89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0"/>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300" w:val="left"/>
          <w:tab w:leader="none" w:pos="8520" w:val="left"/>
          <w:tab w:leader="none" w:pos="9980" w:val="left"/>
        </w:tabs>
        <w:rPr>
          <w:sz w:val="20"/>
          <w:szCs w:val="20"/>
          <w:color w:val="auto"/>
        </w:rPr>
      </w:pP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$(0.84)</w:t>
      </w:r>
      <w:r>
        <w:rPr>
          <w:sz w:val="20"/>
          <w:szCs w:val="20"/>
          <w:color w:val="auto"/>
        </w:rPr>
        <w:tab/>
      </w:r>
      <w:r>
        <w:rPr>
          <w:rFonts w:ascii="Courier New" w:cs="Courier New" w:eastAsia="Courier New" w:hAnsi="Courier New"/>
          <w:sz w:val="14"/>
          <w:szCs w:val="14"/>
          <w:color w:val="auto"/>
        </w:rPr>
        <w:t>$2.88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020" w:val="left"/>
          <w:tab w:leader="none" w:pos="7140" w:val="left"/>
          <w:tab w:leader="none" w:pos="8420" w:val="left"/>
          <w:tab w:leader="none" w:pos="980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$0.8475</w:t>
      </w:r>
      <w:r>
        <w:rPr>
          <w:sz w:val="20"/>
          <w:szCs w:val="20"/>
          <w:color w:val="auto"/>
        </w:rPr>
        <w:tab/>
      </w:r>
      <w:r>
        <w:rPr>
          <w:rFonts w:ascii="Courier New" w:cs="Courier New" w:eastAsia="Courier New" w:hAnsi="Courier New"/>
          <w:sz w:val="14"/>
          <w:szCs w:val="14"/>
          <w:color w:val="auto"/>
        </w:rPr>
        <w:t>$0.6150</w:t>
      </w:r>
      <w:r>
        <w:rPr>
          <w:sz w:val="20"/>
          <w:szCs w:val="20"/>
          <w:color w:val="auto"/>
        </w:rPr>
        <w:tab/>
      </w:r>
      <w:r>
        <w:rPr>
          <w:rFonts w:ascii="Courier New" w:cs="Courier New" w:eastAsia="Courier New" w:hAnsi="Courier New"/>
          <w:sz w:val="14"/>
          <w:szCs w:val="14"/>
          <w:color w:val="auto"/>
        </w:rPr>
        <w:t>$1.6950</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780"/>
          </w:cols>
          <w:pgMar w:left="220" w:top="782" w:right="899" w:bottom="1088" w:gutter="0" w:footer="0" w:header="0"/>
          <w:type w:val="continuous"/>
        </w:sectPr>
      </w:pPr>
    </w:p>
    <w:bookmarkStart w:id="6" w:name="page7"/>
    <w:bookmarkEnd w:id="6"/>
    <w:p>
      <w:pPr>
        <w:ind w:left="51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Millions - Unaudited</w:t>
      </w:r>
    </w:p>
    <w:p>
      <w:pPr>
        <w:spacing w:after="0" w:line="173" w:lineRule="exact"/>
        <w:rPr>
          <w:sz w:val="20"/>
          <w:szCs w:val="20"/>
          <w:color w:val="auto"/>
        </w:rPr>
      </w:pPr>
    </w:p>
    <w:tbl>
      <w:tblPr>
        <w:tblLayout w:type="fixed"/>
        <w:tblInd w:w="742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18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380" w:type="dxa"/>
            <w:vAlign w:val="bottom"/>
          </w:tcPr>
          <w:p>
            <w:pPr>
              <w:spacing w:after="0"/>
              <w:rPr>
                <w:sz w:val="14"/>
                <w:szCs w:val="14"/>
                <w:color w:val="auto"/>
              </w:rPr>
            </w:pPr>
          </w:p>
        </w:tc>
        <w:tc>
          <w:tcPr>
            <w:tcW w:w="18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2005</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Income (Loss) from Continuing Operations</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$ 16.0</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Change in Accounting Principle</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Loss on Impairment of Investments</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Depreciation</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Minority Interest</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Short-Term Investments</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Inventories</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Prepayments and Other</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Accounts Payable</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Other Current Liabilities</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Other Assets</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Net Operating Activities from (for) Discontinued Operations</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Cash from (for) Operating Activities</w:t>
            </w:r>
          </w:p>
        </w:tc>
        <w:tc>
          <w:tcPr>
            <w:tcW w:w="2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Proceeds from</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Sale of Available-For-Sale Securities</w:t>
            </w:r>
          </w:p>
        </w:tc>
        <w:tc>
          <w:tcPr>
            <w:tcW w:w="2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271.1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62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(183.5)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Changes to Investments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r>
      <w:tr>
        <w:trPr>
          <w:trHeight w:val="166"/>
        </w:trPr>
        <w:tc>
          <w:tcPr>
            <w:tcW w:w="62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4480" w:type="dxa"/>
            <w:vAlign w:val="bottom"/>
          </w:tcPr>
          <w:p>
            <w:pPr>
              <w:spacing w:after="0"/>
              <w:rPr>
                <w:sz w:val="14"/>
                <w:szCs w:val="14"/>
                <w:color w:val="auto"/>
              </w:rPr>
            </w:pP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Net Investing</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Activities from Discontinued Operations</w:t>
            </w:r>
          </w:p>
        </w:tc>
        <w:tc>
          <w:tcPr>
            <w:tcW w:w="2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Cash from Investing Activities</w:t>
            </w:r>
          </w:p>
        </w:tc>
        <w:tc>
          <w:tcPr>
            <w:tcW w:w="2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Issuance of Common Stock</w:t>
            </w:r>
          </w:p>
        </w:tc>
        <w:tc>
          <w:tcPr>
            <w:tcW w:w="3760" w:type="dxa"/>
            <w:vAlign w:val="bottom"/>
          </w:tcPr>
          <w:p>
            <w:pPr>
              <w:spacing w:after="0"/>
              <w:rPr>
                <w:sz w:val="14"/>
                <w:szCs w:val="14"/>
                <w:color w:val="auto"/>
              </w:rPr>
            </w:pPr>
          </w:p>
        </w:tc>
        <w:tc>
          <w:tcPr>
            <w:tcW w:w="20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6"/>
        </w:trPr>
        <w:tc>
          <w:tcPr>
            <w:tcW w:w="652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Issuance of Long-Term Debt</w:t>
            </w:r>
          </w:p>
        </w:tc>
        <w:tc>
          <w:tcPr>
            <w:tcW w:w="20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27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Changes in Notes Payable</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 Net</w:t>
            </w:r>
          </w:p>
        </w:tc>
        <w:tc>
          <w:tcPr>
            <w:tcW w:w="20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Reductions of</w:t>
            </w:r>
          </w:p>
        </w:tc>
        <w:tc>
          <w:tcPr>
            <w:tcW w:w="4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Long-Term Debt</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27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Dividends on Common Stock</w:t>
            </w:r>
          </w:p>
        </w:tc>
        <w:tc>
          <w:tcPr>
            <w:tcW w:w="3760" w:type="dxa"/>
            <w:vAlign w:val="bottom"/>
          </w:tcPr>
          <w:p>
            <w:pPr>
              <w:spacing w:after="0"/>
              <w:rPr>
                <w:sz w:val="14"/>
                <w:szCs w:val="14"/>
                <w:color w:val="auto"/>
              </w:rPr>
            </w:pP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Net Financing</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from (for) Discontinued Operations</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640" w:type="dxa"/>
            <w:vAlign w:val="bottom"/>
          </w:tcPr>
          <w:p>
            <w:pPr>
              <w:spacing w:after="0"/>
              <w:rPr>
                <w:sz w:val="20"/>
                <w:szCs w:val="20"/>
                <w:color w:val="auto"/>
              </w:rPr>
            </w:pPr>
            <w:r>
              <w:rPr>
                <w:rFonts w:ascii="Courier New" w:cs="Courier New" w:eastAsia="Courier New" w:hAnsi="Courier New"/>
                <w:sz w:val="14"/>
                <w:szCs w:val="14"/>
                <w:color w:val="auto"/>
              </w:rPr>
              <w:t>Cash from (for) Financing Activities</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660" w:val="left"/>
          <w:tab w:leader="none" w:pos="9380" w:val="left"/>
        </w:tabs>
        <w:rPr>
          <w:sz w:val="20"/>
          <w:szCs w:val="20"/>
          <w:color w:val="auto"/>
        </w:rPr>
      </w:pPr>
      <w:r>
        <w:rPr>
          <w:rFonts w:ascii="Courier New" w:cs="Courier New" w:eastAsia="Courier New" w:hAnsi="Courier New"/>
          <w:sz w:val="14"/>
          <w:szCs w:val="14"/>
          <w:color w:val="auto"/>
        </w:rPr>
        <w:t>EFFECT OF EXCHANGE RATE CHANGES ON CASH - 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385.3</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46.1</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$ 80.2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Cash Paid</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During the Period for</w:t>
            </w:r>
          </w:p>
        </w:tc>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3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Interest - Net of Capitalized</w:t>
            </w:r>
          </w:p>
        </w:tc>
        <w:tc>
          <w:tcPr>
            <w:tcW w:w="3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3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55" w:lineRule="auto"/>
        <w:rPr>
          <w:sz w:val="20"/>
          <w:szCs w:val="20"/>
          <w:color w:val="auto"/>
        </w:rPr>
      </w:pPr>
      <w:r>
        <w:rPr>
          <w:rFonts w:ascii="Courier New" w:cs="Courier New" w:eastAsia="Courier New" w:hAnsi="Courier New"/>
          <w:sz w:val="14"/>
          <w:szCs w:val="14"/>
          <w:color w:val="auto"/>
        </w:rPr>
        <w:t>Included $1.1 million of cash from Discontinued Operations at June 30, 2005 ($286.9 million at June 30, 2004) and $1.2 million at December 31, 2004 ($116.1 million at December 31, 2003).</w:t>
      </w:r>
    </w:p>
    <w:p>
      <w:pPr>
        <w:spacing w:after="0" w:line="32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780"/>
          </w:cols>
          <w:pgMar w:left="220" w:top="782" w:right="899"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2004 Form 10-K. In our opinion, all adjustments necessary for a fair statement of the results for the interim periods have been made. The results of operations for an interim period may not give a true indication of the results for the year.</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REVENUE AND EXPENSE RECOGNITION. Full profit recognition is recorded on sales upon closing, provided cash collections are at least 20 percent of the contract price and the other requirements of SFAS 66, "Accounting for Sales of Real Estate," are met. In certain cases, where there are obligations to perform significant development activities after the date of sale, we recognize profit on a percentage-of-completion basis in accordance with SFAS 66. Pursuant to this method of accounting, gross profit is recognized based upon the relationship of development costs incurred as of that date to the total estimated costs to develop the parcels, including all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Revenue and cost of real estate sold are recorded net as Deferred Profit on Sales of Real Estate on our consolidated balance sheet.</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Land held for sale is recorded at the lower of cost or fair value determined by the evaluation of individual land parcels.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When real estate is sold, the cost of sales includes the actual costs incurred and the estimate of future completion costs allocated to the real estate sold based upon the relative sales value method.</w:t>
      </w:r>
    </w:p>
    <w:p>
      <w:pPr>
        <w:spacing w:after="0" w:line="163"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Whenever events or circumstances indicate that the carrying value of the real estate may not be recoverable, impairment losses would be recorded and the related assets would be adjusted to their estimated fair value, less costs to sell.</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REVISION IN THE CLASSIFICATION OF CERTAIN SECURITIES. In connection with the preparation of this report, we concluded that it was appropriate to reclassify our auction rate municipal bonds and variable rate municipal demand notes as short-term investments. Previously, such investments had been classified as cash and cash equivalents. Accordingly, we now report these securities as short-term investments in a separate line item on our Consolidated Balance Sheet as of December 31, 2004. As of June 30, 2004 and December 31, 2003, we had no investments in these types of securities. Accordingly, there was no impact to our Consolidated Statement of Cash Flows for the period ended June 30, 2004. This change in classification does not affect previously reported cash flows from operations or from financing activities in our previously reported Consolidated Statements of Cash Flows, or our previously reported Consolidated Statements of Income for any period.</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year ended December 31, 2004, net cash used in investing activities related to these short-term investments of $149.2 million was included in cash and cash equivalents in our Consolidated Statement of Cash Flows.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SHORT-TERM INVESTMENTS. At June 30, 2005 and December 31, 2004, we held $61.6 million and $149.2 million, respectively, of short-term investments, consisting of auction rate municipal bonds and variable rate municipal demand notes classified as available-for-sale securities. Our investments in these securities are recorded at cost, which approximates fair market value due to their variable interest rates, which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8" w:name="page9"/>
    <w:bookmarkEnd w:id="8"/>
    <w:p>
      <w:pPr>
        <w:ind w:right="33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66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6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Fuel</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0"/>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980"/>
        <w:spacing w:after="0"/>
        <w:tabs>
          <w:tab w:leader="none" w:pos="5940" w:val="left"/>
        </w:tabs>
        <w:rPr>
          <w:sz w:val="20"/>
          <w:szCs w:val="20"/>
          <w:color w:val="auto"/>
        </w:rPr>
      </w:pPr>
      <w:r>
        <w:rPr>
          <w:rFonts w:ascii="Courier New" w:cs="Courier New" w:eastAsia="Courier New" w:hAnsi="Courier New"/>
          <w:sz w:val="14"/>
          <w:szCs w:val="14"/>
          <w:color w:val="auto"/>
        </w:rPr>
        <w:t>$36.2</w:t>
      </w:r>
      <w:r>
        <w:rPr>
          <w:sz w:val="20"/>
          <w:szCs w:val="20"/>
          <w:color w:val="auto"/>
        </w:rPr>
        <w:tab/>
      </w:r>
      <w:r>
        <w:rPr>
          <w:rFonts w:ascii="Courier New" w:cs="Courier New" w:eastAsia="Courier New" w:hAnsi="Courier New"/>
          <w:sz w:val="14"/>
          <w:szCs w:val="14"/>
          <w:color w:val="auto"/>
        </w:rPr>
        <w:t>$34.0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ACCOUNTING FOR STOCK-BASED COMPENSATION. We have elected to account for stock-based compensation in accordance with APB Opinion No. 25, "Accounting for Stock Issued to Employees." Accordingly, we recognize expense for performance share awards granted and do not recognize expense for employee stock options granted. The after-tax expense recognized in net income for performance share awards was approximately $0.6 million for the six months ended June 30, 2005 ($0.8 million for the six months ended June 30, 2004). The following table illustrates the effect on net income and earnings per share if we had applied the fair value recognition provisions of SFAS 123, "Accounting for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380"/>
        <w:spacing w:after="0"/>
        <w:tabs>
          <w:tab w:leader="none" w:pos="826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7" w:lineRule="exact"/>
        <w:rPr>
          <w:sz w:val="20"/>
          <w:szCs w:val="20"/>
          <w:color w:val="auto"/>
        </w:rPr>
      </w:pPr>
    </w:p>
    <w:p>
      <w:pPr>
        <w:spacing w:after="0"/>
        <w:tabs>
          <w:tab w:leader="none" w:pos="6540" w:val="left"/>
          <w:tab w:leader="none" w:pos="8600" w:val="left"/>
        </w:tabs>
        <w:rPr>
          <w:sz w:val="20"/>
          <w:szCs w:val="20"/>
          <w:color w:val="auto"/>
        </w:rPr>
      </w:pPr>
      <w:r>
        <w:rPr>
          <w:rFonts w:ascii="Courier New" w:cs="Courier New" w:eastAsia="Courier New" w:hAnsi="Courier New"/>
          <w:sz w:val="14"/>
          <w:szCs w:val="14"/>
          <w:color w:val="auto"/>
        </w:rPr>
        <w:t>EFFECT OF SFAS 123</w:t>
      </w:r>
      <w:r>
        <w:rPr>
          <w:sz w:val="20"/>
          <w:szCs w:val="20"/>
          <w:color w:val="auto"/>
        </w:rPr>
        <w:tab/>
      </w: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JUNE 30,</w:t>
      </w:r>
    </w:p>
    <w:p>
      <w:pPr>
        <w:spacing w:after="0" w:line="7" w:lineRule="exact"/>
        <w:rPr>
          <w:sz w:val="20"/>
          <w:szCs w:val="20"/>
          <w:color w:val="auto"/>
        </w:rPr>
      </w:pPr>
    </w:p>
    <w:p>
      <w:pPr>
        <w:spacing w:after="0"/>
        <w:tabs>
          <w:tab w:leader="none" w:pos="6100" w:val="left"/>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ACCOUNTING FOR STOCK-BASED COMPENSATION</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Net Income (Loss)</w:t>
            </w: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5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As Reported</w:t>
            </w:r>
          </w:p>
        </w:tc>
        <w:tc>
          <w:tcPr>
            <w:tcW w:w="1860" w:type="dxa"/>
            <w:vAlign w:val="bottom"/>
          </w:tcPr>
          <w:p>
            <w:pPr>
              <w:spacing w:after="0"/>
              <w:rPr>
                <w:sz w:val="14"/>
                <w:szCs w:val="14"/>
                <w:color w:val="auto"/>
              </w:rPr>
            </w:pP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Plus:  Employee Stock Compensation</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44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Included in Net Income (Loss) - Net of Tax</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Less:  Employee Stock Compensation</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Determined Under SFAS 123 -</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Net of Tax</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94" w:lineRule="exact"/>
        <w:rPr>
          <w:sz w:val="20"/>
          <w:szCs w:val="20"/>
          <w:color w:val="auto"/>
        </w:rPr>
      </w:pPr>
    </w:p>
    <w:p>
      <w:pPr>
        <w:ind w:left="8200"/>
        <w:spacing w:after="0"/>
        <w:tabs>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 Years</w:t>
            </w:r>
          </w:p>
        </w:tc>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3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239"/>
          </w:cols>
          <w:pgMar w:left="220" w:top="782" w:right="1440" w:bottom="1440" w:gutter="0" w:footer="0" w:header="0"/>
        </w:sectPr>
      </w:pPr>
    </w:p>
    <w:bookmarkStart w:id="9" w:name="page10"/>
    <w:bookmarkEnd w:id="9"/>
    <w:p>
      <w:pPr>
        <w:jc w:val="both"/>
        <w:ind w:right="3339"/>
        <w:spacing w:after="0" w:line="251" w:lineRule="auto"/>
        <w:rPr>
          <w:sz w:val="20"/>
          <w:szCs w:val="20"/>
          <w:color w:val="auto"/>
        </w:rPr>
      </w:pPr>
      <w:r>
        <w:rPr>
          <w:rFonts w:ascii="Courier New" w:cs="Courier New" w:eastAsia="Courier New" w:hAnsi="Courier New"/>
          <w:sz w:val="14"/>
          <w:szCs w:val="14"/>
          <w:color w:val="auto"/>
        </w:rPr>
        <w:t>NEW ACCOUNTING STANDARDS. SFAS 123(R). In December 2004, the FASB issued SFAS 123(R), "Share-Based Payment," which will be effective for enterprises as of the first interim or annual reporting period that begins after June 15, 2005. While the SEC has permitted delayed application of SFAS 123(R) until fiscal years beginning after June 15, 2005, we intend to adopt SFAS 123(R) in the third quarter of 2005. SFAS 123(R) replaces SFAS 123, "Accounting for Stock-Based Compensation," and supersedes APB Opinion No. 25, "Accounting for Stock Issued to Employees." The new standard requires that the compensation cost relating to share-based payment be recognized in financial statements at fair value. As such, reporting employee stock options under the intrinsic value-based method prescribed by APB Opinion No. 25 will no longer be allowed. Historically, we have elected to use the intrinsic value method and have not recognized expense for employee stock options granted. We estimate that the impact of adoption of SFAS 123(R) in 2005 will be an additional expense of approximately $0.2 million after tax.</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INTERPRETATION NO. 47. In March 2005, the FASB issued Interpretation No. 47, "Accounting for Conditional Asset Retirement Obligations." Interpretation No. 47 clarifies that the term "conditional asset retirement obligation" as used in SFAS 143, "Accounting for Asset Retirement Obligations," refers to a legal obligation to perform an asset retirement activity in which the timing and/or method of settlement are conditional on a future event that may or may not be within the control of the entity. However, the obligation to perform the asset retirement activity is unconditional even though uncertainty exists about the timing and/or method of settlement. Interpretation No. 47 requires that the uncertainty about the timing and/or method of settlement of a conditional asset retirement obligation be factored into the measurement of the liability when sufficient information exists. Interpretation No. 47 also clarifies when an entity would have sufficient information to reasonably estimate the fair value of an asset retirement obligation. Interpretation No. 47 is effective for fiscal years ending after December 15, 2005 (December 31, 2005 for calendar-year enterprises). Retroactive application of interim financial information is permitted, but not required. We are evaluating the impact of this Interpretation, but do not expect it to have a material impact on our financial position, results of operations or cash flows.</w:t>
      </w:r>
    </w:p>
    <w:p>
      <w:pPr>
        <w:spacing w:after="0" w:line="17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109. In July 2005, the FASB issued an exposure draft of an Interpretation of SFAS 109, "Accounting for Income Taxes." This proposed Interpretation clarifies the accounting for uncertain tax positions. An enterprise would be required to recognize, in its financial statements, the best estimate of the impact of a tax position only if that position is probable of being sustained, if audited by the taxing authorities, based solely on the technical merits of the position. In evaluating whether the probable recognition threshold has been met, this proposed Interpretation would require the presumption that the tax position will be evaluated during an audit by taxing authorities. The term probable is used in this proposed Interpretation consistent with its use in SFAS 5, "Accounting for Contingencies," to mean "the future event or events are likely to occur."</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Individual tax positions that fail to meet the probable recognition threshold will generally result in the inability to recognize the benefit of such position in the financial statements. This proposed Interpretation also provides guidance on disclosure, accrual of interest and penalties, accounting in interim periods, and transition. If adopted as proposed, this Interpretation would impact financial statements effective as of the end of the first fiscal year ending after December 15, 2005. We do not anticipate this Interpretation, if adopted as proposed, will have a material impact on the Company.</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154. In May 2005, the FASB issued SFAS 154, "Accounting Changes and Error Corrections" (SFAS 154) which replaces APB Opinion No. 20 "Accounting Changes" and SFAS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We are currently evaluating the effect that the adoption of SFAS 154 will have on our consolidated results of operations and financial condition but do not expect it to have a material impact.</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sectPr>
      </w:pPr>
    </w:p>
    <w:bookmarkStart w:id="10" w:name="page11"/>
    <w:bookmarkEnd w:id="10"/>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began allocating corporate charges and interest expense to our business segments. For comparative purposes, segment information for 2004 has been restated to reflect the new allocation method used in 2005 for corporate charges and interest expense. This restatement had no impact on consolidated net income or earnings per share.</w:t>
      </w:r>
    </w:p>
    <w:p>
      <w:pPr>
        <w:spacing w:after="0" w:line="200" w:lineRule="exact"/>
        <w:rPr>
          <w:sz w:val="20"/>
          <w:szCs w:val="20"/>
          <w:color w:val="auto"/>
        </w:rPr>
      </w:pPr>
    </w:p>
    <w:p>
      <w:pPr>
        <w:spacing w:after="0" w:line="296"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340"/>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880"/>
        <w:spacing w:after="0"/>
        <w:tabs>
          <w:tab w:leader="none" w:pos="5420" w:val="left"/>
          <w:tab w:leader="none" w:pos="6620" w:val="left"/>
          <w:tab w:leader="none" w:pos="8000" w:val="left"/>
          <w:tab w:leader="none" w:pos="912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 2005</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$186.8</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$137.8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64.6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81.6</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77.9</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(60.9)</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(78.4)</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(78.4)</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$(50.5)</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87"/>
              </w:rPr>
              <w:t>2.8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r>
      <w:tr>
        <w:trPr>
          <w:trHeight w:val="166"/>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(0.7)</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$(40.3)</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97"/>
        </w:trPr>
        <w:tc>
          <w:tcPr>
            <w:tcW w:w="406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 2004</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$136.8</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87"/>
              </w:rPr>
              <w:t>6.8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16.0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480" w:type="dxa"/>
            <w:vAlign w:val="bottom"/>
          </w:tcPr>
          <w:p>
            <w:pPr>
              <w:spacing w:after="0"/>
              <w:rPr>
                <w:sz w:val="14"/>
                <w:szCs w:val="14"/>
                <w:color w:val="auto"/>
              </w:rPr>
            </w:pPr>
          </w:p>
        </w:tc>
        <w:tc>
          <w:tcPr>
            <w:tcW w:w="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w:t>
            </w:r>
          </w:p>
        </w:tc>
        <w:tc>
          <w:tcPr>
            <w:tcW w:w="480" w:type="dxa"/>
            <w:vAlign w:val="bottom"/>
          </w:tcPr>
          <w:p>
            <w:pPr>
              <w:spacing w:after="0"/>
              <w:rPr>
                <w:sz w:val="14"/>
                <w:szCs w:val="14"/>
                <w:color w:val="auto"/>
              </w:rPr>
            </w:pPr>
          </w:p>
        </w:tc>
        <w:tc>
          <w:tcPr>
            <w:tcW w:w="6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87"/>
              </w:rPr>
              <w:t>2.5</w:t>
            </w:r>
          </w:p>
        </w:tc>
        <w:tc>
          <w:tcPr>
            <w:tcW w:w="4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16.0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spacing w:after="0"/>
              <w:rPr>
                <w:sz w:val="14"/>
                <w:szCs w:val="14"/>
                <w:color w:val="auto"/>
              </w:rPr>
            </w:pPr>
          </w:p>
        </w:tc>
        <w:tc>
          <w:tcPr>
            <w:tcW w:w="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19.3</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(9.1)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(3.5)</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4.2</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3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 Net</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of Tax</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34.3</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$ 36.7</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140" w:type="dxa"/>
            <w:vAlign w:val="bottom"/>
            <w:gridSpan w:val="2"/>
          </w:tcPr>
          <w:p>
            <w:pPr>
              <w:ind w:left="1900"/>
              <w:spacing w:after="0"/>
              <w:rPr>
                <w:sz w:val="20"/>
                <w:szCs w:val="20"/>
                <w:color w:val="auto"/>
              </w:rPr>
            </w:pPr>
            <w:r>
              <w:rPr>
                <w:rFonts w:ascii="Courier New" w:cs="Courier New" w:eastAsia="Courier New" w:hAnsi="Courier New"/>
                <w:sz w:val="14"/>
                <w:szCs w:val="14"/>
                <w:color w:val="auto"/>
              </w:rPr>
              <w:t>ALLETE Second Quarter 2005 Form 10-Q</w:t>
            </w:r>
          </w:p>
        </w:tc>
        <w:tc>
          <w:tcPr>
            <w:tcW w:w="1200" w:type="dxa"/>
            <w:vAlign w:val="bottom"/>
          </w:tcPr>
          <w:p>
            <w:pPr>
              <w:spacing w:after="0"/>
              <w:rPr>
                <w:sz w:val="24"/>
                <w:szCs w:val="2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085" w:gutter="0" w:footer="0" w:header="0"/>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pacing w:after="0" w:line="304"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340"/>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880"/>
        <w:spacing w:after="0"/>
        <w:tabs>
          <w:tab w:leader="none" w:pos="5420" w:val="left"/>
          <w:tab w:leader="none" w:pos="6620" w:val="left"/>
          <w:tab w:leader="none" w:pos="8000" w:val="left"/>
          <w:tab w:leader="none" w:pos="912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 2005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$393.7</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$285.4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139.4</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126.1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164.7</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97.6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77.9</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42.1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(31.2)</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of Tax</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$1,353.4</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$899.4</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$178.6</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$75.7</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$883.0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$728.8</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$788.0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$733.6</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$24.2</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$20.7</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FOR THE SIX MONTHS ENDED JUNE 30, 2004</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$278.2</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146.1</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94.6</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40.8</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42.1</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40.2</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$ 19.9</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Income from Discontinued Operations - Net of Tax  65.6</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$ 81.6</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$3,681.6</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$930.2</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$188.5</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$392.2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$928.9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$734.2</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$756.6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$709.2</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$43.4</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$24.7</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r>
    </w:tbl>
    <w:p>
      <w:pPr>
        <w:spacing w:after="0" w:line="170"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919"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 represented $4.0 million of total assets in 2005 ($2,094.6 million in 2004) and $0 of capital expenditures in 2005 ($8.7 million in 2004).</w:t>
      </w:r>
    </w:p>
    <w:p>
      <w:pPr>
        <w:sectPr>
          <w:pgSz w:w="11900" w:h="16838" w:orient="portrait"/>
          <w:cols w:equalWidth="0" w:num="1">
            <w:col w:w="10239"/>
          </w:cols>
          <w:pgMar w:left="220" w:top="616" w:right="1440" w:bottom="81" w:gutter="0" w:footer="0" w:header="0"/>
        </w:sectPr>
      </w:pPr>
    </w:p>
    <w:bookmarkStart w:id="12" w:name="page13"/>
    <w:bookmarkEnd w:id="12"/>
    <w:p>
      <w:pPr>
        <w:spacing w:after="0"/>
        <w:tabs>
          <w:tab w:leader="none" w:pos="18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141" w:right="1440" w:bottom="1440" w:gutter="0" w:footer="0" w:header="0"/>
        </w:sectPr>
      </w:pPr>
    </w:p>
    <w:bookmarkStart w:id="13" w:name="page14"/>
    <w:bookmarkEnd w:id="13"/>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At June 30, 2005, Investments included the real estate assets of ALLETE Properties, debt and equity securities consisting primarily of securities held to fund employee benefits, and our emerging technology investments.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720" w:type="dxa"/>
            <w:vAlign w:val="bottom"/>
          </w:tcPr>
          <w:p>
            <w:pPr>
              <w:jc w:val="center"/>
              <w:ind w:left="1108"/>
              <w:spacing w:after="0"/>
              <w:rPr>
                <w:sz w:val="20"/>
                <w:szCs w:val="20"/>
                <w:color w:val="auto"/>
              </w:rPr>
            </w:pPr>
            <w:r>
              <w:rPr>
                <w:rFonts w:ascii="Courier New" w:cs="Courier New" w:eastAsia="Courier New" w:hAnsi="Courier New"/>
                <w:sz w:val="14"/>
                <w:szCs w:val="14"/>
                <w:color w:val="auto"/>
              </w:rPr>
              <w:t>JUNE 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3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75.7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75.1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140"/>
        <w:spacing w:after="0"/>
        <w:tabs>
          <w:tab w:leader="none" w:pos="5840" w:val="left"/>
        </w:tabs>
        <w:rPr>
          <w:sz w:val="20"/>
          <w:szCs w:val="20"/>
          <w:color w:val="auto"/>
        </w:rPr>
      </w:pPr>
      <w:r>
        <w:rPr>
          <w:rFonts w:ascii="Courier New" w:cs="Courier New" w:eastAsia="Courier New" w:hAnsi="Courier New"/>
          <w:sz w:val="14"/>
          <w:szCs w:val="14"/>
          <w:color w:val="auto"/>
        </w:rPr>
        <w:t>$ 123.3</w:t>
      </w:r>
      <w:r>
        <w:rPr>
          <w:sz w:val="20"/>
          <w:szCs w:val="20"/>
          <w:color w:val="auto"/>
        </w:rPr>
        <w:tab/>
      </w:r>
      <w:r>
        <w:rPr>
          <w:rFonts w:ascii="Courier New" w:cs="Courier New" w:eastAsia="Courier New" w:hAnsi="Courier New"/>
          <w:sz w:val="14"/>
          <w:szCs w:val="14"/>
          <w:color w:val="auto"/>
        </w:rPr>
        <w:t>$ 124.5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At June 30, 2005, real estate assets included land of $45.3 million ($47.2 million at December 31, 2004), long-term finance receivables of $12.5 million ($9.7 million at December 31, 2004) and $17.9 million ($18.2 million at December 31, 2004) of other assets, which consisted primarily of a shopping center. Finance receivables have maturities ranging up to ten years, accrue interest at market-based rates and are net of an allowance for doubtful accounts of $0.6 million at June 30, 2005 ($0.7 million at December 31, 2004).</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INVESTMENTS. In March 2005, we recorded $5.1 million ($3.3 million after tax) of impairment losses related to certain investments in privately-held, start-up companies whose future business prospects have diminished significantly. Recent developments at these companies indicated that future commercial viability is unlikely, as is new financing necessary to continue development. The total carrying value of our direct investments in privately-held, start-up companies at June 30, 2005, was zero. Our remaining emerging technology investments consist of our interests in certain venture capital funds. We account for these investments under the equity method.</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16, 2005, Florida Landmark, a wholly-owned subsidiary of Lehigh Acquisition Corporation, which is an 80 percent owned subsidiary of ALLETE, entered into an $8.5 million revolving development loan with CypressCoquina Bank. The revolving development loan has an interest rate equal to the prime rate, with an initial term of 36 months. The term of the loan may be extended 24 months, if certain conditions are met. The loan is guaranteed by Lehigh Acquisition Corporation. No funds were drawn under this loan agreement at June 30, 2005.</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31, 2005, ALLETE executed a bond purchase agreement with certain institutional buyers in the private placement market to sell $35 million of ALLETE's first mortgage bonds. When issued, on or about August 1, 2005, the bonds will carry an interest rate of 5.28% and will have a term of 15 years. In June 2005, ALLETE called for redemption on August 1, 2005, $35 million in principal amount of First Mortgage Bonds, 7 1/2% Series due 2007.</w:t>
      </w: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KENDALL COUNTY CHARGE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April 1, 2005, Rainy River Energy, a wholly-owned subsidiary of ALLETE,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which is in effect through mid-September 2017. The payment resulted in a charge to our operating income in the second quarter of 2005. The tax benefits of the payment will be realized through a capital loss carry-back for federal income tax purposes and have been recorded as current deferred income tax assets. The tax benefits are expected to be realized in the first half of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16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10239"/>
          </w:cols>
          <w:pgMar w:left="220" w:top="782" w:right="1440" w:bottom="1440" w:gutter="0" w:footer="0" w:header="0"/>
        </w:sectPr>
      </w:pPr>
    </w:p>
    <w:bookmarkStart w:id="14" w:name="page15"/>
    <w:bookmarkEnd w:id="14"/>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OTHER INCOME (EXPENSE)</w:t>
      </w:r>
    </w:p>
    <w:p>
      <w:pPr>
        <w:sectPr>
          <w:pgSz w:w="11900" w:h="16838" w:orient="portrait"/>
          <w:cols w:equalWidth="0" w:num="1">
            <w:col w:w="10239"/>
          </w:cols>
          <w:pgMar w:left="220" w:top="616" w:right="1440" w:bottom="757" w:gutter="0" w:footer="0" w:header="0"/>
        </w:sectPr>
      </w:pPr>
    </w:p>
    <w:p>
      <w:pPr>
        <w:spacing w:after="0" w:line="338"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7560" w:space="720"/>
            <w:col w:w="1959"/>
          </w:cols>
          <w:pgMar w:left="220" w:top="616" w:right="1440" w:bottom="757" w:gutter="0" w:footer="0" w:header="0"/>
          <w:type w:val="continuous"/>
        </w:sectPr>
      </w:pPr>
    </w:p>
    <w:p>
      <w:pPr>
        <w:ind w:left="6120"/>
        <w:spacing w:after="0"/>
        <w:tabs>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239"/>
          </w:cols>
          <w:pgMar w:left="220" w:top="616" w:right="1440" w:bottom="757"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Gain (Loss) on</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Emerging Technology Investments</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$ 0.1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Investment and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140" w:val="left"/>
          <w:tab w:leader="none" w:pos="8080" w:val="left"/>
          <w:tab w:leader="none" w:pos="9200" w:val="left"/>
        </w:tabs>
        <w:rPr>
          <w:sz w:val="20"/>
          <w:szCs w:val="20"/>
          <w:color w:val="auto"/>
        </w:rPr>
      </w:pPr>
      <w:r>
        <w:rPr>
          <w:rFonts w:ascii="Courier New" w:cs="Courier New" w:eastAsia="Courier New" w:hAnsi="Courier New"/>
          <w:sz w:val="14"/>
          <w:szCs w:val="14"/>
          <w:color w:val="auto"/>
        </w:rPr>
        <w:t>$ 1.5</w:t>
      </w:r>
      <w:r>
        <w:rPr>
          <w:sz w:val="20"/>
          <w:szCs w:val="20"/>
          <w:color w:val="auto"/>
        </w:rPr>
        <w:tab/>
      </w: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7.INCOME TAX EXPENSE</w:t>
      </w:r>
    </w:p>
    <w:p>
      <w:pPr>
        <w:sectPr>
          <w:pgSz w:w="11900" w:h="16838" w:orient="portrait"/>
          <w:cols w:equalWidth="0" w:num="1">
            <w:col w:w="10239"/>
          </w:cols>
          <w:pgMar w:left="220" w:top="616" w:right="1440" w:bottom="757"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7560" w:space="720"/>
            <w:col w:w="1959"/>
          </w:cols>
          <w:pgMar w:left="220" w:top="616" w:right="1440" w:bottom="757" w:gutter="0" w:footer="0" w:header="0"/>
          <w:type w:val="continuous"/>
        </w:sectPr>
      </w:pPr>
    </w:p>
    <w:p>
      <w:pPr>
        <w:ind w:left="6220"/>
        <w:spacing w:after="0"/>
        <w:tabs>
          <w:tab w:leader="none" w:pos="7300" w:val="left"/>
          <w:tab w:leader="none" w:pos="8180" w:val="left"/>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239"/>
          </w:cols>
          <w:pgMar w:left="220" w:top="616" w:right="1440" w:bottom="757"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$ 11.3</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400" w:val="left"/>
          <w:tab w:leader="none" w:pos="8180" w:val="left"/>
          <w:tab w:leader="none" w:pos="9380" w:val="left"/>
        </w:tabs>
        <w:rPr>
          <w:sz w:val="20"/>
          <w:szCs w:val="20"/>
          <w:color w:val="auto"/>
        </w:rPr>
      </w:pP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24.4</w:t>
      </w:r>
      <w:r>
        <w:rPr>
          <w:sz w:val="20"/>
          <w:szCs w:val="20"/>
          <w:color w:val="auto"/>
        </w:rPr>
        <w:tab/>
      </w:r>
      <w:r>
        <w:rPr>
          <w:rFonts w:ascii="Courier New" w:cs="Courier New" w:eastAsia="Courier New" w:hAnsi="Courier New"/>
          <w:sz w:val="14"/>
          <w:szCs w:val="14"/>
          <w:color w:val="auto"/>
        </w:rPr>
        <w:t>15.7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2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2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(32.6)</w:t>
            </w: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w:t>
            </w:r>
          </w:p>
        </w:tc>
        <w:tc>
          <w:tcPr>
            <w:tcW w:w="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20"/>
        <w:spacing w:after="0"/>
        <w:tabs>
          <w:tab w:leader="none" w:pos="7400" w:val="left"/>
          <w:tab w:leader="none" w:pos="8080" w:val="left"/>
          <w:tab w:leader="none" w:pos="9460" w:val="left"/>
        </w:tabs>
        <w:rPr>
          <w:sz w:val="20"/>
          <w:szCs w:val="20"/>
          <w:color w:val="auto"/>
        </w:rPr>
      </w:pPr>
      <w:r>
        <w:rPr>
          <w:rFonts w:ascii="Courier New" w:cs="Courier New" w:eastAsia="Courier New" w:hAnsi="Courier New"/>
          <w:sz w:val="14"/>
          <w:szCs w:val="14"/>
          <w:color w:val="auto"/>
        </w:rPr>
        <w:t>(29.9)</w:t>
      </w:r>
      <w:r>
        <w:rPr>
          <w:sz w:val="20"/>
          <w:szCs w:val="20"/>
          <w:color w:val="auto"/>
        </w:rPr>
        <w:tab/>
      </w: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3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gridSpan w:val="4"/>
          </w:tcPr>
          <w:p>
            <w:pPr>
              <w:spacing w:after="0"/>
              <w:rPr>
                <w:sz w:val="20"/>
                <w:szCs w:val="20"/>
                <w:color w:val="auto"/>
              </w:rPr>
            </w:pPr>
            <w:r>
              <w:rPr>
                <w:rFonts w:ascii="Courier New" w:cs="Courier New" w:eastAsia="Courier New" w:hAnsi="Courier New"/>
                <w:sz w:val="14"/>
                <w:szCs w:val="14"/>
                <w:color w:val="auto"/>
              </w:rPr>
              <w:t>Income Tax Expense (Benefit) on Continuing Operations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rPr>
              <w:t>16.4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rPr>
              <w:t>49.3</w:t>
            </w:r>
          </w:p>
        </w:tc>
      </w:tr>
      <w:tr>
        <w:trPr>
          <w:trHeight w:val="0"/>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Benefit on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Accounting Principle</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w w:val="95"/>
              </w:rPr>
              <w:t>(5.5)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100" w:val="left"/>
          <w:tab w:leader="none" w:pos="7220" w:val="left"/>
          <w:tab w:leader="none" w:pos="8000" w:val="left"/>
          <w:tab w:leader="none" w:pos="9200" w:val="left"/>
        </w:tabs>
        <w:rPr>
          <w:sz w:val="20"/>
          <w:szCs w:val="20"/>
          <w:color w:val="auto"/>
        </w:rPr>
      </w:pPr>
      <w:r>
        <w:rPr>
          <w:rFonts w:ascii="Courier New" w:cs="Courier New" w:eastAsia="Courier New" w:hAnsi="Courier New"/>
          <w:sz w:val="14"/>
          <w:szCs w:val="14"/>
          <w:color w:val="auto"/>
        </w:rPr>
        <w:t>Total Income Tax Expense (Benefit)</w:t>
      </w:r>
      <w:r>
        <w:rPr>
          <w:sz w:val="20"/>
          <w:szCs w:val="20"/>
          <w:color w:val="auto"/>
        </w:rPr>
        <w:tab/>
      </w: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$ 60.2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759" w:hanging="344"/>
        <w:spacing w:after="0" w:line="255" w:lineRule="auto"/>
        <w:rPr>
          <w:sz w:val="20"/>
          <w:szCs w:val="20"/>
          <w:color w:val="auto"/>
        </w:rPr>
      </w:pPr>
      <w:r>
        <w:rPr>
          <w:rFonts w:ascii="Courier New" w:cs="Courier New" w:eastAsia="Courier New" w:hAnsi="Courier New"/>
          <w:sz w:val="14"/>
          <w:szCs w:val="14"/>
          <w:color w:val="auto"/>
        </w:rPr>
        <w:t>Included</w:t>
      </w:r>
      <w:r>
        <w:rPr>
          <w:sz w:val="20"/>
          <w:szCs w:val="20"/>
          <w:color w:val="auto"/>
        </w:rPr>
        <w:t xml:space="preserve"> </w:t>
      </w:r>
      <w:r>
        <w:rPr>
          <w:rFonts w:ascii="Courier New" w:cs="Courier New" w:eastAsia="Courier New" w:hAnsi="Courier New"/>
          <w:sz w:val="14"/>
          <w:szCs w:val="14"/>
          <w:color w:val="auto"/>
        </w:rPr>
        <w:t>a current federal tax benefit of $1.3 million; current state tax benefit of $0.4 million and deferred federal tax benefit of $25.8 million related to the Kendall County Charge. (See Note 5.)</w:t>
      </w:r>
    </w:p>
    <w:p>
      <w:pPr>
        <w:spacing w:after="0" w:line="200" w:lineRule="exact"/>
        <w:rPr>
          <w:sz w:val="20"/>
          <w:szCs w:val="20"/>
          <w:color w:val="auto"/>
        </w:rPr>
      </w:pPr>
    </w:p>
    <w:p>
      <w:pPr>
        <w:spacing w:after="0" w:line="291"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and six months ended June 30, 2005, the effective rate for income taxes deviated from the statutory rate, primarily as a result of the emerging technology investment impairment losses recorded in March 2005 and the Kendall County capital loss recorded in April 2005. The current benefit for these items was limited to a federal benefit for income tax purposes. The state tax benefit from these items is not expected to be realized currently or in future periods. These state net capital loss carry forwards are entirely reserved. Current taxes also increased in 2005, due to the expiration of the accelerated depreciation deduction allowed by the Jobs and Growth Tax Relief Act of 2003, which expired December 31, 2004. The effective rate for income taxes for the six months ended June 30, 2004, increased due to nondeductible spin-off costs related to the ADESA transaction.</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AUTOMOTIVE SERVICES. On September 20, 2004, the spin-off of our Automotive Services business was completed by distributing to ALLETE shareholders all of ALLETE's shares of ADESA common stock. One share of ADESA common stock was distributed for each outstanding share of ALLETE common stock held at the close of business on the September 13, 2004, record date.</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SERVICES. In June 2004, we essentially concluded our strategy to exit our Water Services businesses when we completed the sale of our North Carolina water assets and the sale of the remaining 72 water and wastewater systems in Florida. Aqua America purchased our North Carolina water assets for $48 million and assumed approximately $28 million in debt, and also purchased 63 of our water and wastewater systems in Florida for $14 million. Seminole County purchased the remaining 9 Florida</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757" w:gutter="0" w:footer="0" w:header="0"/>
          <w:type w:val="continuous"/>
        </w:sectPr>
      </w:pPr>
    </w:p>
    <w:bookmarkStart w:id="15" w:name="page16"/>
    <w:bookmarkEnd w:id="15"/>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DISCONTINUED OPERATIONS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systems for a total of $4 million. The FPSC approved the Seminole County transaction in September 2004. The transaction relating to the sale of 63 water and wastewater systems in Florida to Aqua America remains subject to regulatory approval by the FPSC. The approval process may result in an adjustment to the final purchase price, based on the FPSC's determination of plant investment for the systems. We anticipate a decision in late 2005. Gains in 2004 from the sale of our North Carolina assets and the remaining systems in Florida were offset by an adjustment to gains reported in 2003, resulting in an aggregate net loss of $0.5 million in 2004 ($0.4 million loss first quarter; $5.8 million gain second quarter; $0.2 million loss third quarter; $5.7 million loss fourth quarter).</w:t>
      </w:r>
    </w:p>
    <w:p>
      <w:pPr>
        <w:sectPr>
          <w:pgSz w:w="11900" w:h="16838" w:orient="portrait"/>
          <w:cols w:equalWidth="0" w:num="1">
            <w:col w:w="10440"/>
          </w:cols>
          <w:pgMar w:left="220" w:top="616" w:right="1239" w:bottom="0" w:gutter="0" w:footer="0" w:header="0"/>
        </w:sectPr>
      </w:pPr>
    </w:p>
    <w:p>
      <w:pPr>
        <w:spacing w:after="0" w:line="163"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4"/>
          <w:szCs w:val="14"/>
          <w:color w:val="auto"/>
        </w:rPr>
        <w:t>In February 2005, we sold our wastewater gain. Florida Water continues to incur transfer proceedings with the FPSC.</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assets in Georgia for an immaterial</w:t>
      </w:r>
    </w:p>
    <w:p>
      <w:pPr>
        <w:spacing w:after="0" w:line="7" w:lineRule="exact"/>
        <w:rPr>
          <w:sz w:val="20"/>
          <w:szCs w:val="20"/>
          <w:color w:val="auto"/>
        </w:rPr>
      </w:pPr>
    </w:p>
    <w:p>
      <w:pPr>
        <w:spacing w:after="0"/>
        <w:tabs>
          <w:tab w:leader="none" w:pos="1360" w:val="left"/>
          <w:tab w:leader="none" w:pos="2220" w:val="left"/>
        </w:tabs>
        <w:rPr>
          <w:sz w:val="20"/>
          <w:szCs w:val="20"/>
          <w:color w:val="auto"/>
        </w:rPr>
      </w:pPr>
      <w:r>
        <w:rPr>
          <w:rFonts w:ascii="Courier New" w:cs="Courier New" w:eastAsia="Courier New" w:hAnsi="Courier New"/>
          <w:sz w:val="14"/>
          <w:szCs w:val="14"/>
          <w:color w:val="auto"/>
        </w:rPr>
        <w:t>administrative</w:t>
        <w:tab/>
        <w:t>expenses</w:t>
        <w:tab/>
        <w:t>to support</w:t>
      </w:r>
    </w:p>
    <w:p>
      <w:pPr>
        <w:spacing w:after="0" w:line="375" w:lineRule="exact"/>
        <w:rPr>
          <w:sz w:val="20"/>
          <w:szCs w:val="20"/>
          <w:color w:val="auto"/>
        </w:rPr>
      </w:pPr>
    </w:p>
    <w:p>
      <w:pPr>
        <w:sectPr>
          <w:pgSz w:w="11900" w:h="16838" w:orient="portrait"/>
          <w:cols w:equalWidth="0" w:num="2">
            <w:col w:w="3720" w:space="80"/>
            <w:col w:w="6640"/>
          </w:cols>
          <w:pgMar w:left="220" w:top="616" w:right="1239" w:bottom="0" w:gutter="0" w:footer="0" w:header="0"/>
          <w:type w:val="continuous"/>
        </w:sect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DISCONTINUED OPERATIONS</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ind w:left="6380"/>
        <w:spacing w:after="0"/>
        <w:tabs>
          <w:tab w:leader="none" w:pos="852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7" w:lineRule="exact"/>
        <w:rPr>
          <w:sz w:val="20"/>
          <w:szCs w:val="20"/>
          <w:color w:val="auto"/>
        </w:rPr>
      </w:pPr>
    </w:p>
    <w:p>
      <w:pPr>
        <w:ind w:left="6560"/>
        <w:spacing w:after="0"/>
        <w:tabs>
          <w:tab w:leader="none" w:pos="8860" w:val="left"/>
        </w:tabs>
        <w:rPr>
          <w:sz w:val="20"/>
          <w:szCs w:val="20"/>
          <w:color w:val="auto"/>
        </w:rPr>
      </w:pPr>
      <w:r>
        <w:rPr>
          <w:rFonts w:ascii="Courier New" w:cs="Courier New" w:eastAsia="Courier New" w:hAnsi="Courier New"/>
          <w:sz w:val="14"/>
          <w:szCs w:val="14"/>
          <w:color w:val="auto"/>
        </w:rPr>
        <w:t>JUNE 30,</w:t>
      </w:r>
      <w:r>
        <w:rPr>
          <w:sz w:val="20"/>
          <w:szCs w:val="20"/>
          <w:color w:val="auto"/>
        </w:rPr>
        <w:tab/>
      </w:r>
      <w:r>
        <w:rPr>
          <w:rFonts w:ascii="Courier New" w:cs="Courier New" w:eastAsia="Courier New" w:hAnsi="Courier New"/>
          <w:sz w:val="14"/>
          <w:szCs w:val="14"/>
          <w:color w:val="auto"/>
        </w:rPr>
        <w:t>JUNE 30,</w:t>
      </w:r>
    </w:p>
    <w:p>
      <w:pPr>
        <w:spacing w:after="0" w:line="7" w:lineRule="exact"/>
        <w:rPr>
          <w:sz w:val="20"/>
          <w:szCs w:val="20"/>
          <w:color w:val="auto"/>
        </w:rPr>
      </w:pPr>
    </w:p>
    <w:p>
      <w:pPr>
        <w:spacing w:after="0"/>
        <w:tabs>
          <w:tab w:leader="none" w:pos="6100" w:val="left"/>
          <w:tab w:leader="none" w:pos="7400" w:val="left"/>
          <w:tab w:leader="none" w:pos="8420" w:val="left"/>
          <w:tab w:leader="none" w:pos="9640" w:val="left"/>
        </w:tabs>
        <w:rPr>
          <w:sz w:val="20"/>
          <w:szCs w:val="20"/>
          <w:color w:val="auto"/>
        </w:rPr>
      </w:pPr>
      <w:r>
        <w:rPr>
          <w:rFonts w:ascii="Courier New" w:cs="Courier New" w:eastAsia="Courier New" w:hAnsi="Courier New"/>
          <w:sz w:val="14"/>
          <w:szCs w:val="14"/>
          <w:color w:val="auto"/>
        </w:rPr>
        <w:t>INCOME STATEMENT</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$479.8</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300" w:val="left"/>
          <w:tab w:leader="none" w:pos="8680" w:val="left"/>
          <w:tab w:leader="none" w:pos="9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Pre-Tax Income (Loss) from Operations</w:t>
            </w:r>
          </w:p>
        </w:tc>
        <w:tc>
          <w:tcPr>
            <w:tcW w:w="2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$53.5</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480" w:val="left"/>
          <w:tab w:leader="none" w:pos="8680" w:val="left"/>
          <w:tab w:leader="none" w:pos="9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Water</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480" w:val="left"/>
          <w:tab w:leader="none" w:pos="8680" w:val="left"/>
          <w:tab w:leader="none" w:pos="9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360" w:val="left"/>
          <w:tab w:leader="none" w:pos="7480" w:val="left"/>
          <w:tab w:leader="none" w:pos="8680" w:val="left"/>
          <w:tab w:leader="none" w:pos="9720" w:val="left"/>
        </w:tabs>
        <w:rPr>
          <w:sz w:val="20"/>
          <w:szCs w:val="20"/>
          <w:color w:val="auto"/>
        </w:rPr>
      </w:pPr>
      <w:r>
        <w:rPr>
          <w:rFonts w:ascii="Courier New" w:cs="Courier New" w:eastAsia="Courier New" w:hAnsi="Courier New"/>
          <w:sz w:val="14"/>
          <w:szCs w:val="14"/>
          <w:color w:val="auto"/>
        </w:rPr>
        <w:t>Total Net Income from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Gain (Loss) on Disposal</w:t>
            </w: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(6.6)</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(6.6)</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9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15.3</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560" w:val="left"/>
          <w:tab w:leader="none" w:pos="8420" w:val="left"/>
          <w:tab w:leader="none" w:pos="9800" w:val="left"/>
        </w:tabs>
        <w:rPr>
          <w:sz w:val="20"/>
          <w:szCs w:val="20"/>
          <w:color w:val="auto"/>
        </w:rPr>
      </w:pPr>
      <w:r>
        <w:rPr>
          <w:rFonts w:ascii="Courier New" w:cs="Courier New" w:eastAsia="Courier New" w:hAnsi="Courier New"/>
          <w:sz w:val="14"/>
          <w:szCs w:val="14"/>
          <w:color w:val="auto"/>
        </w:rPr>
        <w:t>(0.8)</w:t>
      </w:r>
      <w:r>
        <w:rPr>
          <w:sz w:val="20"/>
          <w:szCs w:val="20"/>
          <w:color w:val="auto"/>
        </w:rPr>
        <w:tab/>
      </w: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Water</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7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120"/>
        <w:spacing w:after="0"/>
        <w:tabs>
          <w:tab w:leader="none" w:pos="7560" w:val="left"/>
          <w:tab w:leader="none" w:pos="8420" w:val="left"/>
          <w:tab w:leader="none" w:pos="9800" w:val="left"/>
        </w:tabs>
        <w:rPr>
          <w:sz w:val="20"/>
          <w:szCs w:val="20"/>
          <w:color w:val="auto"/>
        </w:rPr>
      </w:pPr>
      <w:r>
        <w:rPr>
          <w:rFonts w:ascii="Courier New" w:cs="Courier New" w:eastAsia="Courier New" w:hAnsi="Courier New"/>
          <w:sz w:val="14"/>
          <w:szCs w:val="14"/>
          <w:color w:val="auto"/>
        </w:rPr>
        <w:t>(0.1)</w:t>
      </w:r>
      <w:r>
        <w:rPr>
          <w:sz w:val="20"/>
          <w:szCs w:val="20"/>
          <w:color w:val="auto"/>
        </w:rPr>
        <w:tab/>
      </w: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100" w:val="left"/>
          <w:tab w:leader="none" w:pos="7560" w:val="left"/>
          <w:tab w:leader="none" w:pos="8420" w:val="left"/>
          <w:tab w:leader="none" w:pos="9800" w:val="left"/>
        </w:tabs>
        <w:rPr>
          <w:sz w:val="20"/>
          <w:szCs w:val="20"/>
          <w:color w:val="auto"/>
        </w:rPr>
      </w:pPr>
      <w:r>
        <w:rPr>
          <w:rFonts w:ascii="Courier New" w:cs="Courier New" w:eastAsia="Courier New" w:hAnsi="Courier New"/>
          <w:sz w:val="14"/>
          <w:szCs w:val="14"/>
          <w:color w:val="auto"/>
        </w:rPr>
        <w:t>Net Gain (Loss) on Disposal</w:t>
      </w:r>
      <w:r>
        <w:rPr>
          <w:sz w:val="20"/>
          <w:szCs w:val="20"/>
          <w:color w:val="auto"/>
        </w:rPr>
        <w:tab/>
      </w:r>
      <w:r>
        <w:rPr>
          <w:rFonts w:ascii="Courier New" w:cs="Courier New" w:eastAsia="Courier New" w:hAnsi="Courier New"/>
          <w:sz w:val="14"/>
          <w:szCs w:val="14"/>
          <w:color w:val="auto"/>
        </w:rPr>
        <w:t>(0.7)</w:t>
      </w:r>
      <w:r>
        <w:rPr>
          <w:sz w:val="20"/>
          <w:szCs w:val="20"/>
          <w:color w:val="auto"/>
        </w:rPr>
        <w:tab/>
      </w: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020" w:val="left"/>
          <w:tab w:leader="none" w:pos="7400" w:val="left"/>
          <w:tab w:leader="none" w:pos="8340" w:val="left"/>
          <w:tab w:leader="none" w:pos="9540" w:val="left"/>
        </w:tabs>
        <w:rPr>
          <w:sz w:val="20"/>
          <w:szCs w:val="20"/>
          <w:color w:val="auto"/>
        </w:rPr>
      </w:pPr>
      <w:r>
        <w:rPr>
          <w:rFonts w:ascii="Courier New" w:cs="Courier New" w:eastAsia="Courier New" w:hAnsi="Courier New"/>
          <w:sz w:val="14"/>
          <w:szCs w:val="14"/>
          <w:color w:val="auto"/>
        </w:rPr>
        <w:t>Income (Loss) from Discontinued Operations</w:t>
      </w:r>
      <w:r>
        <w:rPr>
          <w:sz w:val="20"/>
          <w:szCs w:val="20"/>
          <w:color w:val="auto"/>
        </w:rPr>
        <w:tab/>
      </w:r>
      <w:r>
        <w:rPr>
          <w:rFonts w:ascii="Courier New" w:cs="Courier New" w:eastAsia="Courier New" w:hAnsi="Courier New"/>
          <w:sz w:val="14"/>
          <w:szCs w:val="14"/>
          <w:color w:val="auto"/>
        </w:rPr>
        <w:t>$(0.7)</w:t>
      </w:r>
      <w:r>
        <w:rPr>
          <w:sz w:val="20"/>
          <w:szCs w:val="20"/>
          <w:color w:val="auto"/>
        </w:rPr>
        <w:tab/>
      </w:r>
      <w:r>
        <w:rPr>
          <w:rFonts w:ascii="Courier New" w:cs="Courier New" w:eastAsia="Courier New" w:hAnsi="Courier New"/>
          <w:sz w:val="14"/>
          <w:szCs w:val="14"/>
          <w:color w:val="auto"/>
        </w:rPr>
        <w:t>$34.3</w:t>
      </w:r>
      <w:r>
        <w:rPr>
          <w:sz w:val="20"/>
          <w:szCs w:val="20"/>
          <w:color w:val="auto"/>
        </w:rPr>
        <w:tab/>
      </w: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$ 65.6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620" w:type="dxa"/>
            <w:vAlign w:val="bottom"/>
          </w:tcPr>
          <w:p>
            <w:pPr>
              <w:jc w:val="center"/>
              <w:ind w:left="1388"/>
              <w:spacing w:after="0"/>
              <w:rPr>
                <w:sz w:val="20"/>
                <w:szCs w:val="20"/>
                <w:color w:val="auto"/>
              </w:rPr>
            </w:pPr>
            <w:r>
              <w:rPr>
                <w:rFonts w:ascii="Courier New" w:cs="Courier New" w:eastAsia="Courier New" w:hAnsi="Courier New"/>
                <w:sz w:val="14"/>
                <w:szCs w:val="14"/>
                <w:color w:val="auto"/>
              </w:rPr>
              <w:t>JUNE 30,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SHEET INFORMATION</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3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Liabilities of Discontinued Operations</w:t>
            </w: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440"/>
          </w:cols>
          <w:pgMar w:left="220" w:top="616" w:right="1239" w:bottom="0" w:gutter="0" w:footer="0" w:header="0"/>
          <w:type w:val="continuous"/>
        </w:sectPr>
      </w:pPr>
    </w:p>
    <w:bookmarkStart w:id="16" w:name="page17"/>
    <w:bookmarkEnd w:id="16"/>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June 30, 2005, total comprehensive income (loss), net of tax, was a $40.4 million loss ($32.7 million of comprehensive income, net of tax, for the quarter ended June 30, 2004). For the six months ended June 30, 2005, total comprehensive income (loss), net of tax, was a $22.9 million loss ($75.5 million of comprehensive income, net of tax, for the six months ended June 30, 2004). Total comprehensive income (loss) includes net income (loss), unrealized gains and losses on securities classified as available-for-sale and interest rate swaps, additional pension liability and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720" w:type="dxa"/>
            <w:vAlign w:val="bottom"/>
          </w:tcPr>
          <w:p>
            <w:pPr>
              <w:spacing w:after="0"/>
              <w:rPr>
                <w:sz w:val="14"/>
                <w:szCs w:val="14"/>
                <w:color w:val="auto"/>
              </w:rPr>
            </w:pP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Gain on</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Securities</w:t>
            </w: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  1.5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3140" w:type="dxa"/>
            <w:vAlign w:val="bottom"/>
          </w:tcPr>
          <w:p>
            <w:pPr>
              <w:spacing w:after="0"/>
              <w:rPr>
                <w:sz w:val="14"/>
                <w:szCs w:val="14"/>
                <w:color w:val="auto"/>
              </w:rPr>
            </w:pPr>
          </w:p>
        </w:tc>
        <w:tc>
          <w:tcPr>
            <w:tcW w:w="2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 Swap</w:t>
            </w:r>
          </w:p>
        </w:tc>
        <w:tc>
          <w:tcPr>
            <w:tcW w:w="8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 Discontinued Operations</w:t>
            </w:r>
          </w:p>
        </w:tc>
        <w:tc>
          <w:tcPr>
            <w:tcW w:w="2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560"/>
        <w:spacing w:after="0"/>
        <w:tabs>
          <w:tab w:leader="none" w:pos="894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$ 8.4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In accordance with SFAS 128, "Earnings Per Share," in 2005, 0.1 million dilutive securities were excluded in the computation of diluted earnings per share because a loss from continuing operations existed for the quarter ended June 30, 2005 (0.2 million for the six months ended June 30, 2005). At June 30, 2004, no options to purchase shares of common stock were excluded from the computation of diluted earnings per share because they were anti-dilutive due to the option exercise prices being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80"/>
        <w:spacing w:after="0"/>
        <w:tabs>
          <w:tab w:leader="none" w:pos="826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808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4200" w:val="left"/>
          <w:tab w:leader="none" w:pos="4900" w:val="left"/>
          <w:tab w:leader="none" w:pos="6100" w:val="left"/>
          <w:tab w:leader="none" w:pos="7300" w:val="left"/>
          <w:tab w:leader="none" w:pos="8000" w:val="left"/>
          <w:tab w:leader="none" w:pos="920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 THE QUARTER ENDED JUNE 30,</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Before Change in Accounting Principle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$(39.6)</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Before Change in Accounting Principle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$(0.79)</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NOTE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PENSION AND OTHER POSTRETIREMENT BENEFIT PLANS</w:t>
      </w:r>
    </w:p>
    <w:p>
      <w:pPr>
        <w:spacing w:after="0" w:line="200" w:lineRule="exact"/>
        <w:rPr>
          <w:sz w:val="20"/>
          <w:szCs w:val="20"/>
          <w:color w:val="auto"/>
        </w:rPr>
      </w:pPr>
    </w:p>
    <w:p>
      <w:pPr>
        <w:sectPr>
          <w:pgSz w:w="11900" w:h="16838" w:orient="portrait"/>
          <w:cols w:equalWidth="0" w:num="2">
            <w:col w:w="700" w:space="420"/>
            <w:col w:w="9119"/>
          </w:cols>
          <w:pgMar w:left="220" w:top="616" w:right="1440" w:bottom="1440" w:gutter="0" w:footer="0" w:header="0"/>
        </w:sectPr>
      </w:pPr>
    </w:p>
    <w:p>
      <w:pPr>
        <w:spacing w:after="0" w:line="304"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5700"/>
        <w:spacing w:after="0"/>
        <w:tabs>
          <w:tab w:leader="none" w:pos="818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080" w:val="left"/>
          <w:tab w:leader="none" w:pos="6440" w:val="left"/>
          <w:tab w:leader="none" w:pos="7920" w:val="left"/>
          <w:tab w:leader="none" w:pos="9300" w:val="left"/>
        </w:tabs>
        <w:rPr>
          <w:sz w:val="20"/>
          <w:szCs w:val="20"/>
          <w:color w:val="auto"/>
        </w:rPr>
      </w:pPr>
      <w:r>
        <w:rPr>
          <w:rFonts w:ascii="Courier New" w:cs="Courier New" w:eastAsia="Courier New" w:hAnsi="Courier New"/>
          <w:sz w:val="14"/>
          <w:szCs w:val="14"/>
          <w:color w:val="auto"/>
        </w:rPr>
        <w:t>COMPONENTS OF PERIODIC BENEFIT EXPENSE</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 THE QUARTER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ENDED JUNE 30,</w:t>
            </w:r>
          </w:p>
        </w:tc>
        <w:tc>
          <w:tcPr>
            <w:tcW w:w="1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800" w:type="dxa"/>
            <w:vAlign w:val="bottom"/>
          </w:tcPr>
          <w:p>
            <w:pPr>
              <w:spacing w:after="0"/>
              <w:rPr>
                <w:sz w:val="24"/>
                <w:szCs w:val="2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80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Expected Return</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on Plan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Prior Service Costs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Transition Obligation</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Periodic Benefit Expense</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SIX MONTHS ENDED JUNE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4.4</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Amortization of Net Loss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Periodic Benefit Expense</w:t>
            </w:r>
          </w:p>
        </w:tc>
        <w:tc>
          <w:tcPr>
            <w:tcW w:w="24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2.9</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will qualify us for the federal subsidy to be provided for under the Act. We adopted FSP 106-2 in the third quarter of 2004. The adoption of FSP 106-2 reduced our after-tax postretirement medical expense by $0.5 million for the quarter ended June 30, 2005 and $1.0 million for the six months ended June 30, 2005.</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616" w:right="1440" w:bottom="1440" w:gutter="0" w:footer="0" w:header="0"/>
          <w:type w:val="continuous"/>
        </w:sectPr>
      </w:pPr>
    </w:p>
    <w:bookmarkStart w:id="18" w:name="page19"/>
    <w:bookmarkEnd w:id="18"/>
    <w:p>
      <w:pPr>
        <w:spacing w:after="0"/>
        <w:tabs>
          <w:tab w:leader="none" w:pos="110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EMPLOYEE STOCK AND INCENTIVE PLANS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sponsor a leveraged ESOP as part of our Retirement Savings and Stock Ownership Plan (RSOP). As a result of the September 2004 spin-off of ADESA, the ESOP received 3.3 million shares of ADESA common stock related to unearned ESOP shares that have not been allocated to participants. The ESOP was required to sell the ADESA common stock and use the proceeds to purchase ALLETE common stock on the open market. At December 31, 2004, the ESOP had sold all of these ADESA shares. The 3.3 million ADESA shares sold by the ESOP in 2004 resulted in total proceeds of $65.9 million and an after-tax gain of $11.5 million, which we recognized in the fourth quarter of 2004. Under the direction of an independent trustee, the ESOP began using the proceeds to purchase shares of ALLETE common stock in October 2004. As of February 15, 2005, the remaining proceeds ($30.3 million classified as Restricted Cash at December 31, 2004) had been used to purchase ALLETE common stock, which were recorded using the treasury method as Unearned ESOP Shares within Shareholders' Equity as presented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820" w:val="left"/>
          <w:tab w:leader="none" w:pos="6280" w:val="left"/>
        </w:tabs>
        <w:rPr>
          <w:sz w:val="20"/>
          <w:szCs w:val="20"/>
          <w:color w:val="auto"/>
        </w:rPr>
      </w:pPr>
      <w:r>
        <w:rPr>
          <w:rFonts w:ascii="Courier New" w:cs="Courier New" w:eastAsia="Courier New" w:hAnsi="Courier New"/>
          <w:sz w:val="14"/>
          <w:szCs w:val="14"/>
          <w:color w:val="auto"/>
        </w:rPr>
        <w:t>SUMMARY OF ALLETE COMMON STOCK PURCHASES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Shares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October</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80,600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r>
      <w:tr>
        <w:trPr>
          <w:trHeight w:val="166"/>
        </w:trPr>
        <w:tc>
          <w:tcPr>
            <w:tcW w:w="520" w:type="dxa"/>
            <w:vAlign w:val="bottom"/>
          </w:tcPr>
          <w:p>
            <w:pPr>
              <w:spacing w:after="0"/>
              <w:rPr>
                <w:sz w:val="14"/>
                <w:szCs w:val="14"/>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November</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669,578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520" w:type="dxa"/>
            <w:vAlign w:val="bottom"/>
          </w:tcPr>
          <w:p>
            <w:pPr>
              <w:spacing w:after="0"/>
              <w:rPr>
                <w:sz w:val="14"/>
                <w:szCs w:val="14"/>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262,600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544,797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0"/>
        </w:trPr>
        <w:tc>
          <w:tcPr>
            <w:tcW w:w="520" w:type="dxa"/>
            <w:vAlign w:val="bottom"/>
          </w:tcPr>
          <w:p>
            <w:pPr>
              <w:spacing w:after="0" w:line="20" w:lineRule="exact"/>
              <w:rPr>
                <w:sz w:val="1"/>
                <w:szCs w:val="1"/>
                <w:color w:val="auto"/>
              </w:rPr>
            </w:pPr>
          </w:p>
        </w:tc>
        <w:tc>
          <w:tcPr>
            <w:tcW w:w="2580" w:type="dxa"/>
            <w:vAlign w:val="bottom"/>
          </w:tcPr>
          <w:p>
            <w:pPr>
              <w:ind w:left="180"/>
              <w:spacing w:after="0"/>
              <w:rPr>
                <w:sz w:val="20"/>
                <w:szCs w:val="20"/>
                <w:color w:val="auto"/>
              </w:rPr>
            </w:pPr>
            <w:r>
              <w:rPr>
                <w:rFonts w:ascii="Courier New" w:cs="Courier New" w:eastAsia="Courier New" w:hAnsi="Courier New"/>
                <w:sz w:val="14"/>
                <w:szCs w:val="14"/>
                <w:color w:val="auto"/>
              </w:rPr>
              <w:t>February</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214,928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660"/>
        <w:spacing w:after="0"/>
        <w:tabs>
          <w:tab w:leader="none" w:pos="6280" w:val="left"/>
        </w:tabs>
        <w:rPr>
          <w:sz w:val="20"/>
          <w:szCs w:val="20"/>
          <w:color w:val="auto"/>
        </w:rPr>
      </w:pPr>
      <w:r>
        <w:rPr>
          <w:rFonts w:ascii="Courier New" w:cs="Courier New" w:eastAsia="Courier New" w:hAnsi="Courier New"/>
          <w:sz w:val="14"/>
          <w:szCs w:val="14"/>
          <w:color w:val="auto"/>
        </w:rPr>
        <w:t>1,772,503</w:t>
      </w:r>
      <w:r>
        <w:rPr>
          <w:sz w:val="20"/>
          <w:szCs w:val="20"/>
          <w:color w:val="auto"/>
        </w:rPr>
        <w:tab/>
      </w:r>
      <w:r>
        <w:rPr>
          <w:rFonts w:ascii="Courier New" w:cs="Courier New" w:eastAsia="Courier New" w:hAnsi="Courier New"/>
          <w:sz w:val="14"/>
          <w:szCs w:val="14"/>
          <w:color w:val="auto"/>
        </w:rPr>
        <w:t>$ 65.9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UNALLOCATED SHARES. As of June 30, 2005, there were 2,649,973 unallocated shares of ALLETE common stock in the ESOP (2,001,505 shares at December 31, 2004), which reflects 759,725 shares purchased and 111,257 shares allocated or used for plan expenses in 2005. Pursuant to AICPA Statement of Position 93-6, "Employers' Accounting for Employee Stock Ownership Plans," unallocated ALLETE common stock currently held by the ESOP is treated as unearned ESOP shares and not considered outstanding for earnings per share computations. ESOP shares are included in earnings per share computations only after they are allocated to participants.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ALLOCATED SHARES. As of June 30, 2005, participants in the RSOP had $38.7 million, or 1.8 million shares, invested in ADESA common stock through an ADESA common stock fund in the RSOP. Participants may transfer out of the ADESA common stock fund at any time. If a participant chooses to transfer out of the ADESA common stock fund, ADESA common stock is sold and the proceeds are reinvested in a fund available in the RSOP as selected by the participant. One of the funds available is an ALLETE common stock fund. Beginning in September 2005, the RSOP is expected to start selling the ADESA common stock remaining in the RSOP as of that date. An independent trustee will be directing the sale of the ADESA common stock and will use the proceeds to purchase ALLETE common stock as required by terms of the RSOP. We are unable to predict the date on which this process will be complete.</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sectPr>
      </w:pPr>
    </w:p>
    <w:bookmarkStart w:id="19" w:name="page20"/>
    <w:bookmarkEnd w:id="19"/>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Power is entitled to approximately 71 percent of the Unit's output under the Agreement. After 2005, and upon compliance with a two-year advance notice requirement, Minnkota Power has the option to reduce Minnesota Power's entitlement by approximately 5 percent annually, to a minimum of 50 percent. In December 2004 and 2003, we received notices from Minnkota Power that they will reduce our output entitlement by approximately 5 percent beginning January 1, 2006 and 2007, to 66 percent and 60 percent, respectively.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June 30, 2005, Square Butte had total debt outstanding of $311.5 million. Total annual debt service for Square Butte is expected to be approximately $25 million in each of the years 2005 through 2009.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In September 2004, BNI Coal entered into an operating lease agreement for a new dragline that was placed in service at BNI Coal's mine on September 30, 2004. BNI Coal is obligated to make lease payments totaling $2.8 million annually for the lease term which expires in 2027. BNI Coal has the option at the end of the lease term to renew the lease at a fair market rental, to purchase the dragline at fair market value, or to surrender the dragline and pay a $3.0 million termination fee.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lease other properties and equipment under operating lease agreements with terms expiring through 2013. The aggregate amount of minimum lease payments for all of these other operating leases is $3.5 million in 2005, $3.3 million in 2006, $2.8 million in 2007, $2.1 million in 2008, $1.7 million in 2009 and $2.4 million thereafter.</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payment obligations under these coal and shipping agreements are $38.7 million in 2005, $12.3 million in 2006, $9.7 million in 2007, $10.1 million in 2008 and $6.1 million in 2009.</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June 30, 2005 ($4.5 million at December 31, 2004). We have committed to make additional investments in certain emerging technology venture capital funds. The total future commitment was $3.8 million at June 30, 2005, ($4.5 million at December 31, 2004) and is expected to be invested at various times through 2007. We do not have plans to make any additional investments beyond this commitment.</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239"/>
          </w:cols>
          <w:pgMar w:left="220" w:top="616" w:right="1440" w:bottom="1440" w:gutter="0" w:footer="0" w:header="0"/>
        </w:sectPr>
      </w:pPr>
    </w:p>
    <w:bookmarkStart w:id="20" w:name="page21"/>
    <w:bookmarkEnd w:id="20"/>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ENVIRONMENTAL MATTERS.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 way.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The site work for this phase of the investigation was performed during October 2004, and the final report was sent to the WDNR in March 2005. Additional site investigation will be needed during 2005. A work plan for the additional investigation will be filed with the WDNR during the third quarter of 2005. Although it is not possible to quantify the potential cleanup cost until the investigation is completed, a $0.5 million liability was recorded in December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by the time SWL&amp;P filed their most recent rate request. ALLETE maintains pollution liability insurance coverage that includes coverage for SWL&amp;P. A claim has been filed with respect to this matter. The insurance carrier has issued a reservation of rights letter and we continue to work with the insurer to determine the availability of insurance coverage.</w:t>
      </w:r>
    </w:p>
    <w:p>
      <w:pPr>
        <w:spacing w:after="0" w:line="17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Discussions between Minnkota Power and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CLEAN WATER ACT - AQUATIC ORGANISMS. In July 2004, the EPA issued Section 316(b) Phase II Rule of the Clean Water Act to ensure that the location, design, construction and capacity of cooling water intake structures at electric generating facilities reflect the best technology available to reduce fish mortality due to impingement (being pinned against screens or other parts of a cooling water intake structure) or entrainment (being drawn into cooling water systems and subjected to thermal, physical or chemical stresses). The new rule for fish impingement requirements apply to the Boswell, Laskin, Hibbard and Square Butte generating facilities. The impingement and entrainment requirements apply to Taconite Harbor because it is located on Lake Superior. The rule requires biological studies and engineering analyses to be performed within the 2005 to 2008 time frame. The estimated total cost of these studies for our facilities is expected to be in the range of $0.5 million to $1.0 million. We cannot yet estimate the capital expenditures that may be required as a result of the study.</w:t>
      </w:r>
    </w:p>
    <w:p>
      <w:pPr>
        <w:spacing w:after="0" w:line="32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sectPr>
      </w:pPr>
    </w:p>
    <w:bookmarkStart w:id="21" w:name="page22"/>
    <w:bookmarkEnd w:id="21"/>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sulfur dioxide (SO2), nitrogen oxides (NOX) and particulates in the eastern United States. The CAIR includes Minnesota as one of the 28 states it considers as "eastern" states. The EPA also announced the final Clean Air Mercury Rule (CAMR) that reduces and permanently caps emissions of electric utility mercury emissions in the continental United States. Together, the two rules address at least some of the emission reductions that were targeted by the Clear Skies Act legislation that was not enacted in 2004. The CAIR and the CAMR have been challenged in the court system, which may delay implementation or modify provisions in the rules. Minnesota Power is participating in a legal challenge to the CAIR but is not challenging the CAMR. However, if the CAMR and the CAIR do go into effect, Minnesota Power expects to be required to (1) make emissions reductions, (2) purchase mercury, SO2 and NOX allowances through the EPA's cap-and-trade system, and/or (3) use a combination of both. The Clear Skies legislation is being revisited and, if enacted, will likely displace implementation of these rules.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CAIR contains flaws in its methodology and application, which will cause Minnesota Power to incur significantly higher compliance costs. Consequently, on July 11, 2005, Minnesota Power filed a Petition for Review with the U.S. Court of Appeals for the District of Columbia Circuit. We also expect to file a Petition for Reconsideration with the EPA. If the litigation and/or the Petition for Reconsideration are successful, we expect to incur lower compliance costs, consistent with the rules applicable to those states considered as "western" states under the CAIR.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GUARANTEE. Minnesota Power guarantees $1.0 million of Northwest Airlines, Inc.'s (NAI) payments of principal and interest on $24.7 million of "Duluth Airport Lease Revenue Bonds" (to be paid out of lease revenues from NAI to the Duluth Economic Development Authority). If NAI is delinquent in their rent payments, the bond trustee may draw on the collateral of Minnesota Power to make the payment. Minnesota Power's collateral is a Letter of Credit in favor of the State of Minnesota. Minnesota Power would be entitled to reimbursement for any draws on the collateral and such reimbursement obligation is secured by NAI's Detroit to Paris international air route. Minnesota Power shares this security interest with the State of Minnesota, St. Louis County and the City of Duluth.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29"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1440" w:gutter="0" w:footer="0" w:header="0"/>
        </w:sectPr>
      </w:pPr>
    </w:p>
    <w:bookmarkStart w:id="22" w:name="page23"/>
    <w:bookmarkEnd w:id="22"/>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ALLETE'S operations are comprised of four business segments. REGULATED UTILITY includes retail and wholesale rate-regulated electric, water and gas services in northeastern Minnesota and northwestern Wisconsin under the jurisdiction of state and federal regulatory authorities. NONREGULATED ENERGY OPERATIONS includes nonregulated generation (non-rate base generation sold at market-based rates to the wholesale market) from Taconite Harbor in northern Minnesota and our coal mining activities in North Dakota. Nonregulated Energy Operations also included generation secured through the Kendall County power purchase agreement, which was transferred in April 2005 to Constellation Energy Commodities. (See Note 5.) REAL ESTATE includes our Florida real estate operations. OTHER includes our telecommunications activities, investments in emerging technologies and earnings on cash, cash equivalents and short-term investments. DISCONTINUED OPERATIONS includes our Automotive Services business, our Water Services businesses, and spin-off costs incurred by ALLETE.</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first six months of 2005, our core energy and real estate businesses continued to perform strongly. We completed the assignment of our Kendall County power purchase agreement to Constellation Energy Commodities, which was a key strategic accomplishment for the Company. As a result of this assignment, we incurred a charge to our operating expenses totaling $77.9 million ($50.4 million after tax, or $1.84 per diluted share) in the second quarter of 2005 (Kendall County Charge). The assignment of the Kendall County power purchase agreement has eliminated anticipated annual losses of approximately $8 million after tax.</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Since the Kendall County Charge significantly impacted the financial results from continuing operations for the quarter and six months ended June 30, 2005, we maintain that for comparative purposes, it is useful to present earnings excluding the impact of this charge. The table below reflects actual results adjusted for the exclusion of the Kendall County Charge.</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7560" w:space="720"/>
            <w:col w:w="1959"/>
          </w:cols>
          <w:pgMar w:left="220" w:top="616" w:right="1440" w:bottom="1440" w:gutter="0" w:footer="0" w:header="0"/>
          <w:type w:val="continuous"/>
        </w:sectPr>
      </w:pPr>
    </w:p>
    <w:p>
      <w:pPr>
        <w:ind w:left="6120"/>
        <w:spacing w:after="0"/>
        <w:tabs>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040" w:type="dxa"/>
            <w:vAlign w:val="bottom"/>
          </w:tcPr>
          <w:p>
            <w:pPr>
              <w:ind w:left="780"/>
              <w:spacing w:after="0"/>
              <w:rPr>
                <w:sz w:val="20"/>
                <w:szCs w:val="20"/>
                <w:color w:val="auto"/>
              </w:rPr>
            </w:pPr>
            <w:r>
              <w:rPr>
                <w:rFonts w:ascii="Courier New" w:cs="Courier New" w:eastAsia="Courier New" w:hAnsi="Courier New"/>
                <w:sz w:val="14"/>
                <w:szCs w:val="14"/>
                <w:color w:val="auto"/>
              </w:rPr>
              <w:t>Add Back: Kendall County Charge</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Continuing Operations Before</w:t>
            </w:r>
          </w:p>
        </w:tc>
        <w:tc>
          <w:tcPr>
            <w:tcW w:w="2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Accounting Principle</w:t>
            </w:r>
          </w:p>
        </w:tc>
        <w:tc>
          <w:tcPr>
            <w:tcW w:w="2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Excluding</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the Kendall County Charge</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28.8</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23.8</w:t>
            </w: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Income (Loss) from Discontinued Operations</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65.6</w:t>
            </w: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$ 10.1</w:t>
      </w:r>
      <w:r>
        <w:rPr>
          <w:sz w:val="20"/>
          <w:szCs w:val="20"/>
          <w:color w:val="auto"/>
        </w:rPr>
        <w:tab/>
      </w:r>
      <w:r>
        <w:rPr>
          <w:rFonts w:ascii="Courier New" w:cs="Courier New" w:eastAsia="Courier New" w:hAnsi="Courier New"/>
          <w:sz w:val="14"/>
          <w:szCs w:val="14"/>
          <w:color w:val="auto"/>
        </w:rPr>
        <w:t>$36.7</w:t>
      </w:r>
      <w:r>
        <w:rPr>
          <w:sz w:val="20"/>
          <w:szCs w:val="20"/>
          <w:color w:val="auto"/>
        </w:rPr>
        <w:tab/>
      </w:r>
      <w:r>
        <w:rPr>
          <w:rFonts w:ascii="Courier New" w:cs="Courier New" w:eastAsia="Courier New" w:hAnsi="Courier New"/>
          <w:sz w:val="14"/>
          <w:szCs w:val="14"/>
          <w:color w:val="auto"/>
        </w:rPr>
        <w:t>$27.5</w:t>
      </w:r>
      <w:r>
        <w:rPr>
          <w:sz w:val="20"/>
          <w:szCs w:val="20"/>
          <w:color w:val="auto"/>
        </w:rPr>
        <w:tab/>
      </w:r>
      <w:r>
        <w:rPr>
          <w:rFonts w:ascii="Courier New" w:cs="Courier New" w:eastAsia="Courier New" w:hAnsi="Courier New"/>
          <w:sz w:val="14"/>
          <w:szCs w:val="14"/>
          <w:color w:val="auto"/>
        </w:rPr>
        <w:t>$81.6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DILUTED EARNINGS (LOSS) PER SHARE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COMMON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Continuing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Accounting Principle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$0.84</w:t>
            </w:r>
          </w:p>
        </w:tc>
      </w:tr>
      <w:tr>
        <w:trPr>
          <w:trHeight w:val="166"/>
        </w:trPr>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Add Back: Kendall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County</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Charge</w:t>
            </w: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380" w:type="dxa"/>
            <w:vAlign w:val="bottom"/>
          </w:tcPr>
          <w:p>
            <w:pPr>
              <w:spacing w:after="0"/>
              <w:rPr>
                <w:sz w:val="20"/>
                <w:szCs w:val="20"/>
                <w:color w:val="auto"/>
              </w:rPr>
            </w:pPr>
            <w:r>
              <w:rPr>
                <w:rFonts w:ascii="Courier New" w:cs="Courier New" w:eastAsia="Courier New" w:hAnsi="Courier New"/>
                <w:sz w:val="14"/>
                <w:szCs w:val="14"/>
                <w:color w:val="auto"/>
              </w:rPr>
              <w:t>Continuing Operations Before Change in Accounting Principle</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Excluding the Kendall County Charge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0.08</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0"/>
        </w:trPr>
        <w:tc>
          <w:tcPr>
            <w:tcW w:w="538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$ 0.36</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$2.88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type w:val="continuous"/>
        </w:sectPr>
      </w:pPr>
    </w:p>
    <w:bookmarkStart w:id="23" w:name="page24"/>
    <w:bookmarkEnd w:id="23"/>
    <w:p>
      <w:pPr>
        <w:jc w:val="both"/>
        <w:ind w:right="3339"/>
        <w:spacing w:after="0" w:line="251" w:lineRule="auto"/>
        <w:rPr>
          <w:sz w:val="20"/>
          <w:szCs w:val="20"/>
          <w:color w:val="auto"/>
        </w:rPr>
      </w:pPr>
      <w:r>
        <w:rPr>
          <w:rFonts w:ascii="Courier New" w:cs="Courier New" w:eastAsia="Courier New" w:hAnsi="Courier New"/>
          <w:sz w:val="14"/>
          <w:szCs w:val="14"/>
          <w:color w:val="auto"/>
        </w:rPr>
        <w:t>Since the Kendall County Charge and discontinued operations significantly impacted cash flow from continuing operations for the six months ended June 30, 2005 and 2004, respectively, we maintain that for comparative purposes, it is useful to present cash flow activity excluding the impact of these items. The table below reflects actual results adjusted for the exclusion of the Kendall County Charge and discontinued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CONSOLIDATED CASH FLOW</w:t>
            </w:r>
          </w:p>
        </w:tc>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SIX MONTHS ENDED JUNE 30,</w:t>
            </w:r>
          </w:p>
        </w:tc>
        <w:tc>
          <w:tcPr>
            <w:tcW w:w="34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Cash from (for) Operating Activities</w:t>
            </w:r>
          </w:p>
        </w:tc>
        <w:tc>
          <w:tcPr>
            <w:tcW w:w="3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r>
        <w:trPr>
          <w:trHeight w:val="166"/>
        </w:trPr>
        <w:tc>
          <w:tcPr>
            <w:tcW w:w="47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Add Back: Kendall County Charge</w:t>
            </w:r>
          </w:p>
        </w:tc>
        <w:tc>
          <w:tcPr>
            <w:tcW w:w="31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77.9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Less: Discontinued Operations</w:t>
            </w:r>
          </w:p>
        </w:tc>
        <w:tc>
          <w:tcPr>
            <w:tcW w:w="3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00"/>
        <w:spacing w:after="0"/>
        <w:tabs>
          <w:tab w:leader="none" w:pos="8780" w:val="left"/>
        </w:tabs>
        <w:rPr>
          <w:sz w:val="20"/>
          <w:szCs w:val="20"/>
          <w:color w:val="auto"/>
        </w:rPr>
      </w:pPr>
      <w:r>
        <w:rPr>
          <w:rFonts w:ascii="Courier New" w:cs="Courier New" w:eastAsia="Courier New" w:hAnsi="Courier New"/>
          <w:sz w:val="14"/>
          <w:szCs w:val="14"/>
          <w:color w:val="auto"/>
        </w:rPr>
        <w:t>$ 63.8</w:t>
      </w:r>
      <w:r>
        <w:rPr>
          <w:sz w:val="20"/>
          <w:szCs w:val="20"/>
          <w:color w:val="auto"/>
        </w:rPr>
        <w:tab/>
      </w:r>
      <w:r>
        <w:rPr>
          <w:rFonts w:ascii="Courier New" w:cs="Courier New" w:eastAsia="Courier New" w:hAnsi="Courier New"/>
          <w:sz w:val="14"/>
          <w:szCs w:val="14"/>
          <w:color w:val="auto"/>
        </w:rPr>
        <w:t>$32.5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$58.4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Less: Discontinued Operations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8680" w:val="left"/>
        </w:tabs>
        <w:rPr>
          <w:sz w:val="20"/>
          <w:szCs w:val="20"/>
          <w:color w:val="auto"/>
        </w:rPr>
      </w:pPr>
      <w:r>
        <w:rPr>
          <w:rFonts w:ascii="Courier New" w:cs="Courier New" w:eastAsia="Courier New" w:hAnsi="Courier New"/>
          <w:sz w:val="14"/>
          <w:szCs w:val="14"/>
          <w:color w:val="auto"/>
        </w:rPr>
        <w:t>$58.4</w:t>
      </w:r>
      <w:r>
        <w:rPr>
          <w:sz w:val="20"/>
          <w:szCs w:val="20"/>
          <w:color w:val="auto"/>
        </w:rPr>
        <w:tab/>
      </w:r>
      <w:r>
        <w:rPr>
          <w:rFonts w:ascii="Courier New" w:cs="Courier New" w:eastAsia="Courier New" w:hAnsi="Courier New"/>
          <w:sz w:val="14"/>
          <w:szCs w:val="14"/>
          <w:color w:val="auto"/>
        </w:rPr>
        <w:t>$(25.2)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Cash from (for) Financing Activities</w:t>
            </w:r>
          </w:p>
        </w:tc>
        <w:tc>
          <w:tcPr>
            <w:tcW w:w="3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$(4.3)</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$265.0</w:t>
            </w:r>
          </w:p>
        </w:tc>
      </w:tr>
      <w:tr>
        <w:trPr>
          <w:trHeight w:val="166"/>
        </w:trPr>
        <w:tc>
          <w:tcPr>
            <w:tcW w:w="140" w:type="dxa"/>
            <w:vAlign w:val="bottom"/>
          </w:tcPr>
          <w:p>
            <w:pPr>
              <w:spacing w:after="0"/>
              <w:rPr>
                <w:sz w:val="14"/>
                <w:szCs w:val="14"/>
                <w:color w:val="auto"/>
              </w:rPr>
            </w:pPr>
          </w:p>
        </w:tc>
        <w:tc>
          <w:tcPr>
            <w:tcW w:w="4600" w:type="dxa"/>
            <w:vAlign w:val="bottom"/>
          </w:tcPr>
          <w:p>
            <w:pPr>
              <w:ind w:left="300"/>
              <w:spacing w:after="0"/>
              <w:rPr>
                <w:sz w:val="20"/>
                <w:szCs w:val="20"/>
                <w:color w:val="auto"/>
              </w:rPr>
            </w:pPr>
            <w:r>
              <w:rPr>
                <w:rFonts w:ascii="Courier New" w:cs="Courier New" w:eastAsia="Courier New" w:hAnsi="Courier New"/>
                <w:sz w:val="14"/>
                <w:szCs w:val="14"/>
                <w:color w:val="auto"/>
              </w:rPr>
              <w:t>Less: Discontinued Operations</w:t>
            </w:r>
          </w:p>
        </w:tc>
        <w:tc>
          <w:tcPr>
            <w:tcW w:w="3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(0.1)</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$(4.2)</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Excluding the Kendall County Charge, income from continuing operations was $10.8 million, or $0.39 per diluted share, for the quarter ended June 30, 2005 ($2.4 million, or $0.08 per diluted share, for the quarter ended June 30, 2004). Strong electric sales and continued strong demand for real estate contributed to higher earnings during the second quarter of 2005, as did lower interest expense due to reduced debt balances and expense reductions following the spin-off of Automotive Services and exit from the Water Services businesses in 2004. In addition, second quarter 2004 included $3.2 million of impairment charges related to our emerging technology investments.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Excluding the Kendall County Charge, income from continuing operations was $28.8 million, or $1.05 per diluted share, for the six months ended June 30, 2005 ($23.8 million, or $0.84 per diluted share, for the six months ended June 30, 2004). In 2005, continued strong electric sales and the benefits of lower interest expense due to reduced debt balances and expense reductions following the spin-off of Automotive Services and exit from the Water Services businesses in 2004, were partially offset by the timing of closing real estate transactions.</w:t>
      </w:r>
    </w:p>
    <w:p>
      <w:pPr>
        <w:spacing w:after="0" w:line="33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Earnings per share for 2005 were favorably impacted by ALLETE common stock purchased pursuant to the Company's Retirement Savings and Stock Ownership Plan. (See Note 12.)</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Excluding the Kendall County Charge, income in total was $10.1 million, or $0.36 per diluted share, for the quarter ended June 30, 2005 ($36.7 million, or $1.29 per diluted share, for the quarter ended June 30, 2004) and $27.5 million, or $1.00 per diluted share, for the six months ended June 30, 2005 ($81.6 million, or $2.88 per diluted share, for the six months ended June 30, 2004). The decrease in net income in total reflected reduced earnings from discontinued operations following the spin-off of Automotive Services and the exit from the Water Services businesses.</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782" w:right="1440" w:bottom="1440" w:gutter="0" w:footer="0" w:header="0"/>
        </w:sectPr>
      </w:pPr>
    </w:p>
    <w:bookmarkStart w:id="24" w:name="page25"/>
    <w:bookmarkEnd w:id="24"/>
    <w:p>
      <w:pPr>
        <w:ind w:left="63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JUNE 30,</w:t>
      </w:r>
    </w:p>
    <w:p>
      <w:pPr>
        <w:spacing w:after="0" w:line="20" w:lineRule="exact"/>
        <w:rPr>
          <w:sz w:val="20"/>
          <w:szCs w:val="20"/>
          <w:color w:val="auto"/>
        </w:rPr>
      </w:pPr>
      <w:r>
        <w:rPr>
          <w:sz w:val="20"/>
          <w:szCs w:val="20"/>
          <w:color w:val="auto"/>
        </w:rPr>
        <w:br w:type="column"/>
      </w:r>
    </w:p>
    <w:p>
      <w:pPr>
        <w:jc w:val="center"/>
        <w:ind w:right="579"/>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JUNE 30,</w:t>
      </w:r>
    </w:p>
    <w:p>
      <w:pPr>
        <w:spacing w:after="0" w:line="7" w:lineRule="exact"/>
        <w:rPr>
          <w:sz w:val="20"/>
          <w:szCs w:val="20"/>
          <w:color w:val="auto"/>
        </w:rPr>
      </w:pPr>
    </w:p>
    <w:p>
      <w:pPr>
        <w:sectPr>
          <w:pgSz w:w="11900" w:h="16838" w:orient="portrait"/>
          <w:cols w:equalWidth="0" w:num="2">
            <w:col w:w="7560" w:space="720"/>
            <w:col w:w="1959"/>
          </w:cols>
          <w:pgMar w:left="220" w:top="947" w:right="1440" w:bottom="1440" w:gutter="0" w:footer="0" w:header="0"/>
        </w:sectPr>
      </w:pPr>
    </w:p>
    <w:p>
      <w:pPr>
        <w:ind w:left="6120"/>
        <w:spacing w:after="0"/>
        <w:tabs>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239"/>
          </w:cols>
          <w:pgMar w:left="220" w:top="947"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$278.2</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55.6</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140" w:val="left"/>
          <w:tab w:leader="none" w:pos="8080" w:val="left"/>
          <w:tab w:leader="none" w:pos="9200" w:val="left"/>
        </w:tabs>
        <w:rPr>
          <w:sz w:val="20"/>
          <w:szCs w:val="20"/>
          <w:color w:val="auto"/>
        </w:rPr>
      </w:pPr>
      <w:r>
        <w:rPr>
          <w:rFonts w:ascii="Courier New" w:cs="Courier New" w:eastAsia="Courier New" w:hAnsi="Courier New"/>
          <w:sz w:val="14"/>
          <w:szCs w:val="14"/>
          <w:color w:val="auto"/>
        </w:rPr>
        <w:t>$186.8</w:t>
      </w:r>
      <w:r>
        <w:rPr>
          <w:sz w:val="20"/>
          <w:szCs w:val="20"/>
          <w:color w:val="auto"/>
        </w:rPr>
        <w:tab/>
      </w:r>
      <w:r>
        <w:rPr>
          <w:rFonts w:ascii="Courier New" w:cs="Courier New" w:eastAsia="Courier New" w:hAnsi="Courier New"/>
          <w:sz w:val="14"/>
          <w:szCs w:val="14"/>
          <w:color w:val="auto"/>
        </w:rPr>
        <w:t>$186.2</w:t>
      </w:r>
      <w:r>
        <w:rPr>
          <w:sz w:val="20"/>
          <w:szCs w:val="20"/>
          <w:color w:val="auto"/>
        </w:rPr>
        <w:tab/>
      </w:r>
      <w:r>
        <w:rPr>
          <w:rFonts w:ascii="Courier New" w:cs="Courier New" w:eastAsia="Courier New" w:hAnsi="Courier New"/>
          <w:sz w:val="14"/>
          <w:szCs w:val="14"/>
          <w:color w:val="auto"/>
        </w:rPr>
        <w:t>$393.7</w:t>
      </w:r>
      <w:r>
        <w:rPr>
          <w:sz w:val="20"/>
          <w:szCs w:val="20"/>
          <w:color w:val="auto"/>
        </w:rPr>
        <w:tab/>
      </w:r>
      <w:r>
        <w:rPr>
          <w:rFonts w:ascii="Courier New" w:cs="Courier New" w:eastAsia="Courier New" w:hAnsi="Courier New"/>
          <w:sz w:val="14"/>
          <w:szCs w:val="14"/>
          <w:color w:val="auto"/>
        </w:rPr>
        <w:t>$395.2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$237.4</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128.0</w:t>
            </w: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55.1</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140" w:val="left"/>
          <w:tab w:leader="none" w:pos="8080" w:val="left"/>
          <w:tab w:leader="none" w:pos="9200" w:val="left"/>
        </w:tabs>
        <w:rPr>
          <w:sz w:val="20"/>
          <w:szCs w:val="20"/>
          <w:color w:val="auto"/>
        </w:rPr>
      </w:pPr>
      <w:r>
        <w:rPr>
          <w:rFonts w:ascii="Courier New" w:cs="Courier New" w:eastAsia="Courier New" w:hAnsi="Courier New"/>
          <w:sz w:val="14"/>
          <w:szCs w:val="14"/>
          <w:color w:val="auto"/>
        </w:rPr>
        <w:t>$242.5</w:t>
      </w:r>
      <w:r>
        <w:rPr>
          <w:sz w:val="20"/>
          <w:szCs w:val="20"/>
          <w:color w:val="auto"/>
        </w:rPr>
        <w:tab/>
      </w:r>
      <w:r>
        <w:rPr>
          <w:rFonts w:ascii="Courier New" w:cs="Courier New" w:eastAsia="Courier New" w:hAnsi="Courier New"/>
          <w:sz w:val="14"/>
          <w:szCs w:val="14"/>
          <w:color w:val="auto"/>
        </w:rPr>
        <w:t>$166.9</w:t>
      </w:r>
      <w:r>
        <w:rPr>
          <w:sz w:val="20"/>
          <w:szCs w:val="20"/>
          <w:color w:val="auto"/>
        </w:rPr>
        <w:tab/>
      </w:r>
      <w:r>
        <w:rPr>
          <w:rFonts w:ascii="Courier New" w:cs="Courier New" w:eastAsia="Courier New" w:hAnsi="Courier New"/>
          <w:sz w:val="14"/>
          <w:szCs w:val="14"/>
          <w:color w:val="auto"/>
        </w:rPr>
        <w:t>$407.3</w:t>
      </w:r>
      <w:r>
        <w:rPr>
          <w:sz w:val="20"/>
          <w:szCs w:val="20"/>
          <w:color w:val="auto"/>
        </w:rPr>
        <w:tab/>
      </w:r>
      <w:r>
        <w:rPr>
          <w:rFonts w:ascii="Courier New" w:cs="Courier New" w:eastAsia="Courier New" w:hAnsi="Courier New"/>
          <w:sz w:val="14"/>
          <w:szCs w:val="14"/>
          <w:color w:val="auto"/>
        </w:rPr>
        <w:t>$331.8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$ 9.3</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20"/>
        <w:spacing w:after="0"/>
        <w:tabs>
          <w:tab w:leader="none" w:pos="7300" w:val="left"/>
          <w:tab w:leader="none" w:pos="8180" w:val="left"/>
          <w:tab w:leader="none" w:pos="930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$13.5</w:t>
      </w:r>
      <w:r>
        <w:rPr>
          <w:sz w:val="20"/>
          <w:szCs w:val="20"/>
          <w:color w:val="auto"/>
        </w:rPr>
        <w:tab/>
      </w:r>
      <w:r>
        <w:rPr>
          <w:rFonts w:ascii="Courier New" w:cs="Courier New" w:eastAsia="Courier New" w:hAnsi="Courier New"/>
          <w:sz w:val="14"/>
          <w:szCs w:val="14"/>
          <w:color w:val="auto"/>
        </w:rPr>
        <w:t>$18.2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$ 0.4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$ 0.1</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20"/>
        <w:spacing w:after="0"/>
        <w:tabs>
          <w:tab w:leader="none" w:pos="7220" w:val="left"/>
          <w:tab w:leader="none" w:pos="8180" w:val="left"/>
          <w:tab w:leader="none" w:pos="930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3"/>
          <w:szCs w:val="13"/>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4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(0.1)</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48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(Loss) from</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65.6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Accounting Principle</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c>
          <w:tcPr>
            <w:tcW w:w="3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$0.84</w:t>
            </w:r>
          </w:p>
        </w:tc>
        <w:tc>
          <w:tcPr>
            <w:tcW w:w="64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(0.03)</w:t>
            </w:r>
          </w:p>
        </w:tc>
        <w:tc>
          <w:tcPr>
            <w:tcW w:w="5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1.21</w:t>
            </w:r>
          </w:p>
        </w:tc>
        <w:tc>
          <w:tcPr>
            <w:tcW w:w="14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(0.05)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0"/>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line="20" w:lineRule="exact"/>
              <w:rPr>
                <w:sz w:val="1"/>
                <w:szCs w:val="1"/>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line="20" w:lineRule="exact"/>
              <w:rPr>
                <w:sz w:val="1"/>
                <w:szCs w:val="1"/>
                <w:color w:val="auto"/>
              </w:rPr>
            </w:pPr>
          </w:p>
        </w:tc>
        <w:tc>
          <w:tcPr>
            <w:tcW w:w="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040"/>
        <w:spacing w:after="0"/>
        <w:tabs>
          <w:tab w:leader="none" w:pos="7220" w:val="left"/>
          <w:tab w:leader="none" w:pos="8080" w:val="left"/>
          <w:tab w:leader="none" w:pos="9300" w:val="left"/>
        </w:tabs>
        <w:rPr>
          <w:sz w:val="20"/>
          <w:szCs w:val="20"/>
          <w:color w:val="auto"/>
        </w:rPr>
      </w:pP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$(0.84)</w:t>
      </w:r>
      <w:r>
        <w:rPr>
          <w:sz w:val="20"/>
          <w:szCs w:val="20"/>
          <w:color w:val="auto"/>
        </w:rPr>
        <w:tab/>
      </w:r>
      <w:r>
        <w:rPr>
          <w:rFonts w:ascii="Courier New" w:cs="Courier New" w:eastAsia="Courier New" w:hAnsi="Courier New"/>
          <w:sz w:val="14"/>
          <w:szCs w:val="14"/>
          <w:color w:val="auto"/>
        </w:rPr>
        <w:t>$2.88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1800" w:val="left"/>
          <w:tab w:leader="none" w:pos="2660" w:val="left"/>
          <w:tab w:leader="none" w:pos="3520" w:val="left"/>
          <w:tab w:leader="none" w:pos="4120" w:val="left"/>
          <w:tab w:leader="none" w:pos="4900" w:val="left"/>
        </w:tabs>
        <w:rPr>
          <w:sz w:val="20"/>
          <w:szCs w:val="20"/>
          <w:color w:val="auto"/>
        </w:rPr>
      </w:pPr>
      <w:r>
        <w:rPr>
          <w:rFonts w:ascii="Courier New" w:cs="Courier New" w:eastAsia="Courier New" w:hAnsi="Courier New"/>
          <w:sz w:val="14"/>
          <w:szCs w:val="14"/>
          <w:color w:val="auto"/>
        </w:rPr>
        <w:t>Included operating</w:t>
        <w:tab/>
        <w:t>expenses</w:t>
        <w:tab/>
        <w:t>totaling</w:t>
        <w:tab/>
        <w:t>$77.9</w:t>
        <w:tab/>
        <w:t>million</w:t>
        <w:tab/>
        <w:t>($50.4 million after tax, or $1.84 per diluted share)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related to the assignment of the Kendall County power purchase agreement. (See Note 5.)</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began allocating corporate charges and interest expense to our business segments. For comparative purposes, segment information for 2004 has been restated to reflect the new allocation method used in 2005 for corporate charges and interest expense. This restatement had no impact on consolidated net income or earnings per share.</w:t>
      </w:r>
    </w:p>
    <w:p>
      <w:pPr>
        <w:spacing w:after="0" w:line="16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947" w:right="1440" w:bottom="1440" w:gutter="0" w:footer="0" w:header="0"/>
          <w:type w:val="continuous"/>
        </w:sectPr>
      </w:pPr>
    </w:p>
    <w:bookmarkStart w:id="25" w:name="page26"/>
    <w:bookmarkEnd w:id="25"/>
    <w:tbl>
      <w:tblPr>
        <w:tblLayout w:type="fixed"/>
        <w:tblInd w:w="6120" w:type="dxa"/>
        <w:tblCellMar>
          <w:top w:w="0" w:type="dxa"/>
          <w:left w:w="0" w:type="dxa"/>
          <w:bottom w:w="0" w:type="dxa"/>
          <w:right w:w="0" w:type="dxa"/>
        </w:tblCellMar>
      </w:tblPr>
      <w:tr>
        <w:trPr>
          <w:trHeight w:val="162"/>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78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JUNE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7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ind w:left="320"/>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KILOWATTHOURS SOLD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2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280" w:type="dxa"/>
            <w:vAlign w:val="bottom"/>
          </w:tcPr>
          <w:p>
            <w:pPr>
              <w:ind w:left="780"/>
              <w:spacing w:after="0"/>
              <w:rPr>
                <w:sz w:val="20"/>
                <w:szCs w:val="20"/>
                <w:color w:val="auto"/>
              </w:rPr>
            </w:pPr>
            <w:r>
              <w:rPr>
                <w:rFonts w:ascii="Courier New" w:cs="Courier New" w:eastAsia="Courier New" w:hAnsi="Courier New"/>
                <w:sz w:val="14"/>
                <w:szCs w:val="14"/>
                <w:color w:val="auto"/>
              </w:rPr>
              <w:t>Retail and Municipals</w:t>
            </w:r>
          </w:p>
        </w:tc>
        <w:tc>
          <w:tcPr>
            <w:tcW w:w="2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80" w:type="dxa"/>
            <w:vAlign w:val="bottom"/>
          </w:tcPr>
          <w:p>
            <w:pPr>
              <w:ind w:left="1220"/>
              <w:spacing w:after="0"/>
              <w:rPr>
                <w:sz w:val="20"/>
                <w:szCs w:val="20"/>
                <w:color w:val="auto"/>
              </w:rPr>
            </w:pPr>
            <w:r>
              <w:rPr>
                <w:rFonts w:ascii="Courier New" w:cs="Courier New" w:eastAsia="Courier New" w:hAnsi="Courier New"/>
                <w:sz w:val="14"/>
                <w:szCs w:val="14"/>
                <w:color w:val="auto"/>
              </w:rPr>
              <w:t>Residential</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539.1</w:t>
            </w:r>
          </w:p>
        </w:tc>
      </w:tr>
      <w:tr>
        <w:trPr>
          <w:trHeight w:val="166"/>
        </w:trPr>
        <w:tc>
          <w:tcPr>
            <w:tcW w:w="4280" w:type="dxa"/>
            <w:vAlign w:val="bottom"/>
          </w:tcPr>
          <w:p>
            <w:pPr>
              <w:ind w:left="1220"/>
              <w:spacing w:after="0"/>
              <w:rPr>
                <w:sz w:val="20"/>
                <w:szCs w:val="20"/>
                <w:color w:val="auto"/>
              </w:rPr>
            </w:pPr>
            <w:r>
              <w:rPr>
                <w:rFonts w:ascii="Courier New" w:cs="Courier New" w:eastAsia="Courier New" w:hAnsi="Courier New"/>
                <w:sz w:val="14"/>
                <w:szCs w:val="14"/>
                <w:color w:val="auto"/>
              </w:rPr>
              <w:t>Commercial</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626.2</w:t>
            </w:r>
          </w:p>
        </w:tc>
      </w:tr>
      <w:tr>
        <w:trPr>
          <w:trHeight w:val="166"/>
        </w:trPr>
        <w:tc>
          <w:tcPr>
            <w:tcW w:w="4280" w:type="dxa"/>
            <w:vAlign w:val="bottom"/>
          </w:tcPr>
          <w:p>
            <w:pPr>
              <w:ind w:left="1220"/>
              <w:spacing w:after="0"/>
              <w:rPr>
                <w:sz w:val="20"/>
                <w:szCs w:val="20"/>
                <w:color w:val="auto"/>
              </w:rPr>
            </w:pPr>
            <w:r>
              <w:rPr>
                <w:rFonts w:ascii="Courier New" w:cs="Courier New" w:eastAsia="Courier New" w:hAnsi="Courier New"/>
                <w:sz w:val="14"/>
                <w:szCs w:val="14"/>
                <w:color w:val="auto"/>
              </w:rPr>
              <w:t>Industrial</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1,746.9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3,536.8</w:t>
            </w:r>
          </w:p>
        </w:tc>
      </w:tr>
      <w:tr>
        <w:trPr>
          <w:trHeight w:val="166"/>
        </w:trPr>
        <w:tc>
          <w:tcPr>
            <w:tcW w:w="4280" w:type="dxa"/>
            <w:vAlign w:val="bottom"/>
          </w:tcPr>
          <w:p>
            <w:pPr>
              <w:ind w:left="1220"/>
              <w:spacing w:after="0"/>
              <w:rPr>
                <w:sz w:val="20"/>
                <w:szCs w:val="20"/>
                <w:color w:val="auto"/>
              </w:rPr>
            </w:pPr>
            <w:r>
              <w:rPr>
                <w:rFonts w:ascii="Courier New" w:cs="Courier New" w:eastAsia="Courier New" w:hAnsi="Courier New"/>
                <w:sz w:val="14"/>
                <w:szCs w:val="14"/>
                <w:color w:val="auto"/>
              </w:rPr>
              <w:t>Municipals</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402.8</w:t>
            </w:r>
          </w:p>
        </w:tc>
      </w:tr>
      <w:tr>
        <w:trPr>
          <w:trHeight w:val="166"/>
        </w:trPr>
        <w:tc>
          <w:tcPr>
            <w:tcW w:w="4280" w:type="dxa"/>
            <w:vAlign w:val="bottom"/>
          </w:tcPr>
          <w:p>
            <w:pPr>
              <w:ind w:left="1220"/>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2,494.7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2,499.9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5,142.9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385.6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2,861.6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2,668.3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5,777.4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5,528.5</w:t>
            </w:r>
          </w:p>
        </w:tc>
      </w:tr>
      <w:tr>
        <w:trPr>
          <w:trHeight w:val="166"/>
        </w:trPr>
        <w:tc>
          <w:tcPr>
            <w:tcW w:w="140" w:type="dxa"/>
            <w:vAlign w:val="bottom"/>
          </w:tcPr>
          <w:p>
            <w:pPr>
              <w:spacing w:after="0"/>
              <w:rPr>
                <w:sz w:val="14"/>
                <w:szCs w:val="14"/>
                <w:color w:val="auto"/>
              </w:rPr>
            </w:pPr>
          </w:p>
        </w:tc>
        <w:tc>
          <w:tcPr>
            <w:tcW w:w="434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2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414.6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753.8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848.6</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3,261.5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6,377.1</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Acres Sold</w:t>
            </w:r>
          </w:p>
        </w:tc>
        <w:tc>
          <w:tcPr>
            <w:tcW w:w="31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1,427</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Lots Sold</w:t>
            </w:r>
          </w:p>
        </w:tc>
        <w:tc>
          <w:tcPr>
            <w:tcW w:w="31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following net income discussion summarizes a comparison of the six months ended June 30, 2005, to the six months ended June 30, 2004.</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REGULATED UTILITY contributed net income of $20.7 million in 2005 ($19.9 million in 2004). In 2005, a 57 percent increase in kilowatthour sales to other power suppliers, higher off-peak prices and continued strong retail electric sales offset $1.1 million of additional planned maintenance expense at Company generating facilities.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NONREGULATED ENERGY OPERATIONS reported a net loss of $48.9 million in 2005 ($0.1 million net loss in 2004). In April 2005, we completed the assignment of our Kendall County power purchase agreement to Constellation Energy Commodities. As a result of this transaction, we incurred a charge to operating expenses totaling $50.4 million after tax in the second quarter of 2005. Excluding the Kendall County Charge, net income from nonregulated operations was up $1.5 million from last year, primarily due to power sales contracts that began in May 2004 and May 2005 at Taconite Harbor.</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REAL ESTATE contributed net income of $9.7 million in 2005 ($13.0 million in 2004). Lower net income in 2005 was primarily attributed to the timing of the closing of real estate transactions, which varies from period to period and impacts comparisons between years.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second quarter of 2005, ALLETE Properties recorded its first sales from the Town Center at Palm Coast development project in northeast Florida. Since the project is currently under construction, revenue and expenses are recorded using a percentage-of-completion method. (See Note 1.) As of June 30, 2005, we have $7.7 million of deferred profit on sales of real estate, before taxes and minority interest, on our balance sheet. We expect most of this deferred profit will be reflected in income during the next 18 months.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June 30, 2005, total land sales under contract were $90.7 million, of which $53.5 million were for properties in the Town Center at Palm Coast development project. Pricing on these contracts range from $45,000 to $685,000 per acre for the Town Center at Palm Coast development project, and $2,000 to $524,000 per acre for all other properties. Prices per acre are stated on a gross acreage basis and are dependent on the type and location of the properties sold. The majority of the properties under contract are zoned commercial and mixed use.</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111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reflected a net loss of $3.1 million in 2005 ($9.0 million net loss in 2004). In 2005, the Company benefited from the positive impact of lower interest expense due to reduced debt balances and expense reductions following the spin-off of Automotive Services and exit from the Water Services businesses in 2004, and a $1.2 million increase in earnings on cash, cash equivalents and short-term investments. Losses from our emerging technology investments were similar to last year. In 2005, we recorded $3.3 million of impairment losses related to our emerging technology investments ($3.2 million in 2004).</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DISCONTINUED OPERATIONS reflected a net loss of $1.3 million in 2005 ($65.6 million of net income in 2004). The absence of operations from Automotive Services, spun off in September 2004, accounted for $60.4 million of the decrease in income from discontinued operations. Income from Water Services was down $6.5 million, primarily due to gains recognized in June 2004 on the sale of Heater and the remaining 72 Florida Water systems. Water Services in 2005 reflected $1.3 million of administrative expenses incurred by Florida Water in connection with the FPSC's transfer proceedings.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QUARTERS ENDED JUNE 30, 2005 AND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$1.0 million, or less than 1 percent, from 2004. Revenue from other power suppliers (power marketing) was up $8.1 million from 2004, due to a 118 percent increase in kilowatthour sales. Transmission revenue was up $1.4 million from 2004, reflecting increased MISO-related revenue. The Company is currently recovering other MISO expenses, subject to refund with interest, through the fuel clause. Revenue from sales to retail and municipal customers was down $8.4 million, primarily due to lower fuel clause recoveries in 2005. Kilowatthour sales to retail and municipal customers were similar to last year. As in 2004, the Company's industrial customers are operating at high production levels, with taconite and paper production at or near capacity, resulting in kilowatthour sales to industrial customers similar to last year. Overall, regulated utility kilowatthour sales were up 7 percent from 2004.</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23 percent of consolidated operating revenue in 2005 (26 percent in 2004). Electric sales to paper and pulp mills accounted for 9 percent of consolidated operating revenue in both 2005 and 2004.</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$0.2 million, or less than 1 percent, from 2004. Fuel and purchased power expense was down $1.3 million from 2004, due to lower purchased power expense in 2005. In 2004, an outage at Boswell Unit 4 required the Company to purchase additional power. The decrease in purchased power expense was mostly offset by increased fuel expense, due to a 53 percent increase in Company generation, and a $0.9 million increase in MISO transmission expense. Other operating expenses were also higher in 2005 and included a $0.5 million increase in conservation improvement program expenses, which are recovered through a billing adjustment clause. In 2004, operating expenses included $0.3 million of expenses related to Split Rock Energy, a joint venture, which we exited in March 2004.</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INTEREST</w:t>
        <w:tab/>
        <w:t>EXPENSE was down $0.2 million from 2004,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due to lower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w:t>
      </w:r>
    </w:p>
    <w:p>
      <w:pPr>
        <w:spacing w:after="0" w:line="7" w:lineRule="exact"/>
        <w:rPr>
          <w:sz w:val="20"/>
          <w:szCs w:val="20"/>
          <w:color w:val="auto"/>
        </w:rPr>
      </w:pPr>
    </w:p>
    <w:p>
      <w:pPr>
        <w:sectPr>
          <w:pgSz w:w="11900" w:h="16838" w:orient="portrait"/>
          <w:cols w:equalWidth="0" w:num="3">
            <w:col w:w="4740" w:space="180"/>
            <w:col w:w="1040" w:space="160"/>
            <w:col w:w="411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interest rates.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440"/>
        <w:spacing w:after="0" w:line="250" w:lineRule="auto"/>
        <w:rPr>
          <w:sz w:val="20"/>
          <w:szCs w:val="20"/>
          <w:color w:val="auto"/>
        </w:rPr>
      </w:pPr>
      <w:r>
        <w:rPr>
          <w:rFonts w:ascii="Courier New" w:cs="Courier New" w:eastAsia="Courier New" w:hAnsi="Courier New"/>
          <w:sz w:val="14"/>
          <w:szCs w:val="14"/>
          <w:color w:val="auto"/>
        </w:rPr>
        <w:t>OTHER INCOME (EXPENSE) reflected primarily due to higher EPA auction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$0.3 million more income proceeds received for sulfur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dioxide</w:t>
      </w:r>
    </w:p>
    <w:p>
      <w:pPr>
        <w:spacing w:after="0" w:line="7" w:lineRule="exact"/>
        <w:rPr>
          <w:sz w:val="20"/>
          <w:szCs w:val="20"/>
          <w:color w:val="auto"/>
        </w:rPr>
      </w:pPr>
    </w:p>
    <w:p>
      <w:pPr>
        <w:sectPr>
          <w:pgSz w:w="11900" w:h="16838" w:orient="portrait"/>
          <w:cols w:equalWidth="0" w:num="4">
            <w:col w:w="3460" w:space="160"/>
            <w:col w:w="2500" w:space="0"/>
            <w:col w:w="180" w:space="0"/>
            <w:col w:w="393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emission allowances.</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Second Quarter 2005 Form 10-Q</w:t>
      </w:r>
    </w:p>
    <w:p>
      <w:pPr>
        <w:sectPr>
          <w:pgSz w:w="11900" w:h="16838" w:orient="portrait"/>
          <w:cols w:equalWidth="0" w:num="2">
            <w:col w:w="1180" w:space="720"/>
            <w:col w:w="8339"/>
          </w:cols>
          <w:pgMar w:left="220" w:top="616"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COMPARISON OF THE QUARTERS ENDED JUNE 30, 2005 AND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$0.1 million, or less than 1 percent, from 2004. Revenue from nonregulated generation was down $1.9 million from 2004, reflecting the absence of Kendall County operations following the assignment of the Kendall County power purchase agreement partially offset by increased revenue from Taconite Harbor. Overall, nonregulated kilowatthour sales were down 4 percent from 2004. Revenue from Taconite Harbor was up $2.6 million due to a 76-MW one-year capacity contract that began in May 2004 and two 5-year contracts (175 MW in total) that began in May 2005. Coal revenue, realized under a cost-plus contract, was up $1.9 million from 2004 because of higher coal production expenses (see operating expense below).</w:t>
      </w:r>
    </w:p>
    <w:p>
      <w:pPr>
        <w:spacing w:after="0" w:line="329"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up $76.3 million, from 2004, primarily due to a $77.9 million charge related to the assignment of the Kendall County power purchase agreement to Constellation Energy Commodities on April 1, 2005.</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was down $5.6 million from 2004, reflecting the absence of operations at Kendall County partially offset by increased fuel and purchased power expense at Taconite Harbor due to a 15 percent increase in kilowatthour sales. Other operating expenses at Taconite Harbor were higher in 2005--sulfur dioxide emission allowance expenses were up $1.0 million and depreciation expense was up $0.2 million as a result of capitalized projects being completed and placed into operation. Expenses related to our coal operations were up $1.8 million, in part due to higher expenses associated with equipment repairs and a $0.7 million increase in lease expense related to the new dragline. In 2004, fewer equipment repairs reduced operating expenses.</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$1.4 million less income in 2005--$0.7 million primarily due to the timing of contract services related to the Duluth-to-Wausau transmission and $0.7 million due to fewer Minnesota land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$3.2 million, or 47 percent, from 2004, primarily because of the type and location of real estate sold. In 2005, 96 acres and 0 lots were sold for $8.6 million, excluding deferred revenue of $7.5 million. Town Center accounted for 42 of the 96 acres sold in 2005 ($1.7 million of revenue, excluding $7.5 million of deferred revenue). In 2004, 159 acres and 12 lots were sold for $5.2 million in 2004, excluding deferred revenue of $0.</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up $2.5 million from 2004. Cost of sales was $3.2 million in 2005, excluding deferred cost of sales of $1.7 million ($0.7 million, in 2004, excluding no deferred cost of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was down $3.5 million, or 22 percent, from 2004, due to less revenue from our telecommunications business because of fewer equipment sales.</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down $3.4 million, or 20 percent, from 2004, reflecting a $3.1 million decrease in expenses at our telecommunication business, primarily due to lower cost of goods sold associated with fewer equipment sales.</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$2.8 million from 2004, primarily due to lower debt balances. The Company repaid a $53 million balance on a credit agreement in April 2004 and $125 million of 7.80% Senior Notes in July 2004. A combination of internally-generated funds, proceeds from the sale of our Water Services assets and proceeds received from ADESA were used to repay debt.</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$6.1 million less expense in 2005 because in 2004 we recorded $5.5 million of impairment losses related to our privately-held emerging technology investments. Other income also reflected a $0.7 million increase in earnings on cash, cash equivalents and short-term investments in 2005.</w:t>
      </w:r>
    </w:p>
    <w:p>
      <w:pPr>
        <w:spacing w:after="0" w:line="16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10239"/>
          </w:cols>
          <w:pgMar w:left="220" w:top="78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COMPARISON OF THE QUARTERS ENDED JUNE 30, 2005 AND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effective rate for income taxes in 2005 deviated from the statutory rate, primarily as a result of the Kendall County capital loss recorded in April 2005. The current benefit for the loss was limited to a federal benefit for income tax purposes. The state tax benefit for this item is not expected to be realized currently or in future periods. This state capital loss carry forward was entirely reserved. Current taxes were higher in 2005, due to the expiration of the accelerated depreciation deduction allowed by the Jobs and Growth Tax Relief Act of 2003, which expired December 31, 2004. The effective rate for income taxes in 2004 increased, due to nondeductible spin-off costs related to the ADESA transaction.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SIX MONTHS ENDED JUNE 30, 2005 AND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$7.2 million, or 3 percent, from 2004. Revenue from other power suppliers (power marketing) was up $10.1 million from 2004, due to a 57 percent increase in kilowatthour sales and higher off-peak market prices. Transmission revenue was up $2.9 million from 2004, reflecting increased MISO-related revenue. The Company is currently recovering other MISO expenses, subject to refund with interest, through the fuel clause. Revenue from sales to retail and municipal customers was down $6.4 million, primarily due to lower fuel clause recoveries in 2005. Kilowatthour sales to retail and municipal customers remained strong--up 1 percent from 2004. Sales to industrial customers were similar to last year because, as in 2004, the Company's industrial customers are operating at high production levels, with taconite and paper production at or near capacity. Overall, regulated utility kilowatthour sales were up 5 percent from 2004.</w:t>
      </w:r>
    </w:p>
    <w:p>
      <w:pPr>
        <w:spacing w:after="0" w:line="328"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Revenue from electric sales to taconite customers accounted for 22 percent of consolidated operating revenue in 2005 (23 percent in 2004). Electric sales to paper and pulp mills accounted for 8 percent of consolidated operating revenue in both 2005 and 2004.</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$5.9 million, or 2 percent, from 2004. Fuel and purchased power expense was up $3.1 million from 2004, reflecting increased fuel expense, due to a 32 percent increase in Company generation, and a $2.3 million increase in MISO transmission expenses. These increases were partially offset by lower purchased power expense in 2005. In 2004, an outage at Boswell Unit 4 required additional power to be purchased. Maintenance expenses were up $1.9 million from 2004, primarily due to more planned maintenance in 2005. Other operating expenses were also higher in 2005 and included a $1.1 million increase in conservation improvement program expenses, which are recovered through a billing adjustment clause. In 2004, operating expenses included $2.0 million of expenses related to Split Rock Energy, a joint venture, which we exited in March 2004.</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$0.6 million from 2004, due to lower effective interest rates.</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$0.3 million more income in 2005, primarily due to higher EPA auction proceeds received for sulfur dioxide emission allowances.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$1.2 million, or 2 percent, from 2004. Revenue from nonregulated generation was down $4.3 million from 2004, reflecting the absence of Kendall County operations partially offset by increased revenue from Taconite Harbor. Overall, nonregulated kilowatthour sales were down 11 percent from 2004. Revenue from Taconite Harbor was up $2.0 million due to a 76-MW one-year capacity contract that began in May 2004 and two 5-year contracts (175 MW in total) that began in May 2005. Coal revenue, realized under a cost-plus contract, was up $3.6 million from 2004 because of higher coal production expenses (see operating expense below).</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COMPARISON OF THE SIX MONTHS ENDED JUNE 30, 2005 AND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 (CONTINUED)</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$72.9 million from 2004, primarily due to the $77.9 million charge related to the assignment of the Kendall County power purchase agreement to Constellation Energy Commodities on April 1, 2005. Nonregulated generation fuel and purchased power expense was down $9.8 million from 2004, reflecting the absence of Kendall County operations. Operating expenses at Taconite Harbor were higher in 2005--sulfur dioxide emission allowance expenses were up $1.5 million and depreciation expense was up $0.3 million as a result of capitalized projects being completed and placed into operation. Expenses related to our coal operations were up $3.5 million, in part due to higher expenses associated with equipment repairs and a $1.4 million increase in lease expense related to the new dragline. In 2004, fewer equipment repairs reduced operating expenses.</w:t>
      </w:r>
    </w:p>
    <w:p>
      <w:pPr>
        <w:spacing w:after="0" w:line="16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(EXPENSE) reflected $0.7 million less income in 2005, primarily due to fewer Minnesota land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$6.7 million, or 19 percent, from 2004, primarily due to lower sales volume. In 2005, 579 acres and 7 lots were sold for $25.6 million, excluding deferred revenue of $8.5 million. Town Center accounted for 42 of the 96 acres sold in 2005 ($1.7 million of revenue, excluding $7.5 million of deferred revenue). In 2004, 1,427 acres and 211 lots were sold for $31.3 million in 2004, excluding deferred revenue of $0. Revenue from land sales was lower in 2005, primarily due to timing of transactions closing. Revenue from lot sales was also lower in 2005 because in January 2004 we sold the remaining 184 lots at Sugarmill Woods for $3.9 million, essentially exiting the lot sales business.</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$0.7 million, or 7 percent, from 2004, primarily due to a $0.6 million decrease in selling expenses as a result of lower sales volume in 2005. Cost of sales, however, was higher in 2005--$5.8 million, excluding deferred cost of sales of $1.8 million ($5.5 million in 2004, excluding deferred cost of sales of $0).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was down $0.8 million, or 3 percent, from 2004, due to decreased revenue from our telecommunications business because of fewer equipment sales.</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$2.6 million, or 9 percent, from 2004, reflecting a $1.7 million decrease in expenses at our telecommunication business, primarily due to lower cost of goods sold associated with fewer equipment sales, and a reduction in other expenses following the spin-off of Automotive Services and exit from the Water Services businesses in 2004.</w:t>
      </w:r>
    </w:p>
    <w:p>
      <w:pPr>
        <w:spacing w:after="0" w:line="165"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$4.7 million from 2004, primarily due to lower debt balances. The Company repaid a $53 million balance on a credit agreement in April 2004 and $125 million of 7.80% Senior Notes in July 2004. A combination of internally-generated funds, proceeds from the sale of our Water Services assets and proceeds received from ADESA were used to repay debt.</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$0.8 million more income in 2005, primarily due to a $1.8 million increase in earnings on cash and short-term investments. In 2005, we recorded $5.1 million of impairment losses related to our emerging technology investments ($5.5 million in 2004). In 2004, $1.3 million of income from a rabbi trust, established to secure certain deferred executive compensation, was recorded.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effective rate for income taxes in 2005 deviated from the statutory rate, primarily as a result of the emerging technology investment impairment losses recorded in March 2005 and the Kendall County capital loss recorded in April 2005. The current benefit for these items was limited to a federal benefit for income tax purposes. The state tax benefit from these items is not expected to be realized currently or in future periods. These state net capital loss carry forwards are entirely reserved. Current taxes also increased in 2005, due to the expiration of the accelerated depreciation deduction allowed by the Jobs and Growth Tax Relief Act of 2003, which expired December 31, 2004. The effective rate for income taxes for 2004 increased, due to nondeductible spin-off costs related to the ADESA transaction.</w:t>
      </w:r>
    </w:p>
    <w:p>
      <w:pPr>
        <w:spacing w:after="0" w:line="16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78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2004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April 2005 assignment of the Kendall County power purchase agreement to Constellation Energy Commodities was a key strategic accomplishment for the Company. As a result of this assignment, we recorded expenses totaling $50.4 million after tax, or $1.84 per diluted share, in the second quarter of 2005, and eliminated anticipated annual losses of approximately $8 million after tax.</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continue to expect ALLETE's earnings per share from continuing operations to grow by 45 percent to 50 percent in 2005. The growth is expected to come from continued strong real estate sales, lower interest expense and the transfer of the Kendall County purchased power agreement. Our earnings expectation excludes the one-time charge related to the Kendall County assignment and any earnings from investments we may make in growth initiatives.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have fewer shares outstanding for earnings per share calculation purposes. The ESOP used proceeds from the sale of ADESA stock to purchase ALLETE common stock on the open market. Pursuant to AICPA Statement of Position 93-6, "Employers' Accounting for Employee Stock Ownership Plans," unallocated ALLETE common stock currently held by the ESOP is treated as unearned ESOP shares and not considered outstanding for earnings per share computations. ESOP shares are included in earnings per share computations after they are allocated to participants.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AND NONREGULATED ENERGY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a result of MISO Day 2 implementation on April 1, 2005, energy transactions to serve retail customers are sourced by wholesale transactions with MISO as the counterparty. Minnesota Power filed a petition with the MPUC in February 2005 to amend the fuel clause to accommodate costs and revenue related to MISO Day 2 market implementation. On March 24, 2005, the MPUC approved interim accounting treatment of MISO Day 2 costs to be recovered through the fuel clause. This interim treatment will continue until the MPUC addresses the cost recovery petitions from Xcel Energy Inc., Otter Tail Power Company, Alliant Energy Corporation and Minnesota Power. The MPUC action regarding MISO Day 2 will include an analysis of how the fuel clause is affected, and whether it should be modified as a result of MISO Day 2.</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April 14, 2005, the PSCW approved an 11.7 percent return on common equity and a 3.9 percent average increase in retail utility rates for SWL&amp;P customers. New rates became effective May 19, 2005.</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June 2005, we reached a long-term, all requirements agreement with United States Steel Corporation (USS) to provide electric service through October 2013 to its Minntac and Keewatin Taconite production facilities. Extending our electric supply contract is an important achievement for both USS and Minnesota Power. Electric power is a key component in the production of taconite and the taconite industry consumes a sizable portion of the electricity we produce. This agreement helps to provide planning certainty for both companies. The contract is subject to MPUC approval. Minntac and Keewatin Taconite, combined, use 275 megawatts of electricity. USS is our largest customer and represents approximately 12 percent of our consolidated annual revenue. We expect to be successful with additional industrial customer contract extensions going forward.</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Also in June 2005, we added a significant resource to our Regulated Utility generation portfolio when we entered into a 25-year agreement to purchase approximately 50 megawatts of wind power from a new wind generation project to be built in North Dakota by an affiliate of FPL Energy, LLC. FPL Energy expects the facility to be operational by the end of 2006. The wind farm will include 33 new wind turbines linked to the Square Butte substation in Center, North Dakota. The project is subject to certain conditions, including regulatory approvals, as well as the extension of the federal production tax credit. We are actively pursuing proposals for a second new wind farm to be located in northeastern Minnesota.</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The U.S. Congress has completed debate on comprehensive energy legislation and is expected to pass and send the legislation to the President. The bill could be signed into law in early August 2005. Key provisions in the bill include: mandatory electric reliability standards; FERC backstop siting authority for transmission corridors of national interest, as well as, giving the Department of Energy (DOE) "lead agency" authority to coordinate federal agencies involved in siting transmission lines; and the repeal of the Public Utility Holding Company Act of 1935 (PUHCA) giving the FERC additional authority over merger reviews and allowing the states expanded books and records authority. The law also reforms the hydro licensing process and supports the DOE's clean coal/FutureGen program. We believe the overall impact on the electric utility industry will be positive, but we are currently evaluating the effects of this pending legislation and are unable to predict the impact on the Company's results of operations and our operations in general.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 March 2005, Florida Landmark signed an agreement with Developers Realty Corporation (DRC) to develop the first phase of the urban core area of Town Center at Palm Coast. The agreement also includes the development of a 51-acre commercial retail site. The agreement provides that DRC has an inspection period through July 31, 2005, which allows DRC to terminate the agreement with no penalty. Revenue associated with this agreement is anticipated to be $21.8 million over the life of the contract, which extends to September 2012. DRC is a regional commercial developer with strong ties to national retailers and has experience developing "lifestyle center" projects. ALLETE Properties recorded its first sales from Town Center at Palm Coast in the second quarter of 2005.</w:t>
      </w:r>
    </w:p>
    <w:p>
      <w:pPr>
        <w:spacing w:after="0" w:line="163"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ALLETE Properties occasionally provides seller financing, and outstanding finance receivables were $12.5 million at June 30, 2005, with maturities ranging up to seven years. Outstanding finance receivables accrue interest at market-based rates. These finance receivables are collateralized by the financed properties.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460" w:val="left"/>
          <w:tab w:leader="none" w:pos="5320" w:val="left"/>
          <w:tab w:leader="none" w:pos="6620" w:val="left"/>
          <w:tab w:leader="none" w:pos="8000" w:val="left"/>
          <w:tab w:leader="none" w:pos="9040" w:val="left"/>
        </w:tabs>
        <w:rPr>
          <w:sz w:val="20"/>
          <w:szCs w:val="20"/>
          <w:color w:val="auto"/>
        </w:rPr>
      </w:pPr>
      <w:r>
        <w:rPr>
          <w:rFonts w:ascii="Courier New" w:cs="Courier New" w:eastAsia="Courier New" w:hAnsi="Courier New"/>
          <w:sz w:val="14"/>
          <w:szCs w:val="14"/>
          <w:color w:val="auto"/>
        </w:rPr>
        <w:t>SUMMARY OF DEVELOPMENT PROJECTS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OFFICE</w:t>
      </w:r>
      <w:r>
        <w:rPr>
          <w:sz w:val="20"/>
          <w:szCs w:val="20"/>
          <w:color w:val="auto"/>
        </w:rPr>
        <w:tab/>
      </w:r>
      <w:r>
        <w:rPr>
          <w:rFonts w:ascii="Courier New" w:cs="Courier New" w:eastAsia="Courier New" w:hAnsi="Courier New"/>
          <w:sz w:val="14"/>
          <w:szCs w:val="14"/>
          <w:color w:val="auto"/>
        </w:rPr>
        <w:t>INDUSTRIAL</w:t>
      </w:r>
    </w:p>
    <w:p>
      <w:pPr>
        <w:spacing w:after="0" w:line="7" w:lineRule="exact"/>
        <w:rPr>
          <w:sz w:val="20"/>
          <w:szCs w:val="20"/>
          <w:color w:val="auto"/>
        </w:rPr>
      </w:pPr>
    </w:p>
    <w:p>
      <w:pPr>
        <w:spacing w:after="0"/>
        <w:tabs>
          <w:tab w:leader="none" w:pos="3260" w:val="left"/>
          <w:tab w:leader="none" w:pos="4460" w:val="left"/>
          <w:tab w:leader="none" w:pos="5240" w:val="left"/>
          <w:tab w:leader="none" w:pos="6100" w:val="left"/>
          <w:tab w:leader="none" w:pos="6960" w:val="left"/>
          <w:tab w:leader="none" w:pos="7820" w:val="left"/>
        </w:tabs>
        <w:rPr>
          <w:sz w:val="20"/>
          <w:szCs w:val="20"/>
          <w:color w:val="auto"/>
        </w:rPr>
      </w:pPr>
      <w:r>
        <w:rPr>
          <w:rFonts w:ascii="Courier New" w:cs="Courier New" w:eastAsia="Courier New" w:hAnsi="Courier New"/>
          <w:sz w:val="14"/>
          <w:szCs w:val="14"/>
          <w:color w:val="auto"/>
        </w:rPr>
        <w:t>AT JUNE 30,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SQ. FT.</w:t>
      </w:r>
      <w:r>
        <w:rPr>
          <w:sz w:val="20"/>
          <w:szCs w:val="20"/>
          <w:color w:val="auto"/>
        </w:rPr>
        <w:tab/>
      </w:r>
      <w:r>
        <w:rPr>
          <w:rFonts w:ascii="Courier New" w:cs="Courier New" w:eastAsia="Courier New" w:hAnsi="Courier New"/>
          <w:sz w:val="14"/>
          <w:szCs w:val="14"/>
          <w:color w:val="auto"/>
        </w:rPr>
        <w:t>SQ. FT.</w:t>
      </w:r>
      <w:r>
        <w:rPr>
          <w:sz w:val="20"/>
          <w:szCs w:val="20"/>
          <w:color w:val="auto"/>
        </w:rPr>
        <w:tab/>
      </w:r>
      <w:r>
        <w:rPr>
          <w:rFonts w:ascii="Courier New" w:cs="Courier New" w:eastAsia="Courier New" w:hAnsi="Courier New"/>
          <w:sz w:val="14"/>
          <w:szCs w:val="14"/>
          <w:color w:val="auto"/>
        </w:rPr>
        <w:t>SQ. FT.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Town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Center at Palm Coast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1,508</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2,950</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2,010,000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1,118,000</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Palm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Coast Park</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4,705</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3,600</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1,600,000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800,000</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800,000</w:t>
            </w:r>
          </w:p>
        </w:tc>
      </w:tr>
      <w:tr>
        <w:trPr>
          <w:trHeight w:val="166"/>
        </w:trPr>
        <w:tc>
          <w:tcPr>
            <w:tcW w:w="2680" w:type="dxa"/>
            <w:vAlign w:val="bottom"/>
            <w:gridSpan w:val="3"/>
          </w:tcPr>
          <w:p>
            <w:pPr>
              <w:spacing w:after="0"/>
              <w:rPr>
                <w:sz w:val="20"/>
                <w:szCs w:val="20"/>
                <w:color w:val="auto"/>
              </w:rPr>
            </w:pPr>
            <w:r>
              <w:rPr>
                <w:rFonts w:ascii="Courier New" w:cs="Courier New" w:eastAsia="Courier New" w:hAnsi="Courier New"/>
                <w:sz w:val="14"/>
                <w:szCs w:val="14"/>
                <w:color w:val="auto"/>
              </w:rPr>
              <w:t>Ormond Crossings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5,773</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0"/>
        <w:spacing w:after="0"/>
        <w:tabs>
          <w:tab w:leader="none" w:pos="5580" w:val="left"/>
          <w:tab w:leader="none" w:pos="6700" w:val="left"/>
          <w:tab w:leader="none" w:pos="7920" w:val="left"/>
          <w:tab w:leader="none" w:pos="9300" w:val="left"/>
        </w:tabs>
        <w:rPr>
          <w:sz w:val="20"/>
          <w:szCs w:val="20"/>
          <w:color w:val="auto"/>
        </w:rPr>
      </w:pPr>
      <w:r>
        <w:rPr>
          <w:rFonts w:ascii="Courier New" w:cs="Courier New" w:eastAsia="Courier New" w:hAnsi="Courier New"/>
          <w:sz w:val="14"/>
          <w:szCs w:val="14"/>
          <w:color w:val="auto"/>
        </w:rPr>
        <w:t>11,986</w:t>
      </w:r>
      <w:r>
        <w:rPr>
          <w:sz w:val="20"/>
          <w:szCs w:val="20"/>
          <w:color w:val="auto"/>
        </w:rPr>
        <w:tab/>
      </w:r>
      <w:r>
        <w:rPr>
          <w:rFonts w:ascii="Courier New" w:cs="Courier New" w:eastAsia="Courier New" w:hAnsi="Courier New"/>
          <w:sz w:val="14"/>
          <w:szCs w:val="14"/>
          <w:color w:val="auto"/>
        </w:rPr>
        <w:t>6,550</w:t>
      </w:r>
      <w:r>
        <w:rPr>
          <w:sz w:val="20"/>
          <w:szCs w:val="20"/>
          <w:color w:val="auto"/>
        </w:rPr>
        <w:tab/>
      </w:r>
      <w:r>
        <w:rPr>
          <w:rFonts w:ascii="Courier New" w:cs="Courier New" w:eastAsia="Courier New" w:hAnsi="Courier New"/>
          <w:sz w:val="14"/>
          <w:szCs w:val="14"/>
          <w:color w:val="auto"/>
        </w:rPr>
        <w:t>3,610,000</w:t>
      </w:r>
      <w:r>
        <w:rPr>
          <w:sz w:val="20"/>
          <w:szCs w:val="20"/>
          <w:color w:val="auto"/>
        </w:rPr>
        <w:tab/>
      </w:r>
      <w:r>
        <w:rPr>
          <w:rFonts w:ascii="Courier New" w:cs="Courier New" w:eastAsia="Courier New" w:hAnsi="Courier New"/>
          <w:sz w:val="14"/>
          <w:szCs w:val="14"/>
          <w:color w:val="auto"/>
        </w:rPr>
        <w:t>1,918,000</w:t>
      </w:r>
      <w:r>
        <w:rPr>
          <w:sz w:val="20"/>
          <w:szCs w:val="20"/>
          <w:color w:val="auto"/>
        </w:rPr>
        <w:tab/>
      </w:r>
      <w:r>
        <w:rPr>
          <w:rFonts w:ascii="Courier New" w:cs="Courier New" w:eastAsia="Courier New" w:hAnsi="Courier New"/>
          <w:sz w:val="14"/>
          <w:szCs w:val="14"/>
          <w:color w:val="auto"/>
        </w:rPr>
        <w:t>800,000</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18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w:t>
      </w:r>
    </w:p>
    <w:p>
      <w:pPr>
        <w:spacing w:after="0" w:line="1" w:lineRule="exact"/>
        <w:rPr>
          <w:rFonts w:ascii="Courier New" w:cs="Courier New" w:eastAsia="Courier New" w:hAnsi="Courier New"/>
          <w:sz w:val="14"/>
          <w:szCs w:val="14"/>
          <w:color w:val="auto"/>
        </w:rPr>
      </w:pP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and includes minority interest. The actual property breakdown at full build-out may be different than these estimates.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Units and square footage have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tabs>
          <w:tab w:leader="none" w:pos="3260" w:val="left"/>
          <w:tab w:leader="none" w:pos="4380" w:val="left"/>
          <w:tab w:leader="none" w:pos="5420" w:val="left"/>
          <w:tab w:leader="none" w:pos="6620" w:val="left"/>
          <w:tab w:leader="none" w:pos="7920" w:val="left"/>
          <w:tab w:leader="none" w:pos="9120" w:val="left"/>
        </w:tabs>
        <w:rPr>
          <w:sz w:val="20"/>
          <w:szCs w:val="20"/>
          <w:color w:val="auto"/>
        </w:rPr>
      </w:pPr>
      <w:r>
        <w:rPr>
          <w:rFonts w:ascii="Courier New" w:cs="Courier New" w:eastAsia="Courier New" w:hAnsi="Courier New"/>
          <w:sz w:val="14"/>
          <w:szCs w:val="14"/>
          <w:color w:val="auto"/>
        </w:rPr>
        <w:t>AT JUNE 30,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Palm</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Coast Holdings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2,888</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1,848</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Lehigh</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600</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Cape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Coral</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908</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80"/>
        <w:spacing w:after="0"/>
        <w:tabs>
          <w:tab w:leader="none" w:pos="5580" w:val="left"/>
          <w:tab w:leader="none" w:pos="6960" w:val="left"/>
          <w:tab w:leader="none" w:pos="8260" w:val="left"/>
          <w:tab w:leader="none" w:pos="9380" w:val="left"/>
        </w:tabs>
        <w:rPr>
          <w:sz w:val="20"/>
          <w:szCs w:val="20"/>
          <w:color w:val="auto"/>
        </w:rPr>
      </w:pPr>
      <w:r>
        <w:rPr>
          <w:rFonts w:ascii="Courier New" w:cs="Courier New" w:eastAsia="Courier New" w:hAnsi="Courier New"/>
          <w:sz w:val="14"/>
          <w:szCs w:val="14"/>
          <w:color w:val="auto"/>
        </w:rPr>
        <w:t>4,694</w:t>
      </w:r>
      <w:r>
        <w:rPr>
          <w:sz w:val="20"/>
          <w:szCs w:val="20"/>
          <w:color w:val="auto"/>
        </w:rPr>
        <w:tab/>
      </w:r>
      <w:r>
        <w:rPr>
          <w:rFonts w:ascii="Courier New" w:cs="Courier New" w:eastAsia="Courier New" w:hAnsi="Courier New"/>
          <w:sz w:val="14"/>
          <w:szCs w:val="14"/>
          <w:color w:val="auto"/>
        </w:rPr>
        <w:t>2,448</w:t>
      </w:r>
      <w:r>
        <w:rPr>
          <w:sz w:val="20"/>
          <w:szCs w:val="20"/>
          <w:color w:val="auto"/>
        </w:rPr>
        <w:tab/>
      </w:r>
      <w:r>
        <w:rPr>
          <w:rFonts w:ascii="Courier New" w:cs="Courier New" w:eastAsia="Courier New" w:hAnsi="Courier New"/>
          <w:sz w:val="14"/>
          <w:szCs w:val="14"/>
          <w:color w:val="auto"/>
        </w:rPr>
        <w:t>648</w:t>
      </w:r>
      <w:r>
        <w:rPr>
          <w:sz w:val="20"/>
          <w:szCs w:val="20"/>
          <w:color w:val="auto"/>
        </w:rPr>
        <w:tab/>
      </w:r>
      <w:r>
        <w:rPr>
          <w:rFonts w:ascii="Courier New" w:cs="Courier New" w:eastAsia="Courier New" w:hAnsi="Courier New"/>
          <w:sz w:val="14"/>
          <w:szCs w:val="14"/>
          <w:color w:val="auto"/>
        </w:rPr>
        <w:t>435</w:t>
      </w:r>
      <w:r>
        <w:rPr>
          <w:sz w:val="20"/>
          <w:szCs w:val="20"/>
          <w:color w:val="auto"/>
        </w:rPr>
        <w:tab/>
      </w:r>
      <w:r>
        <w:rPr>
          <w:rFonts w:ascii="Courier New" w:cs="Courier New" w:eastAsia="Courier New" w:hAnsi="Courier New"/>
          <w:sz w:val="14"/>
          <w:szCs w:val="14"/>
          <w:color w:val="auto"/>
        </w:rPr>
        <w:t>1,163</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520" w:right="180" w:hanging="345"/>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 The actual property breakdown at full build-out may be different than these estimates.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440"/>
          </w:cols>
          <w:pgMar w:left="220" w:top="616" w:right="12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of $79.1 million, $63.0 million of short-term investments and a debt to total capital ratio of 40 percent at June 30, 2005.</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Excluding the Kendall County Charge and discontinued operations, we continued to generate strong cash flow from operating activities, which amounted to $63.8 million for the first six months of 2005 ($32.5 million for the first six months of 2004). Cash from operating activities, excluding the Kendall County Charge and discontinued operations, was higher in 2005, due to increased income from continuing operations, the collection of an outstanding receivable at December 31, 2004, from American Transmission Company LLC for work on the Duluth-to-Wausau transmission line and other receivables, and additional deferred profit on real estate activities.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from investing activities, excluding discontinued operations, was higher in 2005, primarily due to $87.6 million in net proceeds received from the sale of short-term investments ($271.1 million in gross proceeds; $183.5 million for purchases) and lower additions to property, plant and equipment in 2005, which vary from period to period depending on projects. These increases were partially offset by $12 million received from Split Rock Energy in 2004 upon termination of the joint venture.</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Cash for financing activities, excluding discontinued operations, was lower in 2005, primarily due to the repayment of a $53.0 million note payable in 2004.</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ALLETE Properties' Town Center at Palm Coast development project in Florida (Town Center) is being financed with a revolving development loan and tax-exempt bonds. In March 2005, Florida Landmark entered into an $8.5 million revolving development loan with CypressCoquina Bank to fund approximately $26 million of Town Center development costs. The loan has an interest rate equal to the prime rate with an initial term of 36 months. The term of the loan may be extended 24 months, if certain conditions are met. Also in March 2005, the Town Center at Palm Coast Community Development District (Town Center CDD) issued $26.4 million of tax-exempt, 6% Capital Improvement Revenue Bonds, Series 2005, due May 1, 2036 (Bonds).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to be imposed, levied and collected by the Town Center CDD. The assessments represent an allocation of the costs of the improvements, including bond financing costs, to the lands within the Town Center CDD benefiting from the improvements. The assessments will be included in the annual property tax bills of land owners in the development project beginning in November 2006. Town Center CDD is an independent unit of local government, created and established in accordance with Florida's Uniform Community Development District Act of 1980 (Act). The Act provides legal authority for a community development district to finance the construction of major infrastructure for community development with general obligation, revenue and special assessment revenue debt obligations.</w:t>
      </w:r>
    </w:p>
    <w:p>
      <w:pPr>
        <w:spacing w:after="0" w:line="176"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Approximately 1 million original issue shares of our common stock are available for issuance through Invest Direct, our direct stock purchase and dividend reinvestment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portion of the remaining registered securities if warranted by market conditions and our capital requirements. Any offer and sale of the above-mentioned securities will be made only by means of a prospectus meeting the requirements of the Securities Act of 1933 and the rules and regulations thereunder.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2005, ALLETE executed a bond purchase agreement with certain institutional buyers in the private placement market to sell $35 million of ALLETE's first mortgage bonds. When issued, on or about August 1, 2005, the bonds will carry an interest rate of 5.28% and will have a term of 15 years. In June 2005, ALLETE called for redemption on August 1, 2005, $35 million in principal amount of First Mortgage Bonds, 7 1/2% Series due 2007.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2004 Form 10-K, with additional disclosure discussed in Note 13 of this Form 10-Q.</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six months ended June 30, 2005, capital expenditures for continuing operations totaled $24.2 million ($34.7 million in 2004). Expenditures for the six months ended June 30, 2005, included $20.7 million for Regulated Utility, $1.9 million for Nonregulated Energy Operations and $1.6 million for Other, which related to our telecommunications business. Internally-generated funds were the source of funding for these expenditures.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Capital expenditures are expected to be $61 million in total for 2005 ($48 million for system component replacement and upgrades within Regulated Utility; $11 million for system component replacement and upgrades, and coal handling equipment within Nonregulated Energy Operations; and $2 million for telecommunication fiber within Other). We expect to use internally-generated funds to fund all capital expenditures.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Due to the passage of two new EPA rules in 2005 that reduce and permanently cap emissions of mercury, sulfur dioxide, nitrogen oxides and particulates from the electric utility industry, capital expenditures are expected to total about $675 million for 2006 through 2009, an increase of $175 million from the previously anticipated $500 million. This estimated increase reflects additional technological investment in our existing facilities. We are considering, however, a combination of solutions that include both technology and emission allowance purchases. We have commenced litigation in the U.S. Court of Appeals for the District of Columbia Circuit and intend to file a Petition for Reconsideration to have the EPA revisit flaws in the application and methodology of the CAIR rule. If successful, we expect our compliance costs to be approximately $175 million lower than our current expected capital expenditures, which reflect application of the current rules to Minnesota Power's facilities. (See Note 13.)</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mentioned in our Critical Accounting Policies section,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the outcome of the issues discussed in Note 13.</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6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READERS</w:t>
            </w:r>
          </w:p>
        </w:tc>
        <w:tc>
          <w:tcPr>
            <w:tcW w:w="3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ARE CAUTIONED THAT FORWARD-LOOKING</w:t>
            </w:r>
          </w:p>
        </w:tc>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STATEMENTS INCLUDING THOSE CONTAINED</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ABOVE,</w:t>
            </w: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SHOULD BE READ IN CONJUNCTION  WITH</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OUR  DISCLOSURES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UNDER THE HEADING:</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"SAFE HARBOR  STATEMENT UNDER THE PRIVATE</w:t>
            </w:r>
          </w:p>
        </w:tc>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LITIGATION  REFORM ACT OF</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1995" LOCATED ON PAGE 3 OF THIS FORM 10-Q.</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97"/>
        </w:trPr>
        <w:tc>
          <w:tcPr>
            <w:tcW w:w="66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ALLETE Second Quarter</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2005 Form 10-Q</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ectPr>
          <w:pgSz w:w="11900" w:h="16838" w:orient="portrait"/>
          <w:cols w:equalWidth="0" w:num="1">
            <w:col w:w="10239"/>
          </w:cols>
          <w:pgMar w:left="220" w:top="616" w:right="1440" w:bottom="1440" w:gutter="0" w:footer="0" w:header="0"/>
        </w:sectPr>
      </w:pPr>
    </w:p>
    <w:bookmarkStart w:id="34" w:name="page35"/>
    <w:bookmarkEnd w:id="34"/>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AVAILABLE-FOR-SALE SECURITIES. Our securities investments include certain securities, which are accounted for as available-for-sale securities. Available-for-sale securities are recorded at fair value with unrealized gains and losses included in accumulated other comprehensive income (loss), net of tax. Unrealized losses that are other than temporary are recognized in earnings. At June 30, 2005, our available-for-sale securities portfolio consisted of securities in a grantor trust established to fund certain employee benefits included in Investments and various auction rate municipal bonds and variable rate municipal demand notes included as Short-Term Investments. Our available-for-sale securities portfolio had a fair value of $92.4 million at June 30, 2005 ($179.4 million at December 31, 2004) and a total unrealized after-tax gain of $1.5 million at June 30, 2005 ($1.5 million at December 31, 2004). We use the specific identification method as the basis for determining the cost of securities sold. Our policy is to review on a quarterly basis available-for-sale securities for other than temporary impairment by assessing such factors as the continued viability of products offered, cash flow, share price trends and the impact of overall market conditions. As a result of our periodic assessments, we did not record any impairment on available-for-sale securities for the six months ended June 30, 2005.</w:t>
      </w:r>
    </w:p>
    <w:p>
      <w:pPr>
        <w:spacing w:after="0" w:line="33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The total carrying value of our emerging technology portfolio was $8.7 million at June 30, 2005, down $4.9 million from December 31, 2004. In March 2005, we recorded $5.1 million ($3.3 million after tax) of impairment losses, which included a reserve for future commitments, that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 Our basis in cost method investments included in the emerging technology portfolio was zero at June 30, 2005 ($4.5 million at December 31, 2004). Our policy is to review these investments quarterly for impairment by assessing such factors as continued commercial viability of products, cash flow and earnings. Any impairment would reduce the carrying value of the investment.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regulated utility generation and purchased power, as well as selling nonregulated generation.</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From time to 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or under short-term contracts at market prices.</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have approximately 200 MW of nonregulated generation available for sale to the wholesale markets at our Taconite Harbor facility in northern Minnesota, which has been sold through various short-term and long-term capacity and energy contracts. Approximately 116 MW of existing capacity and energy sales contracts expired on April 30, 2005. Long-term, we have entered into two capacity and energy sales</w:t>
      </w:r>
    </w:p>
    <w:p>
      <w:pPr>
        <w:spacing w:after="0" w:line="32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POWER MARKETING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 MW capacity and energy sales contract that extends through April 2008 and a 15 MW energy sales contract that extends through May 2007. The 50 MW capacity and energy sales contract has fixed pricing through January 2006 and market-based pricing thereafter.</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addition to generation, Taconite Harbor will meet its sales contract obligations with two contracts that began in May 2005. We have a 50 MW capacity and energy purchase contract that extends through April 2006, with fixed capacity payments and the right to purchase energy at market price. We also have a 25 MW fixed-priced energy purchase contract that extends through January 2006.</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in timely alerting them to material information required to be included in our periodic SEC filings.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13, and are incorporated by reference herein.</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ectPr>
          <w:pgSz w:w="11900" w:h="16838" w:orient="portrait"/>
          <w:cols w:equalWidth="0" w:num="1">
            <w:col w:w="10239"/>
          </w:cols>
          <w:pgMar w:left="220" w:top="616" w:right="1440" w:bottom="1440" w:gutter="0" w:footer="0" w:header="0"/>
        </w:sectPr>
      </w:pPr>
    </w:p>
    <w:bookmarkStart w:id="36" w:name="page37"/>
    <w:bookmarkEnd w:id="36"/>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held our Annual Meeting of Shareholders on May 10, 2005.</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(c) below.</w:t>
      </w:r>
    </w:p>
    <w:p>
      <w:pPr>
        <w:spacing w:after="0" w:line="17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directors, the ratification of the appointment of PricewaterhouseCoopers LLP, as the Company's independent registered public accounting firm for 2005, and the continuation of the ALLETE Executive Long-Term Incentive Compensation Plan were voted on at the Annual Meeting of Shareholders.</w:t>
      </w:r>
    </w:p>
    <w:p>
      <w:pPr>
        <w:spacing w:after="0" w:line="16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were as follows: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VOTES</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VOTES FOR</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WITHHELD</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6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Heidi J. Eddins</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25,575,868</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587,372</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Peter J. Johnson</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25,438,790</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724,450</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Madeleine W. Ludlow</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25,520,384</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642,856</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George L. Mayer</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25,437,028</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726,212</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Roger D. Peirce</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25,397,560</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765,680</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Jack I. Rajala</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25,322,780</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840,460</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Donald J. Shippar</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25,643,498</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519,742</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Nick Smith</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25,422,674</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740,566</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Bruce W. Stender</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25,605,356</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557,884</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6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28"/>
        </w:trPr>
        <w:tc>
          <w:tcPr>
            <w:tcW w:w="2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VOTES</w:t>
            </w:r>
          </w:p>
        </w:tc>
        <w:tc>
          <w:tcPr>
            <w:tcW w:w="1540" w:type="dxa"/>
            <w:vAlign w:val="bottom"/>
          </w:tcPr>
          <w:p>
            <w:pPr>
              <w:spacing w:after="0"/>
              <w:rPr>
                <w:sz w:val="24"/>
                <w:szCs w:val="2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BROKER</w:t>
            </w:r>
          </w:p>
        </w:tc>
      </w:tr>
      <w:tr>
        <w:trPr>
          <w:trHeight w:val="166"/>
        </w:trPr>
        <w:tc>
          <w:tcPr>
            <w:tcW w:w="298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VOTES FOR</w:t>
            </w:r>
          </w:p>
        </w:tc>
        <w:tc>
          <w:tcPr>
            <w:tcW w:w="19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AGAINST</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ABSTENTIONS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NONVOTES</w:t>
            </w:r>
          </w:p>
        </w:tc>
      </w:tr>
      <w:tr>
        <w:trPr>
          <w:trHeight w:val="166"/>
        </w:trPr>
        <w:tc>
          <w:tcPr>
            <w:tcW w:w="948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INDEPENDENT REGISTERED</w:t>
            </w:r>
          </w:p>
        </w:tc>
        <w:tc>
          <w:tcPr>
            <w:tcW w:w="1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PUBLIC ACCOUNTING FIRM</w:t>
            </w:r>
          </w:p>
        </w:tc>
        <w:tc>
          <w:tcPr>
            <w:tcW w:w="1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PricewaterhouseCoopers LLP</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25,296,573</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707,633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159,034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CONTINUATION OF THE EXECUTIVE</w:t>
            </w:r>
          </w:p>
        </w:tc>
        <w:tc>
          <w:tcPr>
            <w:tcW w:w="1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LONG-TERM INCENTIVE</w:t>
            </w:r>
          </w:p>
        </w:tc>
        <w:tc>
          <w:tcPr>
            <w:tcW w:w="1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COMPENSATION PLAN</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17,743,925</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3,081,478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861,677</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4,476,160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(d)</w:t>
        <w:tab/>
        <w:t>Not applicable.</w:t>
      </w:r>
    </w:p>
    <w:p>
      <w:pPr>
        <w:spacing w:after="0" w:line="200" w:lineRule="exact"/>
        <w:rPr>
          <w:sz w:val="20"/>
          <w:szCs w:val="20"/>
          <w:color w:val="auto"/>
        </w:rPr>
      </w:pPr>
    </w:p>
    <w:p>
      <w:pPr>
        <w:spacing w:after="0" w:line="3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37" w:name="page38"/>
    <w:bookmarkEnd w:id="37"/>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Reference is made to our 2004 Form 10-K for background information on the following updates. Unless otherwise indicated, cited references are to our 2004 Form 10-K.</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Ref. Page 8 - New Footnote to Contract Status for Minnesota Power Large Power Customers Table</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June 2005, Minnesota Power reached a long-term agreement with United States Steel Corporation (USS) to provide electric service through October 2013 to its Minntac and Keewatin Taconite production facilities. USS is Minnesota Power's largest energy customer. The contract is subject to MPUC approval.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First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May 27, 2005, we entered into a 25-year agreement with an affiliate of FPL Energy, LLC to purchase all of the renewable energy from an approximately 50-megawatt wind facility to be built in North Dakota. FPL Energy, LLC expects the facility to be operational by the end of 2006. The wind farm will include 33 new wind turbines linked to the Square Butte substation in Center, North Dakota. The project is subject to certain conditions, including regulatory approvals, as well as the extension of the federal production tax credit (PTC). In addition, we are actively pursuing proposals for the purchase of renewable energy from a second new wind farm that would be located in northeastern Minnesota. This project, expected to be operational in 2006 or 2007, would be similar in size to the North Dakota project and would be subject to contract negotiation and execution, as well as regulatory approvals and extension of the PTC.</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Seventh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U.S. Congress has completed debate on comprehensive energy legislation and is expected to pass and send the legislation to the President. The bill could be signed into law in early August 2005. Key provisions in the bill include: mandatory electric reliability standards; FERC backstop siting authority for transmission corridors of national interest, as well as, giving the Department of Energy (DOE) "lead agency" authority to coordinate federal agencies involved in siting transmission lines; and the repeal of the Public Utility Holding Company Act of 1935 (PUHCA) giving the FERC additional authority over merger reviews and allowing the states expanded books and records authority. The law also reforms the hydro licensing process and supports the DOE's clean coal/FutureGen program. We believe the overall impact on the electric utility industry will be positive, but we are currently evaluating the effects of this pending legislation and are unable to predict the impact on the Company's results of operations and our operations in general.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13 - New Paragraph after Second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June 24, 2005, a growth management bill was signed into law by the Governor of Florida that will significantly change Florida's land development regulations. Generally, the bill requires that sufficient roads, schools and water supply be in place before future development can be approved by local governments. Our Town Center and Palm Coast Park development projects were "grandfathered" under the former regulations and will not be impacted. Ormond Crossings and future Company projects will be regulated by the new legislation. However, due to the large scale of these projects, roads, schools and water supply were already being addressed in our development approvals. Smaller developments will see the greatest negative effect of the legislation, which could lead to a competitive advantage for us under our long-term strategy, but could negatively impact our short-term efforts to obtain development approvals for smaller projects.</w:t>
      </w:r>
    </w:p>
    <w:p>
      <w:pPr>
        <w:spacing w:after="0" w:line="200" w:lineRule="exact"/>
        <w:rPr>
          <w:sz w:val="20"/>
          <w:szCs w:val="20"/>
          <w:color w:val="auto"/>
        </w:rPr>
      </w:pPr>
    </w:p>
    <w:p>
      <w:pPr>
        <w:spacing w:after="0" w:line="29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Second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239"/>
          </w:cols>
          <w:pgMar w:left="220" w:top="782" w:right="1440" w:bottom="1440" w:gutter="0" w:footer="0" w:header="0"/>
        </w:sectPr>
      </w:pPr>
    </w:p>
    <w:bookmarkStart w:id="38" w:name="page39"/>
    <w:bookmarkEnd w:id="38"/>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ind w:left="620"/>
        <w:spacing w:after="0"/>
        <w:tabs>
          <w:tab w:leader="none" w:pos="110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Director Compensation Summary.</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00" w:type="dxa"/>
            <w:vAlign w:val="bottom"/>
          </w:tcPr>
          <w:p>
            <w:pPr>
              <w:spacing w:after="0"/>
              <w:rPr>
                <w:sz w:val="20"/>
                <w:szCs w:val="20"/>
                <w:color w:val="auto"/>
              </w:rPr>
            </w:pPr>
            <w:r>
              <w:rPr>
                <w:rFonts w:ascii="Courier New" w:cs="Courier New" w:eastAsia="Courier New" w:hAnsi="Courier New"/>
                <w:sz w:val="14"/>
                <w:szCs w:val="14"/>
                <w:color w:val="auto"/>
              </w:rPr>
              <w:t>31(a)</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Rule</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13a-14(a)/15d-14(a)</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Certification</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6"/>
        </w:trPr>
        <w:tc>
          <w:tcPr>
            <w:tcW w:w="6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40" w:type="dxa"/>
            <w:vAlign w:val="bottom"/>
            <w:gridSpan w:val="3"/>
          </w:tcPr>
          <w:p>
            <w:pPr>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 of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331"/>
        </w:trPr>
        <w:tc>
          <w:tcPr>
            <w:tcW w:w="600" w:type="dxa"/>
            <w:vAlign w:val="bottom"/>
          </w:tcPr>
          <w:p>
            <w:pPr>
              <w:spacing w:after="0"/>
              <w:rPr>
                <w:sz w:val="20"/>
                <w:szCs w:val="20"/>
                <w:color w:val="auto"/>
              </w:rPr>
            </w:pPr>
            <w:r>
              <w:rPr>
                <w:rFonts w:ascii="Courier New" w:cs="Courier New" w:eastAsia="Courier New" w:hAnsi="Courier New"/>
                <w:sz w:val="14"/>
                <w:szCs w:val="14"/>
                <w:color w:val="auto"/>
              </w:rPr>
              <w:t>31(b)</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Rule</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13a-14(a)/15d-14(a)</w:t>
            </w:r>
          </w:p>
        </w:tc>
        <w:tc>
          <w:tcPr>
            <w:tcW w:w="12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Certification</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Chief</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w:t>
            </w:r>
          </w:p>
        </w:tc>
      </w:tr>
      <w:tr>
        <w:trPr>
          <w:trHeight w:val="166"/>
        </w:trPr>
        <w:tc>
          <w:tcPr>
            <w:tcW w:w="6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240" w:type="dxa"/>
            <w:vAlign w:val="bottom"/>
            <w:gridSpan w:val="3"/>
          </w:tcPr>
          <w:p>
            <w:pPr>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 of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170" w:lineRule="exact"/>
        <w:rPr>
          <w:sz w:val="20"/>
          <w:szCs w:val="20"/>
          <w:color w:val="auto"/>
        </w:rPr>
      </w:pPr>
    </w:p>
    <w:p>
      <w:pPr>
        <w:jc w:val="both"/>
        <w:ind w:left="1120" w:right="3339" w:hanging="509"/>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1120" w:right="3339" w:hanging="509"/>
        <w:spacing w:after="0" w:line="251" w:lineRule="auto"/>
        <w:tabs>
          <w:tab w:leader="none" w:pos="11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July 29, 2005, announcing 2005 second quarter earnings. [THIS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pacing w:after="0" w:line="33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782" w:right="1440" w:bottom="1440" w:gutter="0" w:footer="0" w:header="0"/>
        </w:sectPr>
      </w:pPr>
    </w:p>
    <w:bookmarkStart w:id="39" w:name="page40"/>
    <w:bookmarkEnd w:id="39"/>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w:t>
      </w:r>
    </w:p>
    <w:p>
      <w:pPr>
        <w:spacing w:after="0" w:line="200" w:lineRule="exact"/>
        <w:rPr>
          <w:sz w:val="20"/>
          <w:szCs w:val="20"/>
          <w:color w:val="auto"/>
        </w:rPr>
      </w:pPr>
    </w:p>
    <w:p>
      <w:pPr>
        <w:sectPr>
          <w:pgSz w:w="11900" w:h="16838" w:orient="portrait"/>
          <w:cols w:equalWidth="0" w:num="2">
            <w:col w:w="4320" w:space="80"/>
            <w:col w:w="58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July 29, 2005</w:t>
      </w:r>
      <w:r>
        <w:rPr>
          <w:sz w:val="20"/>
          <w:szCs w:val="20"/>
          <w:color w:val="auto"/>
        </w:rPr>
        <w:tab/>
      </w:r>
      <w:r>
        <w:rPr>
          <w:rFonts w:ascii="Courier New" w:cs="Courier New" w:eastAsia="Courier New" w:hAnsi="Courier New"/>
          <w:sz w:val="14"/>
          <w:szCs w:val="14"/>
          <w:color w:val="auto"/>
        </w:rPr>
        <w:t>James K. Vizanko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July 29, 2005</w:t>
      </w:r>
      <w:r>
        <w:rPr>
          <w:sz w:val="20"/>
          <w:szCs w:val="20"/>
          <w:color w:val="auto"/>
        </w:rPr>
        <w:tab/>
      </w:r>
      <w:r>
        <w:rPr>
          <w:rFonts w:ascii="Courier New" w:cs="Courier New" w:eastAsia="Courier New" w:hAnsi="Courier New"/>
          <w:sz w:val="14"/>
          <w:szCs w:val="14"/>
          <w:color w:val="auto"/>
        </w:rPr>
        <w:t>Mark A. Schober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200" w:lineRule="exact"/>
        <w:rPr>
          <w:sz w:val="20"/>
          <w:szCs w:val="20"/>
          <w:color w:val="auto"/>
        </w:rPr>
      </w:pPr>
    </w:p>
    <w:p>
      <w:pPr>
        <w:spacing w:after="0" w:line="304" w:lineRule="exact"/>
        <w:rPr>
          <w:sz w:val="20"/>
          <w:szCs w:val="20"/>
          <w:color w:val="auto"/>
        </w:rPr>
      </w:pPr>
    </w:p>
    <w:p>
      <w:pPr>
        <w:jc w:val="right"/>
        <w:ind w:right="3339"/>
        <w:spacing w:after="0"/>
        <w:tabs>
          <w:tab w:leader="none" w:pos="160" w:val="left"/>
        </w:tabs>
        <w:rPr>
          <w:sz w:val="20"/>
          <w:szCs w:val="20"/>
          <w:color w:val="auto"/>
        </w:rPr>
      </w:pPr>
      <w:r>
        <w:rPr>
          <w:rFonts w:ascii="Courier New" w:cs="Courier New" w:eastAsia="Courier New" w:hAnsi="Courier New"/>
          <w:sz w:val="14"/>
          <w:szCs w:val="14"/>
          <w:color w:val="auto"/>
        </w:rPr>
        <w:t>ALLETE Second Quarter 2005 Form 10-Q</w:t>
      </w:r>
      <w:r>
        <w:rPr>
          <w:sz w:val="20"/>
          <w:szCs w:val="20"/>
          <w:color w:val="auto"/>
        </w:rPr>
        <w:tab/>
      </w: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type w:val="continuous"/>
        </w:sectPr>
      </w:pPr>
    </w:p>
    <w:bookmarkStart w:id="40" w:name="page41"/>
    <w:bookmarkEnd w:id="40"/>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10Director Compensation Summary.</w:t>
      </w:r>
    </w:p>
    <w:p>
      <w:pPr>
        <w:spacing w:after="0" w:line="173" w:lineRule="exact"/>
        <w:rPr>
          <w:sz w:val="20"/>
          <w:szCs w:val="20"/>
          <w:color w:val="auto"/>
        </w:rPr>
      </w:pPr>
    </w:p>
    <w:p>
      <w:pPr>
        <w:ind w:left="960" w:right="333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31(a)</w:t>
      </w:r>
      <w:r>
        <w:rPr>
          <w:sz w:val="20"/>
          <w:szCs w:val="20"/>
          <w:color w:val="auto"/>
        </w:rPr>
        <w:tab/>
      </w:r>
      <w:r>
        <w:rPr>
          <w:rFonts w:ascii="Courier New" w:cs="Courier New" w:eastAsia="Courier New" w:hAnsi="Courier New"/>
          <w:sz w:val="14"/>
          <w:szCs w:val="14"/>
          <w:color w:val="auto"/>
        </w:rPr>
        <w:t>Rule 13a-14(a)/15d-14(a) Certification by the Chief Executive Officer Pursuant to Section 302 of the Sarbanes-Oxley Act of 2002.</w:t>
      </w:r>
    </w:p>
    <w:p>
      <w:pPr>
        <w:spacing w:after="0" w:line="160" w:lineRule="exact"/>
        <w:rPr>
          <w:sz w:val="20"/>
          <w:szCs w:val="20"/>
          <w:color w:val="auto"/>
        </w:rPr>
      </w:pPr>
    </w:p>
    <w:p>
      <w:pPr>
        <w:ind w:left="960" w:right="3339" w:hanging="779"/>
        <w:spacing w:after="0" w:line="255" w:lineRule="auto"/>
        <w:tabs>
          <w:tab w:leader="none" w:pos="94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60" w:lineRule="exact"/>
        <w:rPr>
          <w:sz w:val="20"/>
          <w:szCs w:val="20"/>
          <w:color w:val="auto"/>
        </w:rPr>
      </w:pPr>
    </w:p>
    <w:p>
      <w:pPr>
        <w:jc w:val="both"/>
        <w:ind w:left="960" w:right="3339" w:hanging="521"/>
        <w:spacing w:after="0" w:line="252" w:lineRule="auto"/>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960" w:right="3339" w:hanging="521"/>
        <w:spacing w:after="0" w:line="251" w:lineRule="auto"/>
        <w:tabs>
          <w:tab w:leader="none" w:pos="9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July 29, 2005, announcing 2005 second quarter earnings. [THIS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96"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616" w:right="1440" w:bottom="1440" w:gutter="0" w:footer="0" w:header="0"/>
        </w:sectPr>
      </w:pPr>
    </w:p>
    <w:bookmarkStart w:id="41" w:name="page42"/>
    <w:bookmarkEnd w:id="41"/>
    <w:p>
      <w:pPr>
        <w:ind w:left="6032"/>
        <w:spacing w:after="0"/>
        <w:rPr>
          <w:sz w:val="20"/>
          <w:szCs w:val="20"/>
          <w:color w:val="auto"/>
        </w:rPr>
      </w:pPr>
      <w:r>
        <w:rPr>
          <w:rFonts w:ascii="Courier New" w:cs="Courier New" w:eastAsia="Courier New" w:hAnsi="Courier New"/>
          <w:sz w:val="14"/>
          <w:szCs w:val="14"/>
          <w:color w:val="auto"/>
        </w:rPr>
        <w:t>EXHIBIT 10</w:t>
      </w:r>
    </w:p>
    <w:p>
      <w:pPr>
        <w:spacing w:after="0" w:line="338"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left="172" w:hanging="172"/>
        <w:spacing w:after="0"/>
        <w:tabs>
          <w:tab w:leader="none" w:pos="17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MAY 1, 2005</w:t>
      </w:r>
    </w:p>
    <w:p>
      <w:pPr>
        <w:spacing w:after="0" w:line="7"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BOARD RETAINERS</w:t>
            </w:r>
          </w:p>
        </w:tc>
        <w:tc>
          <w:tcPr>
            <w:tcW w:w="2560" w:type="dxa"/>
            <w:vAlign w:val="bottom"/>
          </w:tcPr>
          <w:p>
            <w:pPr>
              <w:spacing w:after="0"/>
              <w:rPr>
                <w:sz w:val="14"/>
                <w:szCs w:val="14"/>
                <w:color w:val="auto"/>
              </w:rPr>
            </w:pPr>
          </w:p>
        </w:tc>
      </w:tr>
      <w:tr>
        <w:trPr>
          <w:trHeight w:val="166"/>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Cash</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$23,500</w:t>
            </w:r>
          </w:p>
        </w:tc>
      </w:tr>
      <w:tr>
        <w:trPr>
          <w:trHeight w:val="166"/>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$47,500</w:t>
            </w:r>
          </w:p>
        </w:tc>
      </w:tr>
    </w:tbl>
    <w:p>
      <w:pPr>
        <w:spacing w:after="0" w:line="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COMMITTEE CASH RETAINERS</w:t>
            </w:r>
          </w:p>
        </w:tc>
        <w:tc>
          <w:tcPr>
            <w:tcW w:w="1480" w:type="dxa"/>
            <w:vAlign w:val="bottom"/>
          </w:tcPr>
          <w:p>
            <w:pPr>
              <w:spacing w:after="0"/>
              <w:rPr>
                <w:sz w:val="14"/>
                <w:szCs w:val="14"/>
                <w:color w:val="auto"/>
              </w:rPr>
            </w:pPr>
          </w:p>
        </w:tc>
      </w:tr>
      <w:tr>
        <w:trPr>
          <w:trHeight w:val="166"/>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Audit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r>
        <w:trPr>
          <w:trHeight w:val="166"/>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Executive Compensation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r>
      <w:tr>
        <w:trPr>
          <w:trHeight w:val="166"/>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Corporate Governance &amp; Nominating</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r>
    </w:tbl>
    <w:p>
      <w:pPr>
        <w:spacing w:after="0" w:line="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CHAIR CASH RETAINERS</w:t>
            </w:r>
          </w:p>
        </w:tc>
        <w:tc>
          <w:tcPr>
            <w:tcW w:w="1480" w:type="dxa"/>
            <w:vAlign w:val="bottom"/>
          </w:tcPr>
          <w:p>
            <w:pPr>
              <w:spacing w:after="0"/>
              <w:rPr>
                <w:sz w:val="14"/>
                <w:szCs w:val="14"/>
                <w:color w:val="auto"/>
              </w:rPr>
            </w:pPr>
          </w:p>
        </w:tc>
      </w:tr>
      <w:tr>
        <w:trPr>
          <w:trHeight w:val="166"/>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Audit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6"/>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Executive Compensation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r>
      <w:tr>
        <w:trPr>
          <w:trHeight w:val="166"/>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Corporate Governance &amp; Nominating</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bl>
    <w:p>
      <w:pPr>
        <w:spacing w:after="0" w:line="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LEAD DIRECTOR/NON-EMPLOYEE CHAIRMAN RETAINER</w:t>
      </w:r>
    </w:p>
    <w:p>
      <w:pPr>
        <w:spacing w:after="0" w:line="7" w:lineRule="exact"/>
        <w:rPr>
          <w:sz w:val="20"/>
          <w:szCs w:val="20"/>
          <w:color w:val="auto"/>
        </w:rPr>
      </w:pPr>
    </w:p>
    <w:tbl>
      <w:tblPr>
        <w:tblLayout w:type="fixed"/>
        <w:tblInd w:w="952"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$73,000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$47,500</w:t>
            </w:r>
          </w:p>
        </w:tc>
      </w:tr>
    </w:tbl>
    <w:p>
      <w:pPr>
        <w:spacing w:after="0" w:line="4"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left="432" w:right="4019" w:hanging="344"/>
        <w:spacing w:after="0" w:line="250" w:lineRule="auto"/>
        <w:rPr>
          <w:sz w:val="20"/>
          <w:szCs w:val="20"/>
          <w:color w:val="auto"/>
        </w:rPr>
      </w:pPr>
      <w:r>
        <w:rPr>
          <w:rFonts w:ascii="Courier New" w:cs="Courier New" w:eastAsia="Courier New" w:hAnsi="Courier New"/>
          <w:sz w:val="14"/>
          <w:szCs w:val="14"/>
          <w:color w:val="auto"/>
        </w:rPr>
        <w:t>Cash retainers may be deferred under the Director Compensation Deferral Plan.</w:t>
      </w:r>
    </w:p>
    <w:p>
      <w:pPr>
        <w:spacing w:after="0" w:line="1"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Cash retainers may be elected to be received in ALLETE stock.</w:t>
      </w:r>
    </w:p>
    <w:p>
      <w:pPr>
        <w:spacing w:after="0" w:line="7" w:lineRule="exact"/>
        <w:rPr>
          <w:sz w:val="20"/>
          <w:szCs w:val="20"/>
          <w:color w:val="auto"/>
        </w:rPr>
      </w:pPr>
    </w:p>
    <w:p>
      <w:pPr>
        <w:ind w:left="432" w:right="3779" w:hanging="344"/>
        <w:spacing w:after="0" w:line="255" w:lineRule="auto"/>
        <w:rPr>
          <w:sz w:val="20"/>
          <w:szCs w:val="20"/>
          <w:color w:val="auto"/>
        </w:rPr>
      </w:pPr>
      <w:r>
        <w:rPr>
          <w:rFonts w:ascii="Courier New" w:cs="Courier New" w:eastAsia="Courier New" w:hAnsi="Courier New"/>
          <w:sz w:val="14"/>
          <w:szCs w:val="14"/>
          <w:color w:val="auto"/>
        </w:rPr>
        <w:t>Represents total compensation for Lead Director/Non-Employee Chairman. Not eligible for other committee or chair retainers.</w:t>
      </w:r>
    </w:p>
    <w:p>
      <w:pPr>
        <w:sectPr>
          <w:pgSz w:w="11900" w:h="16838" w:orient="portrait"/>
          <w:cols w:equalWidth="0" w:num="1">
            <w:col w:w="10231"/>
          </w:cols>
          <w:pgMar w:left="228" w:top="473" w:right="1440" w:bottom="1440" w:gutter="0" w:footer="0" w:header="0"/>
        </w:sectPr>
      </w:pPr>
    </w:p>
    <w:bookmarkStart w:id="42" w:name="page43"/>
    <w:bookmarkEnd w:id="42"/>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Donald J. Shippar, President and Chief Executive Officer of ALLETE,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(ALLETE), certify that:</w:t>
      </w:r>
    </w:p>
    <w:p>
      <w:pPr>
        <w:spacing w:after="0" w:line="173" w:lineRule="exact"/>
        <w:rPr>
          <w:sz w:val="20"/>
          <w:szCs w:val="20"/>
          <w:color w:val="auto"/>
        </w:rPr>
      </w:pPr>
    </w:p>
    <w:p>
      <w:pPr>
        <w:ind w:left="360" w:right="3339" w:hanging="352"/>
        <w:spacing w:after="0" w:line="255"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June 30, 2005 of ALLETE;</w:t>
      </w:r>
    </w:p>
    <w:p>
      <w:pPr>
        <w:spacing w:after="0" w:line="159"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360" w:right="3339" w:hanging="352"/>
        <w:spacing w:after="0" w:line="250"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620" w:right="3339" w:hanging="267"/>
        <w:spacing w:after="0" w:line="251" w:lineRule="auto"/>
        <w:tabs>
          <w:tab w:leader="none" w:pos="6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620" w:right="3339" w:hanging="267"/>
        <w:spacing w:after="0" w:line="251" w:lineRule="auto"/>
        <w:tabs>
          <w:tab w:leader="none" w:pos="6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620" w:right="3339" w:hanging="267"/>
        <w:spacing w:after="0" w:line="252" w:lineRule="auto"/>
        <w:tabs>
          <w:tab w:leader="none" w:pos="6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620" w:right="3339" w:hanging="267"/>
        <w:spacing w:after="0" w:line="251" w:lineRule="auto"/>
        <w:tabs>
          <w:tab w:leader="none" w:pos="6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620" w:right="3339" w:hanging="267"/>
        <w:spacing w:after="0" w:line="252" w:lineRule="auto"/>
        <w:tabs>
          <w:tab w:leader="none" w:pos="6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620" w:right="3339" w:hanging="267"/>
        <w:spacing w:after="0" w:line="252" w:lineRule="auto"/>
        <w:tabs>
          <w:tab w:leader="none" w:pos="6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29, 2005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2380" w:space="720"/>
            <w:col w:w="6519"/>
          </w:cols>
          <w:pgMar w:left="220" w:top="307"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307" w:right="1440" w:bottom="1440" w:gutter="0" w:footer="0" w:header="0"/>
          <w:type w:val="continuous"/>
        </w:sectPr>
      </w:pPr>
    </w:p>
    <w:bookmarkStart w:id="43" w:name="page44"/>
    <w:bookmarkEnd w:id="43"/>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360"/>
        <w:spacing w:after="0"/>
        <w:tabs>
          <w:tab w:leader="none" w:pos="2840" w:val="left"/>
          <w:tab w:leader="none" w:pos="4560" w:val="left"/>
          <w:tab w:leader="none" w:pos="5160" w:val="left"/>
        </w:tabs>
        <w:rPr>
          <w:sz w:val="20"/>
          <w:szCs w:val="20"/>
          <w:color w:val="auto"/>
        </w:rPr>
      </w:pPr>
      <w:r>
        <w:rPr>
          <w:rFonts w:ascii="Courier New" w:cs="Courier New" w:eastAsia="Courier New" w:hAnsi="Courier New"/>
          <w:sz w:val="14"/>
          <w:szCs w:val="14"/>
          <w:color w:val="auto"/>
        </w:rPr>
        <w:t>I, James K. Vizanko, Senior</w:t>
        <w:tab/>
        <w:t>Vice President and</w:t>
        <w:tab/>
        <w:t>Chief</w:t>
        <w:tab/>
        <w:t>Financial Officer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360" w:right="3339" w:hanging="352"/>
        <w:spacing w:after="0" w:line="25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June 30, 2005 of ALLETE;</w:t>
      </w:r>
    </w:p>
    <w:p>
      <w:pPr>
        <w:spacing w:after="0" w:line="159"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360" w:right="3339" w:hanging="352"/>
        <w:spacing w:after="0" w:line="250"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620" w:right="3339" w:hanging="267"/>
        <w:spacing w:after="0" w:line="251"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620" w:right="3339" w:hanging="267"/>
        <w:spacing w:after="0" w:line="251"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620" w:right="3339" w:hanging="267"/>
        <w:spacing w:after="0" w:line="252"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620" w:right="3339" w:hanging="267"/>
        <w:spacing w:after="0" w:line="251"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360" w:right="3339" w:hanging="352"/>
        <w:spacing w:after="0" w:line="252"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620" w:right="3339" w:hanging="267"/>
        <w:spacing w:after="0" w:line="252"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620" w:right="3339" w:hanging="267"/>
        <w:spacing w:after="0" w:line="252" w:lineRule="auto"/>
        <w:tabs>
          <w:tab w:leader="none" w:pos="62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473"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29, 2005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340" w:space="720"/>
            <w:col w:w="7559"/>
          </w:cols>
          <w:pgMar w:left="220" w:top="473"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473" w:right="1440" w:bottom="1440" w:gutter="0" w:footer="0" w:header="0"/>
          <w:type w:val="continuous"/>
        </w:sectPr>
      </w:pPr>
    </w:p>
    <w:bookmarkStart w:id="44" w:name="page45"/>
    <w:bookmarkEnd w:id="44"/>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ectPr>
          <w:pgSz w:w="11900" w:h="16838" w:orient="portrait"/>
          <w:cols w:equalWidth="0" w:num="1">
            <w:col w:w="10239"/>
          </w:cols>
          <w:pgMar w:left="220" w:top="473"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Section 906 of the 1350, each of the undersigned certify that: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3339" w:firstLine="86"/>
        <w:spacing w:after="0" w:line="255" w:lineRule="auto"/>
        <w:rPr>
          <w:sz w:val="20"/>
          <w:szCs w:val="20"/>
          <w:color w:val="auto"/>
        </w:rPr>
      </w:pPr>
      <w:r>
        <w:rPr>
          <w:rFonts w:ascii="Courier New" w:cs="Courier New" w:eastAsia="Courier New" w:hAnsi="Courier New"/>
          <w:sz w:val="14"/>
          <w:szCs w:val="14"/>
          <w:color w:val="auto"/>
        </w:rPr>
        <w:t>Sarbanes-Oxley Act of 2002, 18 U.S.C. Section officers of ALLETE, Inc. (ALLETE), does hereby</w:t>
      </w:r>
    </w:p>
    <w:p>
      <w:pPr>
        <w:spacing w:after="0" w:line="325" w:lineRule="exact"/>
        <w:rPr>
          <w:sz w:val="20"/>
          <w:szCs w:val="20"/>
          <w:color w:val="auto"/>
        </w:rPr>
      </w:pPr>
    </w:p>
    <w:p>
      <w:pPr>
        <w:sectPr>
          <w:pgSz w:w="11900" w:h="16838" w:orient="portrait"/>
          <w:cols w:equalWidth="0" w:num="2">
            <w:col w:w="2600" w:space="80"/>
            <w:col w:w="7559"/>
          </w:cols>
          <w:pgMar w:left="220" w:top="473" w:right="1440" w:bottom="1440" w:gutter="0" w:footer="0" w:header="0"/>
          <w:type w:val="continuous"/>
        </w:sectPr>
      </w:pPr>
    </w:p>
    <w:p>
      <w:pPr>
        <w:jc w:val="both"/>
        <w:ind w:left="360" w:right="3339" w:hanging="352"/>
        <w:spacing w:after="0" w:line="252"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June 30, 2005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91"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Date: July 29, 2005</w:t>
      </w:r>
      <w:r>
        <w:rPr>
          <w:sz w:val="20"/>
          <w:szCs w:val="20"/>
          <w:color w:val="auto"/>
        </w:rPr>
        <w:tab/>
      </w: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Date: July 29, 2005</w:t>
      </w:r>
      <w:r>
        <w:rPr>
          <w:sz w:val="20"/>
          <w:szCs w:val="20"/>
          <w:color w:val="auto"/>
        </w:rPr>
        <w:tab/>
      </w: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3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Second Quarter 2005 Form 10-Q</w:t>
      </w:r>
    </w:p>
    <w:p>
      <w:pPr>
        <w:sectPr>
          <w:pgSz w:w="11900" w:h="16838" w:orient="portrait"/>
          <w:cols w:equalWidth="0" w:num="1">
            <w:col w:w="10239"/>
          </w:cols>
          <w:pgMar w:left="220" w:top="473" w:right="1440" w:bottom="1440" w:gutter="0" w:footer="0" w:header="0"/>
          <w:type w:val="continuous"/>
        </w:sectPr>
      </w:pPr>
    </w:p>
    <w:bookmarkStart w:id="45" w:name="page46"/>
    <w:bookmarkEnd w:id="45"/>
    <w:p>
      <w:pPr>
        <w:ind w:left="6040"/>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7" w:right="1440" w:bottom="1440" w:gutter="0" w:footer="0" w:header="0"/>
        </w:sect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29,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Margaret Hodnik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mhodnik@allete.com</w:t>
      </w:r>
    </w:p>
    <w:p>
      <w:pPr>
        <w:spacing w:after="0" w:line="173" w:lineRule="exact"/>
        <w:rPr>
          <w:sz w:val="20"/>
          <w:szCs w:val="20"/>
          <w:color w:val="auto"/>
        </w:rPr>
      </w:pPr>
    </w:p>
    <w:p>
      <w:pPr>
        <w:sectPr>
          <w:pgSz w:w="11900" w:h="16838" w:orient="portrait"/>
          <w:cols w:equalWidth="0" w:num="2">
            <w:col w:w="4740" w:space="600"/>
            <w:col w:w="4899"/>
          </w:cols>
          <w:pgMar w:left="220" w:top="307"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7" w:lineRule="exact"/>
        <w:rPr>
          <w:sz w:val="20"/>
          <w:szCs w:val="20"/>
          <w:color w:val="auto"/>
        </w:rPr>
      </w:pPr>
    </w:p>
    <w:p>
      <w:pPr>
        <w:sectPr>
          <w:pgSz w:w="11900" w:h="16838" w:orient="portrait"/>
          <w:cols w:equalWidth="0" w:num="2">
            <w:col w:w="4620" w:space="720"/>
            <w:col w:w="48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ALLETE REPORTS SECOND QUARTER RESULTS;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REAFFIRMS GUIDANCE FOR 2005 EARNINGS GROWTH</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KENDALL COUNTY CHARGE IMPACTS QUARTERLY EARNINGS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For the second quarter 2005, ALLETE, Inc. (NYSE: ALE) today reported a loss of $1.45 per share from continuing operations that included a previously-announced charge of $1.84 per share related to the assignment of the Kendall County, Ill. power purchase agreement.</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Excluding the Kendall County charge, ALLETE's earnings from continuing operations were 39 cents per share compared with eight cents per share in the second quarter of 2004. The company's earnings in the second quarter of 2004 were adversely affected by an impairment charge.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"We're pleased that our core energy and real estate businesses continue to perform at a high level," said Donald J. Shippar, CEO of ALLETE. The company reaffirmed its guidance of 45 to 50 percent earnings growth in 2005 from continuing operations, excluding the Kendall transaction and any earnings from investments it may make in growth initiatives.</w:t>
      </w:r>
    </w:p>
    <w:p>
      <w:pPr>
        <w:spacing w:after="0" w:line="165"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"Two significant events occurred during the quarter," Shippar said. "First, the Kendall County transaction was a key strategic accomplishment for our company. Second, site preparation began at our Town Center at Palm Coast project, which we expect will contribute substantial earnings over the next few years."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Quarterly net income from continuing operations at the company's REGULATED UTILITY segment climbed five percent to $7.8 million compared to the second quarter of 2004, due to continued strong electricity sales to retail customers and other power suppliers.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REAL ESTATE income from continuing operations was $2.8 million in the second quarter of 2005, compared with $2.1 million in the same period a year ago. During the quarter, ALLETE Properties recorded its first sales from Town Center at Palm Coast, a major development project now taking shape in the fast-growing northeast Florida community.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Results from NONREGULATED ENERGY OPERATIONS reflected the Kendall County charge, which was announced by ALLETE in April of this year. The elimination of operating losses incurred at the Kendall County facility was partially offset by increased expenses at the Taconite Harbor generating facility and less income at other Nonregulated Energy Operations businesses.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ALLETE's OTHER business segment, the second quarter produced income from continuing operations of $300,000 compared to a loss of $7.2 million a year ago. This quarter the company benefited from lower interest expense due to reduced debt balances and debt refinancing. In the second quarter of 2004, the company recorded a $3.2 million after-tax impairment in its emerging technology investment portfolio.</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307" w:right="1440" w:bottom="1440" w:gutter="0" w:footer="0" w:header="0"/>
          <w:type w:val="continuous"/>
        </w:sectPr>
      </w:pPr>
    </w:p>
    <w:bookmarkStart w:id="46" w:name="page47"/>
    <w:bookmarkEnd w:id="46"/>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599"/>
        <w:spacing w:after="0" w:line="250" w:lineRule="auto"/>
        <w:rPr>
          <w:sz w:val="20"/>
          <w:szCs w:val="20"/>
          <w:color w:val="auto"/>
        </w:rPr>
      </w:pPr>
      <w:r>
        <w:rPr>
          <w:rFonts w:ascii="Courier New" w:cs="Courier New" w:eastAsia="Courier New" w:hAnsi="Courier New"/>
          <w:sz w:val="14"/>
          <w:szCs w:val="14"/>
          <w:color w:val="auto"/>
        </w:rPr>
        <w:t>ALLETE, headquartered in Duluth, Minn., provides energy services in the upper Midwest and has significant real estate holdings in Florida. More information about the company is available at www.allete.com.</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ALLETE - 30 WEST SUPERIOR STREET, DULUTH, MINNESOTA 55802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WWW.ALLETE.COM</w:t>
      </w:r>
    </w:p>
    <w:p>
      <w:pPr>
        <w:sectPr>
          <w:pgSz w:w="11900" w:h="16838" w:orient="portrait"/>
          <w:cols w:equalWidth="0" w:num="1">
            <w:col w:w="10239"/>
          </w:cols>
          <w:pgMar w:left="220" w:top="616" w:right="1440" w:bottom="1440" w:gutter="0" w:footer="0" w:header="0"/>
        </w:sectPr>
      </w:pPr>
    </w:p>
    <w:bookmarkStart w:id="47" w:name="page48"/>
    <w:bookmarkEnd w:id="47"/>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54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PAGE 3</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81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97"/>
        </w:trPr>
        <w:tc>
          <w:tcPr>
            <w:tcW w:w="2640" w:type="dxa"/>
            <w:vAlign w:val="bottom"/>
          </w:tcPr>
          <w:p>
            <w:pPr>
              <w:spacing w:after="0"/>
              <w:rPr>
                <w:sz w:val="24"/>
                <w:szCs w:val="24"/>
                <w:color w:val="auto"/>
              </w:rPr>
            </w:pPr>
          </w:p>
        </w:tc>
        <w:tc>
          <w:tcPr>
            <w:tcW w:w="546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ALLETE, INC.</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54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CONSOLIDATED STATEMENT OF INCOME</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5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FOR THE PERIODS ENDED JUNE 30, 2005 AND 2004</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54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Millions Except Per Share Amounts</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5460" w:type="dxa"/>
            <w:vAlign w:val="bottom"/>
          </w:tcPr>
          <w:p>
            <w:pPr>
              <w:jc w:val="right"/>
              <w:spacing w:after="0"/>
              <w:rPr>
                <w:sz w:val="20"/>
                <w:szCs w:val="20"/>
                <w:color w:val="auto"/>
              </w:rPr>
            </w:pPr>
            <w:r>
              <w:rPr>
                <w:rFonts w:ascii="Courier New" w:cs="Courier New" w:eastAsia="Courier New" w:hAnsi="Courier New"/>
                <w:sz w:val="14"/>
                <w:szCs w:val="14"/>
                <w:color w:val="auto"/>
              </w:rPr>
              <w:t>QUARTER ENDED</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TO DATE</w:t>
            </w:r>
          </w:p>
        </w:tc>
      </w:tr>
      <w:tr>
        <w:trPr>
          <w:trHeight w:val="166"/>
        </w:trPr>
        <w:tc>
          <w:tcPr>
            <w:tcW w:w="2640" w:type="dxa"/>
            <w:vAlign w:val="bottom"/>
          </w:tcPr>
          <w:p>
            <w:pPr>
              <w:spacing w:after="0"/>
              <w:rPr>
                <w:sz w:val="14"/>
                <w:szCs w:val="14"/>
                <w:color w:val="auto"/>
              </w:rPr>
            </w:pPr>
          </w:p>
        </w:tc>
        <w:tc>
          <w:tcPr>
            <w:tcW w:w="54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5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$186.8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$ 395.2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146.1</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81.6</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160.8</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77.9</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12.7</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8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242.5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(60.9)</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(LOSS) FROM</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 BEFORE INCOME TAXES</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FROM</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 CHANGE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 ACCOUNTING</w:t>
            </w:r>
          </w:p>
        </w:tc>
        <w:tc>
          <w:tcPr>
            <w:tcW w:w="2900" w:type="dxa"/>
            <w:vAlign w:val="bottom"/>
          </w:tcPr>
          <w:p>
            <w:pPr>
              <w:ind w:left="60"/>
              <w:spacing w:after="0"/>
              <w:rPr>
                <w:sz w:val="20"/>
                <w:szCs w:val="20"/>
                <w:color w:val="auto"/>
              </w:rPr>
            </w:pPr>
            <w:r>
              <w:rPr>
                <w:rFonts w:ascii="Courier New" w:cs="Courier New" w:eastAsia="Courier New" w:hAnsi="Courier New"/>
                <w:sz w:val="14"/>
                <w:szCs w:val="14"/>
                <w:color w:val="auto"/>
              </w:rPr>
              <w:t>PRINCIPLE</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(39.6)</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w:t>
            </w:r>
          </w:p>
        </w:tc>
        <w:tc>
          <w:tcPr>
            <w:tcW w:w="940" w:type="dxa"/>
            <w:vAlign w:val="bottom"/>
          </w:tcPr>
          <w:p>
            <w:pPr>
              <w:ind w:left="500"/>
              <w:spacing w:after="0"/>
              <w:rPr>
                <w:sz w:val="20"/>
                <w:szCs w:val="20"/>
                <w:color w:val="auto"/>
              </w:rPr>
            </w:pPr>
            <w:r>
              <w:rPr>
                <w:rFonts w:ascii="Courier New" w:cs="Courier New" w:eastAsia="Courier New" w:hAnsi="Courier New"/>
                <w:sz w:val="14"/>
                <w:szCs w:val="14"/>
                <w:color w:val="auto"/>
              </w:rPr>
              <w:t>23.8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45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FROM DISCONTINUED OPERATIONS - NET OF TAX</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34.3</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940" w:type="dxa"/>
            <w:vAlign w:val="bottom"/>
          </w:tcPr>
          <w:p>
            <w:pPr>
              <w:ind w:left="500"/>
              <w:spacing w:after="0"/>
              <w:rPr>
                <w:sz w:val="20"/>
                <w:szCs w:val="20"/>
                <w:color w:val="auto"/>
              </w:rPr>
            </w:pPr>
            <w:r>
              <w:rPr>
                <w:rFonts w:ascii="Courier New" w:cs="Courier New" w:eastAsia="Courier New" w:hAnsi="Courier New"/>
                <w:sz w:val="14"/>
                <w:szCs w:val="14"/>
                <w:color w:val="auto"/>
              </w:rPr>
              <w:t>65.6</w:t>
            </w:r>
          </w:p>
        </w:tc>
      </w:tr>
      <w:tr>
        <w:trPr>
          <w:trHeight w:val="166"/>
        </w:trPr>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2900" w:type="dxa"/>
            <w:vAlign w:val="bottom"/>
          </w:tcPr>
          <w:p>
            <w:pPr>
              <w:ind w:left="60"/>
              <w:spacing w:after="0"/>
              <w:rPr>
                <w:sz w:val="20"/>
                <w:szCs w:val="20"/>
                <w:color w:val="auto"/>
              </w:rPr>
            </w:pPr>
            <w:r>
              <w:rPr>
                <w:rFonts w:ascii="Courier New" w:cs="Courier New" w:eastAsia="Courier New" w:hAnsi="Courier New"/>
                <w:sz w:val="14"/>
                <w:szCs w:val="14"/>
                <w:color w:val="auto"/>
              </w:rPr>
              <w:t>NET OF TAX</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50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$(40.3)</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2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(LOSS) PER</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$(0.79)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$0.85</w:t>
            </w:r>
          </w:p>
        </w:tc>
      </w:tr>
      <w:tr>
        <w:trPr>
          <w:trHeight w:val="166"/>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(0.05)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Accounting</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560"/>
        <w:spacing w:after="0"/>
        <w:tabs>
          <w:tab w:leader="none" w:pos="8080" w:val="left"/>
          <w:tab w:leader="none" w:pos="9300" w:val="left"/>
          <w:tab w:leader="none" w:pos="10840" w:val="left"/>
        </w:tabs>
        <w:rPr>
          <w:sz w:val="20"/>
          <w:szCs w:val="20"/>
          <w:color w:val="auto"/>
        </w:rPr>
      </w:pP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$(0.84)</w:t>
      </w:r>
      <w:r>
        <w:rPr>
          <w:sz w:val="20"/>
          <w:szCs w:val="20"/>
          <w:color w:val="auto"/>
        </w:rPr>
        <w:tab/>
      </w:r>
      <w:r>
        <w:rPr>
          <w:rFonts w:ascii="Courier New" w:cs="Courier New" w:eastAsia="Courier New" w:hAnsi="Courier New"/>
          <w:sz w:val="14"/>
          <w:szCs w:val="14"/>
          <w:color w:val="auto"/>
        </w:rPr>
        <w:t>$2.89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$(0.79)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(0.05)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2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560"/>
        <w:spacing w:after="0"/>
        <w:tabs>
          <w:tab w:leader="none" w:pos="8080" w:val="left"/>
          <w:tab w:leader="none" w:pos="9300" w:val="left"/>
          <w:tab w:leader="none" w:pos="10840" w:val="left"/>
        </w:tabs>
        <w:rPr>
          <w:sz w:val="20"/>
          <w:szCs w:val="20"/>
          <w:color w:val="auto"/>
        </w:rPr>
      </w:pP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$(0.84)</w:t>
      </w:r>
      <w:r>
        <w:rPr>
          <w:sz w:val="20"/>
          <w:szCs w:val="20"/>
          <w:color w:val="auto"/>
        </w:rPr>
        <w:tab/>
      </w:r>
      <w:r>
        <w:rPr>
          <w:rFonts w:ascii="Courier New" w:cs="Courier New" w:eastAsia="Courier New" w:hAnsi="Courier New"/>
          <w:sz w:val="14"/>
          <w:szCs w:val="14"/>
          <w:color w:val="auto"/>
        </w:rPr>
        <w:t>$2.88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440" w:val="left"/>
          <w:tab w:leader="none" w:pos="7920" w:val="left"/>
          <w:tab w:leader="none" w:pos="9200" w:val="left"/>
          <w:tab w:leader="none" w:pos="1066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$0.8475</w:t>
      </w:r>
      <w:r>
        <w:rPr>
          <w:sz w:val="20"/>
          <w:szCs w:val="20"/>
          <w:color w:val="auto"/>
        </w:rPr>
        <w:tab/>
      </w:r>
      <w:r>
        <w:rPr>
          <w:rFonts w:ascii="Courier New" w:cs="Courier New" w:eastAsia="Courier New" w:hAnsi="Courier New"/>
          <w:sz w:val="14"/>
          <w:szCs w:val="14"/>
          <w:color w:val="auto"/>
        </w:rPr>
        <w:t>$0.6150</w:t>
      </w:r>
      <w:r>
        <w:rPr>
          <w:sz w:val="20"/>
          <w:szCs w:val="20"/>
          <w:color w:val="auto"/>
        </w:rPr>
        <w:tab/>
      </w:r>
      <w:r>
        <w:rPr>
          <w:rFonts w:ascii="Courier New" w:cs="Courier New" w:eastAsia="Courier New" w:hAnsi="Courier New"/>
          <w:sz w:val="14"/>
          <w:szCs w:val="14"/>
          <w:color w:val="auto"/>
        </w:rPr>
        <w:t>$1.6950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p>
      <w:pPr>
        <w:jc w:val="center"/>
        <w:ind w:right="1200"/>
        <w:spacing w:after="0"/>
        <w:tabs>
          <w:tab w:leader="none" w:pos="500" w:val="left"/>
        </w:tabs>
        <w:rPr>
          <w:sz w:val="20"/>
          <w:szCs w:val="20"/>
          <w:color w:val="auto"/>
        </w:rPr>
      </w:pPr>
      <w:r>
        <w:rPr>
          <w:rFonts w:ascii="Courier New" w:cs="Courier New" w:eastAsia="Courier New" w:hAnsi="Courier New"/>
          <w:sz w:val="14"/>
          <w:szCs w:val="14"/>
          <w:color w:val="auto"/>
        </w:rPr>
        <w:t>JUN.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jc w:val="center"/>
        <w:ind w:left="3300"/>
        <w:spacing w:after="0"/>
        <w:tabs>
          <w:tab w:leader="none" w:pos="8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Restricted Cash</w:t>
            </w:r>
          </w:p>
        </w:tc>
        <w:tc>
          <w:tcPr>
            <w:tcW w:w="12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Short-Term Investments</w:t>
            </w:r>
          </w:p>
        </w:tc>
        <w:tc>
          <w:tcPr>
            <w:tcW w:w="12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w:t>
            </w: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149.2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Other Current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152.9</w:t>
            </w: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141.7</w:t>
            </w:r>
          </w:p>
        </w:tc>
      </w:tr>
    </w:tbl>
    <w:p>
      <w:pPr>
        <w:sectPr>
          <w:pgSz w:w="11900" w:h="16880" w:orient="portrait"/>
          <w:cols w:equalWidth="0" w:num="1">
            <w:col w:w="11540"/>
          </w:cols>
          <w:pgMar w:left="220" w:top="782" w:right="1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$ 1,353.4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$ 1,431.4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97.8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7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7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300.9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7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7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630.5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4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$ 1,353.4</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254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PAGE 4</w:t>
            </w: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84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28"/>
        </w:trPr>
        <w:tc>
          <w:tcPr>
            <w:tcW w:w="3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QUARTER ENDED</w:t>
            </w:r>
          </w:p>
        </w:tc>
        <w:tc>
          <w:tcPr>
            <w:tcW w:w="1080" w:type="dxa"/>
            <w:vAlign w:val="bottom"/>
          </w:tcPr>
          <w:p>
            <w:pPr>
              <w:spacing w:after="0"/>
              <w:rPr>
                <w:sz w:val="24"/>
                <w:szCs w:val="24"/>
                <w:color w:val="auto"/>
              </w:rPr>
            </w:pPr>
          </w:p>
        </w:tc>
        <w:tc>
          <w:tcPr>
            <w:tcW w:w="15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YEAR TO DATE</w:t>
            </w:r>
          </w:p>
        </w:tc>
      </w:tr>
      <w:tr>
        <w:trPr>
          <w:trHeight w:val="166"/>
        </w:trPr>
        <w:tc>
          <w:tcPr>
            <w:tcW w:w="38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15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ALLETE, INC.</w:t>
            </w:r>
          </w:p>
        </w:tc>
        <w:tc>
          <w:tcPr>
            <w:tcW w:w="25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$ 20.7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900" w:type="dxa"/>
            <w:vAlign w:val="bottom"/>
          </w:tcPr>
          <w:p>
            <w:pPr>
              <w:spacing w:after="0"/>
              <w:rPr>
                <w:sz w:val="14"/>
                <w:szCs w:val="14"/>
                <w:color w:val="auto"/>
              </w:rPr>
            </w:pP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(48.9)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6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w:t>
            </w:r>
          </w:p>
        </w:tc>
        <w:tc>
          <w:tcPr>
            <w:tcW w:w="6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(7.2)</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(39.6)</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(21.6)</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23.8</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from Discontinued Operations</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34.3</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65.6</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$(40.3)</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$36.7</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2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25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$0.08</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r>
      <w:tr>
        <w:trPr>
          <w:trHeight w:val="166"/>
        </w:trPr>
        <w:tc>
          <w:tcPr>
            <w:tcW w:w="4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25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(0.03)</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Change in Accounting</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860"/>
        <w:spacing w:after="0"/>
        <w:tabs>
          <w:tab w:leader="none" w:pos="7300" w:val="left"/>
          <w:tab w:leader="none" w:pos="9040" w:val="left"/>
          <w:tab w:leader="none" w:pos="10660" w:val="left"/>
        </w:tabs>
        <w:rPr>
          <w:sz w:val="20"/>
          <w:szCs w:val="20"/>
          <w:color w:val="auto"/>
        </w:rPr>
      </w:pP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$(0.84)</w:t>
      </w:r>
      <w:r>
        <w:rPr>
          <w:sz w:val="20"/>
          <w:szCs w:val="20"/>
          <w:color w:val="auto"/>
        </w:rPr>
        <w:tab/>
      </w:r>
      <w:r>
        <w:rPr>
          <w:rFonts w:ascii="Courier New" w:cs="Courier New" w:eastAsia="Courier New" w:hAnsi="Courier New"/>
          <w:sz w:val="14"/>
          <w:szCs w:val="14"/>
          <w:color w:val="auto"/>
        </w:rPr>
        <w:t>$2.88</w:t>
      </w:r>
    </w:p>
    <w:p>
      <w:pPr>
        <w:spacing w:after="0" w:line="7"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2005, ALLETE recorded a $50.4 million, or $1.84 per diluted share, charge related to the assignment of the Kendall County power purchase agreement.</w:t>
      </w:r>
    </w:p>
    <w:p>
      <w:pPr>
        <w:spacing w:after="0" w:line="326" w:lineRule="exact"/>
        <w:rPr>
          <w:sz w:val="20"/>
          <w:szCs w:val="20"/>
          <w:color w:val="auto"/>
        </w:rPr>
      </w:pPr>
    </w:p>
    <w:p>
      <w:pPr>
        <w:jc w:val="both"/>
        <w:ind w:left="620" w:right="180"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Note:</w:t>
        <w:tab/>
        <w:t>In 2005, we began allocating corporate charges and interest expense to our business segments. For comparative purposes, segment information for 2004 has been restated to reflect the new allocation method used in 2005 for corporate charges and interest expense. This restatement had no impact on consolidated net income or earnings per share.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QUARTER ENDED</w:t>
            </w:r>
          </w:p>
        </w:tc>
        <w:tc>
          <w:tcPr>
            <w:tcW w:w="1080" w:type="dxa"/>
            <w:vAlign w:val="bottom"/>
          </w:tcPr>
          <w:p>
            <w:pPr>
              <w:spacing w:after="0"/>
              <w:rPr>
                <w:sz w:val="14"/>
                <w:szCs w:val="14"/>
                <w:color w:val="auto"/>
              </w:rPr>
            </w:pPr>
          </w:p>
        </w:tc>
        <w:tc>
          <w:tcPr>
            <w:tcW w:w="152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YEAR TO DATE</w:t>
            </w:r>
          </w:p>
        </w:tc>
      </w:tr>
      <w:tr>
        <w:trPr>
          <w:trHeight w:val="166"/>
        </w:trPr>
        <w:tc>
          <w:tcPr>
            <w:tcW w:w="3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15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ALLETE, INC.</w:t>
            </w:r>
          </w:p>
        </w:tc>
        <w:tc>
          <w:tcPr>
            <w:tcW w:w="28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2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KILOWATTHOURS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Retail and Municipals</w:t>
            </w:r>
          </w:p>
        </w:tc>
        <w:tc>
          <w:tcPr>
            <w:tcW w:w="2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Residential</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228.8</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539.1</w:t>
            </w: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Commercial</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300.5</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294.3</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626.2</w:t>
            </w: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Industrial</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1,746.9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1,770.0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3,524.0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3,536.8</w:t>
            </w: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Municipals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189.0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402.8</w:t>
            </w: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17.8</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2,494.7</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2,499.9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5,173.8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5,142.9</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6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366.9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168.4</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2,861.6</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2,668.3</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5,777.4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5,528.5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399.9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414.6</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tabs>
          <w:tab w:leader="none" w:pos="7140" w:val="left"/>
          <w:tab w:leader="none" w:pos="8940" w:val="left"/>
          <w:tab w:leader="none" w:pos="10500" w:val="left"/>
        </w:tabs>
        <w:rPr>
          <w:sz w:val="20"/>
          <w:szCs w:val="20"/>
          <w:color w:val="auto"/>
        </w:rPr>
      </w:pPr>
      <w:r>
        <w:rPr>
          <w:rFonts w:ascii="Courier New" w:cs="Courier New" w:eastAsia="Courier New" w:hAnsi="Courier New"/>
          <w:sz w:val="14"/>
          <w:szCs w:val="14"/>
          <w:color w:val="auto"/>
        </w:rPr>
        <w:t>3,261.5</w:t>
      </w:r>
      <w:r>
        <w:rPr>
          <w:sz w:val="20"/>
          <w:szCs w:val="20"/>
          <w:color w:val="auto"/>
        </w:rPr>
        <w:tab/>
      </w:r>
      <w:r>
        <w:rPr>
          <w:rFonts w:ascii="Courier New" w:cs="Courier New" w:eastAsia="Courier New" w:hAnsi="Courier New"/>
          <w:sz w:val="14"/>
          <w:szCs w:val="14"/>
          <w:color w:val="auto"/>
        </w:rPr>
        <w:t>3,082.9</w:t>
      </w:r>
      <w:r>
        <w:rPr>
          <w:sz w:val="20"/>
          <w:szCs w:val="20"/>
          <w:color w:val="auto"/>
        </w:rPr>
        <w:tab/>
      </w:r>
      <w:r>
        <w:rPr>
          <w:rFonts w:ascii="Courier New" w:cs="Courier New" w:eastAsia="Courier New" w:hAnsi="Courier New"/>
          <w:sz w:val="14"/>
          <w:szCs w:val="14"/>
          <w:color w:val="auto"/>
        </w:rPr>
        <w:t>6,531.2</w:t>
      </w:r>
      <w:r>
        <w:rPr>
          <w:sz w:val="20"/>
          <w:szCs w:val="20"/>
          <w:color w:val="auto"/>
        </w:rPr>
        <w:tab/>
      </w:r>
      <w:r>
        <w:rPr>
          <w:rFonts w:ascii="Courier New" w:cs="Courier New" w:eastAsia="Courier New" w:hAnsi="Courier New"/>
          <w:sz w:val="14"/>
          <w:szCs w:val="14"/>
          <w:color w:val="auto"/>
        </w:rPr>
        <w:t>6,377.1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3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Acres Sold</w:t>
            </w:r>
          </w:p>
        </w:tc>
        <w:tc>
          <w:tcPr>
            <w:tcW w:w="3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159</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1,427</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Lots Sold</w:t>
            </w:r>
          </w:p>
        </w:tc>
        <w:tc>
          <w:tcPr>
            <w:tcW w:w="3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bl>
    <w:p>
      <w:pPr>
        <w:spacing w:after="0" w:line="200" w:lineRule="exact"/>
        <w:rPr>
          <w:sz w:val="20"/>
          <w:szCs w:val="20"/>
          <w:color w:val="auto"/>
        </w:rPr>
      </w:pPr>
    </w:p>
    <w:p>
      <w:pPr>
        <w:spacing w:after="0" w:line="301" w:lineRule="exact"/>
        <w:rPr>
          <w:sz w:val="20"/>
          <w:szCs w:val="20"/>
          <w:color w:val="auto"/>
        </w:rPr>
      </w:pPr>
    </w:p>
    <w:p>
      <w:pPr>
        <w:jc w:val="both"/>
        <w:ind w:right="4480"/>
        <w:spacing w:after="0" w:line="252" w:lineRule="auto"/>
        <w:rPr>
          <w:sz w:val="20"/>
          <w:szCs w:val="20"/>
          <w:color w:val="auto"/>
        </w:rPr>
      </w:pPr>
      <w:r>
        <w:rPr>
          <w:rFonts w:ascii="Courier New" w:cs="Courier New" w:eastAsia="Courier New" w:hAnsi="Courier New"/>
          <w:sz w:val="14"/>
          <w:szCs w:val="14"/>
          <w:color w:val="auto"/>
        </w:rPr>
        <w:t>[THIS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380"/>
          </w:cols>
          <w:pgMar w:left="220" w:top="450" w:right="299" w:bottom="1077"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decimal"/>
      <w:start w:val="32"/>
    </w:lvl>
  </w:abstractNum>
  <w:abstractNum w:abstractNumId="33">
    <w:nsid w:val="5C482A97"/>
    <w:multiLevelType w:val="hybridMultilevel"/>
    <w:lvl w:ilvl="0">
      <w:lvlJc w:val="left"/>
      <w:lvlText w:val="%1"/>
      <w:numFmt w:val="decimal"/>
      <w:start w:val="99"/>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32"/>
    </w:lvl>
  </w:abstractNum>
  <w:abstractNum w:abstractNumId="36">
    <w:nsid w:val="51EAD36B"/>
    <w:multiLevelType w:val="hybridMultilevel"/>
    <w:lvl w:ilvl="0">
      <w:lvlJc w:val="left"/>
      <w:lvlText w:val="%1"/>
      <w:numFmt w:val="decimal"/>
      <w:start w:val="99"/>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2019-12-13T04:28:55Z</dcterms:created>
  <dcterms:modified xsi:type="dcterms:W3CDTF">2019-12-13T04:28:55Z</dcterms:modified>
</cp:coreProperties>
</file>