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360" w:right="3419" w:hanging="343"/>
        <w:spacing w:after="0" w:line="255" w:lineRule="auto"/>
        <w:rPr>
          <w:sz w:val="20"/>
          <w:szCs w:val="20"/>
          <w:color w:val="auto"/>
        </w:rPr>
      </w:pPr>
      <w:r>
        <w:rPr>
          <w:rFonts w:ascii="Courier New" w:cs="Courier New" w:eastAsia="Courier New" w:hAnsi="Courier New"/>
          <w:sz w:val="14"/>
          <w:szCs w:val="14"/>
          <w:color w:val="auto"/>
        </w:rPr>
        <w:t>/X/ Quarterly Report Pursuant to Section 13 or 15(d) of the Securities Exchange Act of 1934</w:t>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For the quarterly period ended MARCH 31, 2007</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360" w:right="3339" w:hanging="352"/>
        <w:spacing w:after="0" w:line="255" w:lineRule="auto"/>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For the transition period from ______________ to ______________</w:t>
      </w:r>
    </w:p>
    <w:p>
      <w:pPr>
        <w:spacing w:after="0" w:line="338"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Commission File Number 1-3548</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MINNESOTA</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41-0418150</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3600" w:space="720"/>
            <w:col w:w="5919"/>
          </w:cols>
          <w:pgMar w:left="220" w:top="561" w:right="1440"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30 WEST SUPERIOR STREET</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DULUTH, MINNESOTA 55802-2093</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(218) 279-5000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38" w:lineRule="exact"/>
        <w:rPr>
          <w:sz w:val="24"/>
          <w:szCs w:val="24"/>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165" w:lineRule="exact"/>
        <w:rPr>
          <w:sz w:val="24"/>
          <w:szCs w:val="24"/>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27" w:lineRule="exact"/>
        <w:rPr>
          <w:sz w:val="24"/>
          <w:szCs w:val="24"/>
          <w:color w:val="auto"/>
        </w:rPr>
      </w:pPr>
    </w:p>
    <w:p>
      <w:pPr>
        <w:spacing w:after="0"/>
        <w:tabs>
          <w:tab w:leader="none" w:pos="2580" w:val="left"/>
          <w:tab w:leader="none" w:pos="4560" w:val="left"/>
        </w:tabs>
        <w:rPr>
          <w:sz w:val="20"/>
          <w:szCs w:val="20"/>
          <w:color w:val="auto"/>
        </w:rPr>
      </w:pPr>
      <w:r>
        <w:rPr>
          <w:rFonts w:ascii="Courier New" w:cs="Courier New" w:eastAsia="Courier New" w:hAnsi="Courier New"/>
          <w:sz w:val="14"/>
          <w:szCs w:val="14"/>
          <w:color w:val="auto"/>
        </w:rPr>
        <w:t>Large Accelerated Filer /X/</w:t>
      </w:r>
      <w:r>
        <w:rPr>
          <w:sz w:val="20"/>
          <w:szCs w:val="20"/>
          <w:color w:val="auto"/>
        </w:rPr>
        <w:tab/>
      </w:r>
      <w:r>
        <w:rPr>
          <w:rFonts w:ascii="Courier New" w:cs="Courier New" w:eastAsia="Courier New" w:hAnsi="Courier New"/>
          <w:sz w:val="14"/>
          <w:szCs w:val="14"/>
          <w:color w:val="auto"/>
        </w:rPr>
        <w:t>Accelerated Filer/ /</w:t>
      </w:r>
      <w:r>
        <w:rPr>
          <w:sz w:val="20"/>
          <w:szCs w:val="20"/>
          <w:color w:val="auto"/>
        </w:rPr>
        <w:tab/>
      </w:r>
      <w:r>
        <w:rPr>
          <w:rFonts w:ascii="Courier New" w:cs="Courier New" w:eastAsia="Courier New" w:hAnsi="Courier New"/>
          <w:sz w:val="14"/>
          <w:szCs w:val="14"/>
          <w:color w:val="auto"/>
        </w:rPr>
        <w:t>Non-Accelerated Filer / /</w:t>
      </w:r>
    </w:p>
    <w:p>
      <w:pPr>
        <w:spacing w:after="0" w:line="173"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Indicate by check mark whether the registrant is a shell company (as defined in Rule 12b-2 of the Exchange Act). / / Yes /X/ No</w:t>
      </w:r>
    </w:p>
    <w:p>
      <w:pPr>
        <w:spacing w:after="0" w:line="16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Common Stock, no par value,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30,526,839 shares outstanding</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as of April 30, 2007</w:t>
      </w:r>
    </w:p>
    <w:p>
      <w:pPr>
        <w:sectPr>
          <w:pgSz w:w="11900" w:h="16838" w:orient="portrait"/>
          <w:cols w:equalWidth="0" w:num="1">
            <w:col w:w="10239"/>
          </w:cols>
          <w:pgMar w:left="220" w:top="56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1680"/>
              <w:spacing w:after="0"/>
              <w:rPr>
                <w:sz w:val="20"/>
                <w:szCs w:val="20"/>
                <w:color w:val="auto"/>
              </w:rPr>
            </w:pPr>
            <w:r>
              <w:rPr>
                <w:rFonts w:ascii="Courier New" w:cs="Courier New" w:eastAsia="Courier New" w:hAnsi="Courier New"/>
                <w:sz w:val="14"/>
                <w:szCs w:val="14"/>
                <w:color w:val="auto"/>
              </w:rPr>
              <w:t>INDEX</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Definitions</w:t>
            </w:r>
          </w:p>
        </w:tc>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331"/>
        </w:trPr>
        <w:tc>
          <w:tcPr>
            <w:tcW w:w="6300" w:type="dxa"/>
            <w:vAlign w:val="bottom"/>
            <w:gridSpan w:val="3"/>
          </w:tcPr>
          <w:p>
            <w:pPr>
              <w:spacing w:after="0"/>
              <w:rPr>
                <w:sz w:val="20"/>
                <w:szCs w:val="20"/>
                <w:color w:val="auto"/>
              </w:rPr>
            </w:pPr>
            <w:r>
              <w:rPr>
                <w:rFonts w:ascii="Courier New" w:cs="Courier New" w:eastAsia="Courier New" w:hAnsi="Courier New"/>
                <w:sz w:val="14"/>
                <w:szCs w:val="14"/>
                <w:color w:val="auto"/>
              </w:rPr>
              <w:t>Safe Harbor Statement Under the Private Securities Litigation</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Reform Act of</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1"/>
        </w:trPr>
        <w:tc>
          <w:tcPr>
            <w:tcW w:w="6300" w:type="dxa"/>
            <w:vAlign w:val="bottom"/>
            <w:gridSpan w:val="3"/>
          </w:tcPr>
          <w:p>
            <w:pPr>
              <w:spacing w:after="0"/>
              <w:rPr>
                <w:sz w:val="20"/>
                <w:szCs w:val="20"/>
                <w:color w:val="auto"/>
              </w:rPr>
            </w:pPr>
            <w:r>
              <w:rPr>
                <w:rFonts w:ascii="Courier New" w:cs="Courier New" w:eastAsia="Courier New" w:hAnsi="Courier New"/>
                <w:sz w:val="14"/>
                <w:szCs w:val="14"/>
                <w:color w:val="auto"/>
              </w:rPr>
              <w:t>Part I.  Financial Information</w:t>
            </w:r>
          </w:p>
        </w:tc>
        <w:tc>
          <w:tcPr>
            <w:tcW w:w="600" w:type="dxa"/>
            <w:vAlign w:val="bottom"/>
          </w:tcPr>
          <w:p>
            <w:pPr>
              <w:spacing w:after="0"/>
              <w:rPr>
                <w:sz w:val="24"/>
                <w:szCs w:val="24"/>
                <w:color w:val="auto"/>
              </w:rPr>
            </w:pP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600" w:type="dxa"/>
            <w:vAlign w:val="bottom"/>
          </w:tcPr>
          <w:p>
            <w:pPr>
              <w:spacing w:after="0"/>
              <w:rPr>
                <w:sz w:val="24"/>
                <w:szCs w:val="24"/>
                <w:color w:val="auto"/>
              </w:rPr>
            </w:pP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Balance Sheet -</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March 31, 2007 and December 31, 2006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Income -</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Quarter Ended March 31, 2007 and 2006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Cash Flows -</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Quarter Ended March 31, 2007 and 2006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Condition and Results of Operations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Quantitative and Qualitative Disclosures about</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Market Risk</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Controls and Procedures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331"/>
        </w:trPr>
        <w:tc>
          <w:tcPr>
            <w:tcW w:w="6300" w:type="dxa"/>
            <w:vAlign w:val="bottom"/>
            <w:gridSpan w:val="3"/>
          </w:tcPr>
          <w:p>
            <w:pPr>
              <w:spacing w:after="0"/>
              <w:rPr>
                <w:sz w:val="20"/>
                <w:szCs w:val="20"/>
                <w:color w:val="auto"/>
              </w:rPr>
            </w:pPr>
            <w:r>
              <w:rPr>
                <w:rFonts w:ascii="Courier New" w:cs="Courier New" w:eastAsia="Courier New" w:hAnsi="Courier New"/>
                <w:sz w:val="14"/>
                <w:szCs w:val="14"/>
                <w:color w:val="auto"/>
              </w:rPr>
              <w:t>Part II. Other Information</w:t>
            </w:r>
          </w:p>
        </w:tc>
        <w:tc>
          <w:tcPr>
            <w:tcW w:w="600" w:type="dxa"/>
            <w:vAlign w:val="bottom"/>
          </w:tcPr>
          <w:p>
            <w:pPr>
              <w:spacing w:after="0"/>
              <w:rPr>
                <w:sz w:val="24"/>
                <w:szCs w:val="24"/>
                <w:color w:val="auto"/>
              </w:rPr>
            </w:pP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1A.</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Risk Factors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Unregistered Sales of Equity Securities and</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Use of Proceeds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Defaults Upon Senior Securities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Other Information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Exhibits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Courier New" w:cs="Courier New" w:eastAsia="Courier New" w:hAnsi="Courier New"/>
                <w:sz w:val="14"/>
                <w:szCs w:val="14"/>
                <w:color w:val="auto"/>
              </w:rPr>
              <w:t>ALLETE First Quarter 2007 Form 10-Q</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following abbreviations or acronyms are used in the text. References in this report to "we," "us" and "our" are to ALLETE, Inc. and its subsidiaries, collectively.</w:t>
      </w:r>
    </w:p>
    <w:p>
      <w:pPr>
        <w:spacing w:after="0" w:line="163"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ABBREVIATION OR ACRONYM</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2006 Form 10-K</w:t>
      </w:r>
      <w:r>
        <w:rPr>
          <w:sz w:val="20"/>
          <w:szCs w:val="20"/>
          <w:color w:val="auto"/>
        </w:rPr>
        <w:tab/>
      </w:r>
      <w:r>
        <w:rPr>
          <w:rFonts w:ascii="Courier New" w:cs="Courier New" w:eastAsia="Courier New" w:hAnsi="Courier New"/>
          <w:sz w:val="14"/>
          <w:szCs w:val="14"/>
          <w:color w:val="auto"/>
        </w:rPr>
        <w:t>ALLETE's Annual Report on Form 10-K for</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the Year Ended December 31, 2006</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ALLETE</w:t>
      </w:r>
      <w:r>
        <w:rPr>
          <w:sz w:val="20"/>
          <w:szCs w:val="20"/>
          <w:color w:val="auto"/>
        </w:rPr>
        <w:tab/>
      </w: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ALLETE Properties</w:t>
      </w:r>
      <w:r>
        <w:rPr>
          <w:sz w:val="20"/>
          <w:szCs w:val="20"/>
          <w:color w:val="auto"/>
        </w:rPr>
        <w:tab/>
      </w:r>
      <w:r>
        <w:rPr>
          <w:rFonts w:ascii="Courier New" w:cs="Courier New" w:eastAsia="Courier New" w:hAnsi="Courier New"/>
          <w:sz w:val="14"/>
          <w:szCs w:val="14"/>
          <w:color w:val="auto"/>
        </w:rPr>
        <w:t>ALLETE Properties, LLC</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AREA</w:t>
      </w:r>
      <w:r>
        <w:rPr>
          <w:sz w:val="20"/>
          <w:szCs w:val="20"/>
          <w:color w:val="auto"/>
        </w:rPr>
        <w:tab/>
      </w:r>
      <w:r>
        <w:rPr>
          <w:rFonts w:ascii="Courier New" w:cs="Courier New" w:eastAsia="Courier New" w:hAnsi="Courier New"/>
          <w:sz w:val="14"/>
          <w:szCs w:val="14"/>
          <w:color w:val="auto"/>
        </w:rPr>
        <w:t>Arrowhead Regional Emission Abatement Plan</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ATC</w:t>
      </w:r>
      <w:r>
        <w:rPr>
          <w:sz w:val="20"/>
          <w:szCs w:val="20"/>
          <w:color w:val="auto"/>
        </w:rPr>
        <w:tab/>
      </w:r>
      <w:r>
        <w:rPr>
          <w:rFonts w:ascii="Courier New" w:cs="Courier New" w:eastAsia="Courier New" w:hAnsi="Courier New"/>
          <w:sz w:val="14"/>
          <w:szCs w:val="14"/>
          <w:color w:val="auto"/>
        </w:rPr>
        <w:t>American Transmission Company LLC</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BNI Coal</w:t>
      </w:r>
      <w:r>
        <w:rPr>
          <w:sz w:val="20"/>
          <w:szCs w:val="20"/>
          <w:color w:val="auto"/>
        </w:rPr>
        <w:tab/>
      </w:r>
      <w:r>
        <w:rPr>
          <w:rFonts w:ascii="Courier New" w:cs="Courier New" w:eastAsia="Courier New" w:hAnsi="Courier New"/>
          <w:sz w:val="14"/>
          <w:szCs w:val="14"/>
          <w:color w:val="auto"/>
        </w:rPr>
        <w:t>BNI Coal, Ltd.</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Boswell</w:t>
      </w:r>
      <w:r>
        <w:rPr>
          <w:sz w:val="20"/>
          <w:szCs w:val="20"/>
          <w:color w:val="auto"/>
        </w:rPr>
        <w:tab/>
      </w:r>
      <w:r>
        <w:rPr>
          <w:rFonts w:ascii="Courier New" w:cs="Courier New" w:eastAsia="Courier New" w:hAnsi="Courier New"/>
          <w:sz w:val="14"/>
          <w:szCs w:val="14"/>
          <w:color w:val="auto"/>
        </w:rPr>
        <w:t>Boswell Energy Center</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DOC</w:t>
      </w:r>
      <w:r>
        <w:rPr>
          <w:sz w:val="20"/>
          <w:szCs w:val="20"/>
          <w:color w:val="auto"/>
        </w:rPr>
        <w:tab/>
      </w:r>
      <w:r>
        <w:rPr>
          <w:rFonts w:ascii="Courier New" w:cs="Courier New" w:eastAsia="Courier New" w:hAnsi="Courier New"/>
          <w:sz w:val="14"/>
          <w:szCs w:val="14"/>
          <w:color w:val="auto"/>
        </w:rPr>
        <w:t>Minnesota Department of Commerce</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EITF</w:t>
      </w:r>
      <w:r>
        <w:rPr>
          <w:sz w:val="20"/>
          <w:szCs w:val="20"/>
          <w:color w:val="auto"/>
        </w:rPr>
        <w:tab/>
      </w:r>
      <w:r>
        <w:rPr>
          <w:rFonts w:ascii="Courier New" w:cs="Courier New" w:eastAsia="Courier New" w:hAnsi="Courier New"/>
          <w:sz w:val="14"/>
          <w:szCs w:val="14"/>
          <w:color w:val="auto"/>
        </w:rPr>
        <w:t>Emerging Issues Task Force Issue No.</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FIN</w:t>
      </w:r>
      <w:r>
        <w:rPr>
          <w:sz w:val="20"/>
          <w:szCs w:val="20"/>
          <w:color w:val="auto"/>
        </w:rPr>
        <w:tab/>
      </w:r>
      <w:r>
        <w:rPr>
          <w:rFonts w:ascii="Courier New" w:cs="Courier New" w:eastAsia="Courier New" w:hAnsi="Courier New"/>
          <w:sz w:val="14"/>
          <w:szCs w:val="14"/>
          <w:color w:val="auto"/>
        </w:rPr>
        <w:t>FASB Interpretations</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FPL</w:t>
      </w:r>
      <w:r>
        <w:rPr>
          <w:sz w:val="20"/>
          <w:szCs w:val="20"/>
          <w:color w:val="auto"/>
        </w:rPr>
        <w:tab/>
      </w:r>
      <w:r>
        <w:rPr>
          <w:rFonts w:ascii="Courier New" w:cs="Courier New" w:eastAsia="Courier New" w:hAnsi="Courier New"/>
          <w:sz w:val="14"/>
          <w:szCs w:val="14"/>
          <w:color w:val="auto"/>
        </w:rPr>
        <w:t>FPL Energy, LLC</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Accounting Principles Generally Accepted in</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the United States of America</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Heating Degree Days</w:t>
      </w:r>
      <w:r>
        <w:rPr>
          <w:sz w:val="20"/>
          <w:szCs w:val="20"/>
          <w:color w:val="auto"/>
        </w:rPr>
        <w:tab/>
      </w:r>
      <w:r>
        <w:rPr>
          <w:rFonts w:ascii="Courier New" w:cs="Courier New" w:eastAsia="Courier New" w:hAnsi="Courier New"/>
          <w:sz w:val="14"/>
          <w:szCs w:val="14"/>
          <w:color w:val="auto"/>
        </w:rPr>
        <w:t>Measure of the extent to which the average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daily temperature is below 65 degrees</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Fahrenheit, increasing demand for heating</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Laskin</w:t>
      </w:r>
      <w:r>
        <w:rPr>
          <w:sz w:val="20"/>
          <w:szCs w:val="20"/>
          <w:color w:val="auto"/>
        </w:rPr>
        <w:tab/>
      </w:r>
      <w:r>
        <w:rPr>
          <w:rFonts w:ascii="Courier New" w:cs="Courier New" w:eastAsia="Courier New" w:hAnsi="Courier New"/>
          <w:sz w:val="14"/>
          <w:szCs w:val="14"/>
          <w:color w:val="auto"/>
        </w:rPr>
        <w:t>Laskin Energy Center</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MISO</w:t>
      </w:r>
      <w:r>
        <w:rPr>
          <w:sz w:val="20"/>
          <w:szCs w:val="20"/>
          <w:color w:val="auto"/>
        </w:rPr>
        <w:tab/>
      </w:r>
      <w:r>
        <w:rPr>
          <w:rFonts w:ascii="Courier New" w:cs="Courier New" w:eastAsia="Courier New" w:hAnsi="Courier New"/>
          <w:sz w:val="14"/>
          <w:szCs w:val="14"/>
          <w:color w:val="auto"/>
        </w:rPr>
        <w:t>Midwest Independent Transmission System</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Operator, Inc.</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Moody's</w:t>
      </w:r>
      <w:r>
        <w:rPr>
          <w:sz w:val="20"/>
          <w:szCs w:val="20"/>
          <w:color w:val="auto"/>
        </w:rPr>
        <w:tab/>
      </w:r>
      <w:r>
        <w:rPr>
          <w:rFonts w:ascii="Courier New" w:cs="Courier New" w:eastAsia="Courier New" w:hAnsi="Courier New"/>
          <w:sz w:val="14"/>
          <w:szCs w:val="14"/>
          <w:color w:val="auto"/>
        </w:rPr>
        <w:t>Moody's Investors Service, Inc.</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MW</w:t>
      </w:r>
      <w:r>
        <w:rPr>
          <w:sz w:val="20"/>
          <w:szCs w:val="20"/>
          <w:color w:val="auto"/>
        </w:rPr>
        <w:tab/>
      </w:r>
      <w:r>
        <w:rPr>
          <w:rFonts w:ascii="Courier New" w:cs="Courier New" w:eastAsia="Courier New" w:hAnsi="Courier New"/>
          <w:sz w:val="14"/>
          <w:szCs w:val="14"/>
          <w:color w:val="auto"/>
        </w:rPr>
        <w:t>Megawatt(s)</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Note ___</w:t>
      </w:r>
      <w:r>
        <w:rPr>
          <w:sz w:val="20"/>
          <w:szCs w:val="20"/>
          <w:color w:val="auto"/>
        </w:rPr>
        <w:tab/>
      </w:r>
      <w:r>
        <w:rPr>
          <w:rFonts w:ascii="Courier New" w:cs="Courier New" w:eastAsia="Courier New" w:hAnsi="Courier New"/>
          <w:sz w:val="14"/>
          <w:szCs w:val="14"/>
          <w:color w:val="auto"/>
        </w:rPr>
        <w:t>Note ___ to the consolidated financial</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statements in this Form 10-Q</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NOX</w:t>
      </w:r>
      <w:r>
        <w:rPr>
          <w:sz w:val="20"/>
          <w:szCs w:val="20"/>
          <w:color w:val="auto"/>
        </w:rPr>
        <w:tab/>
      </w:r>
      <w:r>
        <w:rPr>
          <w:rFonts w:ascii="Courier New" w:cs="Courier New" w:eastAsia="Courier New" w:hAnsi="Courier New"/>
          <w:sz w:val="14"/>
          <w:szCs w:val="14"/>
          <w:color w:val="auto"/>
        </w:rPr>
        <w:t>Nitrogen Oxide</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Palm Coast Park</w:t>
      </w:r>
      <w:r>
        <w:rPr>
          <w:sz w:val="20"/>
          <w:szCs w:val="20"/>
          <w:color w:val="auto"/>
        </w:rPr>
        <w:tab/>
      </w:r>
      <w:r>
        <w:rPr>
          <w:rFonts w:ascii="Courier New" w:cs="Courier New" w:eastAsia="Courier New" w:hAnsi="Courier New"/>
          <w:sz w:val="14"/>
          <w:szCs w:val="14"/>
          <w:color w:val="auto"/>
        </w:rPr>
        <w:t>Palm Coast Park development project in</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northeast Florida</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Palm Coast Park District</w:t>
      </w:r>
      <w:r>
        <w:rPr>
          <w:sz w:val="20"/>
          <w:szCs w:val="20"/>
          <w:color w:val="auto"/>
        </w:rPr>
        <w:tab/>
      </w:r>
      <w:r>
        <w:rPr>
          <w:rFonts w:ascii="Courier New" w:cs="Courier New" w:eastAsia="Courier New" w:hAnsi="Courier New"/>
          <w:sz w:val="14"/>
          <w:szCs w:val="14"/>
          <w:color w:val="auto"/>
        </w:rPr>
        <w:t>Palm Coast Park Community Development District</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Rainy River Energy</w:t>
      </w:r>
      <w:r>
        <w:rPr>
          <w:sz w:val="20"/>
          <w:szCs w:val="20"/>
          <w:color w:val="auto"/>
        </w:rPr>
        <w:tab/>
      </w:r>
      <w:r>
        <w:rPr>
          <w:rFonts w:ascii="Courier New" w:cs="Courier New" w:eastAsia="Courier New" w:hAnsi="Courier New"/>
          <w:sz w:val="14"/>
          <w:szCs w:val="14"/>
          <w:color w:val="auto"/>
        </w:rPr>
        <w:t>Rainy River Energy Corporation - Wisconsin</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Resource Plan</w:t>
      </w:r>
      <w:r>
        <w:rPr>
          <w:sz w:val="20"/>
          <w:szCs w:val="20"/>
          <w:color w:val="auto"/>
        </w:rPr>
        <w:tab/>
      </w:r>
      <w:r>
        <w:rPr>
          <w:rFonts w:ascii="Courier New" w:cs="Courier New" w:eastAsia="Courier New" w:hAnsi="Courier New"/>
          <w:sz w:val="14"/>
          <w:szCs w:val="14"/>
          <w:color w:val="auto"/>
        </w:rPr>
        <w:t>Integrated Resource Plan</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SFAS</w:t>
      </w:r>
      <w:r>
        <w:rPr>
          <w:sz w:val="20"/>
          <w:szCs w:val="20"/>
          <w:color w:val="auto"/>
        </w:rPr>
        <w:tab/>
      </w:r>
      <w:r>
        <w:rPr>
          <w:rFonts w:ascii="Courier New" w:cs="Courier New" w:eastAsia="Courier New" w:hAnsi="Courier New"/>
          <w:sz w:val="14"/>
          <w:szCs w:val="14"/>
          <w:color w:val="auto"/>
        </w:rPr>
        <w:t>Statement of Financial Accounting Standards No.</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SO2</w:t>
      </w:r>
      <w:r>
        <w:rPr>
          <w:sz w:val="20"/>
          <w:szCs w:val="20"/>
          <w:color w:val="auto"/>
        </w:rPr>
        <w:tab/>
      </w:r>
      <w:r>
        <w:rPr>
          <w:rFonts w:ascii="Courier New" w:cs="Courier New" w:eastAsia="Courier New" w:hAnsi="Courier New"/>
          <w:sz w:val="14"/>
          <w:szCs w:val="14"/>
          <w:color w:val="auto"/>
        </w:rPr>
        <w:t>Sulfur Dioxide</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Standard &amp; Poor's</w:t>
      </w:r>
      <w:r>
        <w:rPr>
          <w:sz w:val="20"/>
          <w:szCs w:val="20"/>
          <w:color w:val="auto"/>
        </w:rPr>
        <w:tab/>
      </w:r>
      <w:r>
        <w:rPr>
          <w:rFonts w:ascii="Courier New" w:cs="Courier New" w:eastAsia="Courier New" w:hAnsi="Courier New"/>
          <w:sz w:val="14"/>
          <w:szCs w:val="14"/>
          <w:color w:val="auto"/>
        </w:rPr>
        <w:t>Standard &amp; Poor's Ratings Group, a division of</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McGraw-Hill Companies</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Town Center</w:t>
      </w:r>
      <w:r>
        <w:rPr>
          <w:sz w:val="20"/>
          <w:szCs w:val="20"/>
          <w:color w:val="auto"/>
        </w:rPr>
        <w:tab/>
      </w:r>
      <w:r>
        <w:rPr>
          <w:rFonts w:ascii="Courier New" w:cs="Courier New" w:eastAsia="Courier New" w:hAnsi="Courier New"/>
          <w:sz w:val="14"/>
          <w:szCs w:val="14"/>
          <w:color w:val="auto"/>
        </w:rPr>
        <w:t>Town Center at Palm Coast development project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in northeast Florida</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Town Center District</w:t>
      </w:r>
      <w:r>
        <w:rPr>
          <w:sz w:val="20"/>
          <w:szCs w:val="20"/>
          <w:color w:val="auto"/>
        </w:rPr>
        <w:tab/>
      </w:r>
      <w:r>
        <w:rPr>
          <w:rFonts w:ascii="Courier New" w:cs="Courier New" w:eastAsia="Courier New" w:hAnsi="Courier New"/>
          <w:sz w:val="14"/>
          <w:szCs w:val="14"/>
          <w:color w:val="auto"/>
        </w:rPr>
        <w:t>Town Center at Palm Coast Community</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Development District</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WDNR</w:t>
      </w:r>
      <w:r>
        <w:rPr>
          <w:sz w:val="20"/>
          <w:szCs w:val="20"/>
          <w:color w:val="auto"/>
        </w:rPr>
        <w:tab/>
      </w:r>
      <w:r>
        <w:rPr>
          <w:rFonts w:ascii="Courier New" w:cs="Courier New" w:eastAsia="Courier New" w:hAnsi="Courier New"/>
          <w:sz w:val="14"/>
          <w:szCs w:val="14"/>
          <w:color w:val="auto"/>
        </w:rPr>
        <w:t>Wisconsin Department of Natural Resources</w:t>
      </w:r>
    </w:p>
    <w:p>
      <w:pPr>
        <w:spacing w:after="0" w:line="338" w:lineRule="exact"/>
        <w:rPr>
          <w:sz w:val="20"/>
          <w:szCs w:val="20"/>
          <w:color w:val="auto"/>
        </w:rPr>
      </w:pPr>
    </w:p>
    <w:p>
      <w:pPr>
        <w:ind w:left="1900"/>
        <w:spacing w:after="0"/>
        <w:tabs>
          <w:tab w:leader="none" w:pos="6800" w:val="left"/>
        </w:tabs>
        <w:rPr>
          <w:sz w:val="20"/>
          <w:szCs w:val="20"/>
          <w:color w:val="auto"/>
        </w:rPr>
      </w:pPr>
      <w:r>
        <w:rPr>
          <w:rFonts w:ascii="Courier New" w:cs="Courier New" w:eastAsia="Courier New" w:hAnsi="Courier New"/>
          <w:sz w:val="14"/>
          <w:szCs w:val="14"/>
          <w:color w:val="auto"/>
        </w:rPr>
        <w:t>ALLETE First Quarter 2007 Form 10-Q</w:t>
      </w:r>
      <w:r>
        <w:rPr>
          <w:sz w:val="20"/>
          <w:szCs w:val="20"/>
          <w:color w:val="auto"/>
        </w:rPr>
        <w:tab/>
      </w:r>
      <w:r>
        <w:rPr>
          <w:rFonts w:ascii="Courier New" w:cs="Courier New" w:eastAsia="Courier New" w:hAnsi="Courier New"/>
          <w:sz w:val="13"/>
          <w:szCs w:val="13"/>
          <w:color w:val="auto"/>
        </w:rPr>
        <w:t>2</w:t>
      </w:r>
    </w:p>
    <w:p>
      <w:pPr>
        <w:sectPr>
          <w:pgSz w:w="11900" w:h="16838" w:orient="portrait"/>
          <w:cols w:equalWidth="0" w:num="1">
            <w:col w:w="10239"/>
          </w:cols>
          <w:pgMar w:left="220" w:top="616" w:right="1440" w:bottom="1440" w:gutter="0" w:footer="0" w:header="0"/>
        </w:sectPr>
      </w:pPr>
    </w:p>
    <w:bookmarkStart w:id="3" w:name="page4"/>
    <w:bookmarkEnd w:id="3"/>
    <w:p>
      <w:pPr>
        <w:jc w:val="center"/>
        <w:ind w:right="3239"/>
        <w:spacing w:after="0"/>
        <w:rPr>
          <w:sz w:val="20"/>
          <w:szCs w:val="20"/>
          <w:color w:val="auto"/>
        </w:rPr>
      </w:pPr>
      <w:r>
        <w:rPr>
          <w:rFonts w:ascii="Courier New" w:cs="Courier New" w:eastAsia="Courier New" w:hAnsi="Courier New"/>
          <w:sz w:val="14"/>
          <w:szCs w:val="14"/>
          <w:color w:val="auto"/>
        </w:rPr>
        <w:t>SAFE HARBOR STATEMENT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PRIVATE SECURITIES LITIGATION REFORM ACT OF 1995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Forward-looking statements involve estimates, assumptions, risks and uncertainties, which are beyond our control and may cause actual results or outcomes to differ materially from those that may be projected. These statements are qualified in their entirety by reference to, and are accompanied by, the following important factors, in addition to any assumptions and other factors referred to specifically:</w:t>
      </w:r>
    </w:p>
    <w:p>
      <w:pPr>
        <w:spacing w:after="0" w:line="164" w:lineRule="exact"/>
        <w:rPr>
          <w:sz w:val="20"/>
          <w:szCs w:val="20"/>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successfully implement our strategic objectives;</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expansion and integrate acquisitions;</w:t>
      </w:r>
    </w:p>
    <w:p>
      <w:pPr>
        <w:spacing w:after="0" w:line="7" w:lineRule="exact"/>
        <w:rPr>
          <w:rFonts w:ascii="Courier New" w:cs="Courier New" w:eastAsia="Courier New" w:hAnsi="Courier New"/>
          <w:sz w:val="14"/>
          <w:szCs w:val="14"/>
          <w:color w:val="auto"/>
        </w:rPr>
      </w:pPr>
    </w:p>
    <w:p>
      <w:pPr>
        <w:jc w:val="both"/>
        <w:ind w:left="520" w:right="3339" w:hanging="253"/>
        <w:spacing w:after="0" w:line="250"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prevailing governmental policies, regulatory actions, and legislation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capitl investments, present or prospective wholesale and retail competition (including but not limited to transmission costs), zoning and permitting of land held for resale and environmental regulation;</w:t>
      </w:r>
    </w:p>
    <w:p>
      <w:pPr>
        <w:spacing w:after="0" w:line="4"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restructuring initiatives in the electric industry;</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and geographic factors, including political and economic risks;</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laws and policies;</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 conditions;</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 and pandemic diseases;</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acts of terrorism;</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power market conditions;</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growth rates and demographic patterns;</w:t>
      </w:r>
    </w:p>
    <w:p>
      <w:pPr>
        <w:spacing w:after="0" w:line="7" w:lineRule="exact"/>
        <w:rPr>
          <w:rFonts w:ascii="Courier New" w:cs="Courier New" w:eastAsia="Courier New" w:hAnsi="Courier New"/>
          <w:sz w:val="14"/>
          <w:szCs w:val="14"/>
          <w:color w:val="auto"/>
        </w:rPr>
      </w:pPr>
    </w:p>
    <w:p>
      <w:pPr>
        <w:ind w:left="520" w:right="3339" w:hanging="253"/>
        <w:spacing w:after="0" w:line="250"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competition, including competition for retail and wholesale customers;</w:t>
      </w: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real estate market;</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and transportation of commodities;</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rates or policies or in rates of inflation;</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project delays or changes in project costs;</w:t>
      </w:r>
    </w:p>
    <w:p>
      <w:pPr>
        <w:spacing w:after="0" w:line="7" w:lineRule="exact"/>
        <w:rPr>
          <w:rFonts w:ascii="Courier New" w:cs="Courier New" w:eastAsia="Courier New" w:hAnsi="Courier New"/>
          <w:sz w:val="14"/>
          <w:szCs w:val="14"/>
          <w:color w:val="auto"/>
        </w:rPr>
      </w:pPr>
    </w:p>
    <w:p>
      <w:pPr>
        <w:ind w:left="520" w:right="3339" w:hanging="253"/>
        <w:spacing w:after="0" w:line="250"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construction materials and skilled construction labor for capital projects;</w:t>
      </w: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changes in operating expenses and capital expenditures;</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and domestic economic conditions;</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access capital markets and bank financing;</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interest rates and the performance of the financial markets;</w:t>
      </w:r>
    </w:p>
    <w:p>
      <w:pPr>
        <w:spacing w:after="0" w:line="7" w:lineRule="exact"/>
        <w:rPr>
          <w:rFonts w:ascii="Courier New" w:cs="Courier New" w:eastAsia="Courier New" w:hAnsi="Courier New"/>
          <w:sz w:val="14"/>
          <w:szCs w:val="14"/>
          <w:color w:val="auto"/>
        </w:rPr>
      </w:pPr>
    </w:p>
    <w:p>
      <w:pPr>
        <w:ind w:left="520" w:right="3339" w:hanging="253"/>
        <w:spacing w:after="0" w:line="250"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replace a mature workforce, and retain qualified, skilled and experienced personnel; and</w:t>
      </w:r>
    </w:p>
    <w:p>
      <w:pPr>
        <w:jc w:val="both"/>
        <w:ind w:left="520" w:right="3339" w:hanging="253"/>
        <w:spacing w:after="0" w:line="250"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Additional disclosures regarding factors that could cause our results and performance to differ from results or performance anticipated by this report are discussed in Item 1A under the heading "Risk Factors" in Part I of our 2006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17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ALLETE First Quarter 2007 Form 10-Q</w:t>
      </w:r>
    </w:p>
    <w:p>
      <w:pPr>
        <w:sectPr>
          <w:pgSz w:w="11900" w:h="16838" w:orient="portrait"/>
          <w:cols w:equalWidth="0" w:num="1">
            <w:col w:w="10239"/>
          </w:cols>
          <w:pgMar w:left="220" w:top="616" w:right="1440" w:bottom="1440" w:gutter="0" w:footer="0" w:header="0"/>
        </w:sectPr>
      </w:pPr>
    </w:p>
    <w:bookmarkStart w:id="4" w:name="page5"/>
    <w:bookmarkEnd w:id="4"/>
    <w:p>
      <w:pPr>
        <w:spacing w:after="0"/>
        <w:tabs>
          <w:tab w:leader="none" w:pos="76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17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MILLIONS - UNAUDITED</w:t>
      </w:r>
    </w:p>
    <w:p>
      <w:pPr>
        <w:spacing w:after="0" w:line="173" w:lineRule="exact"/>
        <w:rPr>
          <w:sz w:val="20"/>
          <w:szCs w:val="20"/>
          <w:color w:val="auto"/>
        </w:rPr>
      </w:pPr>
    </w:p>
    <w:p>
      <w:pPr>
        <w:ind w:left="7680"/>
        <w:spacing w:after="0"/>
        <w:tabs>
          <w:tab w:leader="none" w:pos="9120" w:val="left"/>
        </w:tabs>
        <w:rPr>
          <w:sz w:val="20"/>
          <w:szCs w:val="20"/>
          <w:color w:val="auto"/>
        </w:rPr>
      </w:pPr>
      <w:r>
        <w:rPr>
          <w:rFonts w:ascii="Courier New" w:cs="Courier New" w:eastAsia="Courier New" w:hAnsi="Courier New"/>
          <w:sz w:val="14"/>
          <w:szCs w:val="14"/>
          <w:color w:val="auto"/>
        </w:rPr>
        <w:t>MARCH 31,</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7840"/>
        <w:spacing w:after="0"/>
        <w:tabs>
          <w:tab w:leader="none" w:pos="946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Cash and</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44.8</w:t>
            </w:r>
          </w:p>
        </w:tc>
      </w:tr>
      <w:tr>
        <w:trPr>
          <w:trHeight w:val="166"/>
        </w:trPr>
        <w:tc>
          <w:tcPr>
            <w:tcW w:w="6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Short-Term Investments</w:t>
            </w:r>
          </w:p>
        </w:tc>
        <w:tc>
          <w:tcPr>
            <w:tcW w:w="98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104.5</w:t>
            </w: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Accounts</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Receivable (Less Allowance of $1.1 at March 31, 2007 and</w:t>
            </w:r>
          </w:p>
        </w:tc>
        <w:tc>
          <w:tcPr>
            <w:tcW w:w="98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70.9</w:t>
            </w:r>
          </w:p>
        </w:tc>
      </w:tr>
      <w:tr>
        <w:trPr>
          <w:trHeight w:val="166"/>
        </w:trPr>
        <w:tc>
          <w:tcPr>
            <w:tcW w:w="1260" w:type="dxa"/>
            <w:vAlign w:val="bottom"/>
          </w:tcPr>
          <w:p>
            <w:pPr>
              <w:spacing w:after="0"/>
              <w:rPr>
                <w:sz w:val="14"/>
                <w:szCs w:val="14"/>
                <w:color w:val="auto"/>
              </w:rPr>
            </w:pPr>
          </w:p>
        </w:tc>
        <w:tc>
          <w:tcPr>
            <w:tcW w:w="5640" w:type="dxa"/>
            <w:vAlign w:val="bottom"/>
          </w:tcPr>
          <w:p>
            <w:pPr>
              <w:ind w:left="1080"/>
              <w:spacing w:after="0"/>
              <w:rPr>
                <w:sz w:val="20"/>
                <w:szCs w:val="20"/>
                <w:color w:val="auto"/>
              </w:rPr>
            </w:pPr>
            <w:r>
              <w:rPr>
                <w:rFonts w:ascii="Courier New" w:cs="Courier New" w:eastAsia="Courier New" w:hAnsi="Courier New"/>
                <w:sz w:val="14"/>
                <w:szCs w:val="14"/>
                <w:color w:val="auto"/>
              </w:rPr>
              <w:t>December 31, 2006)</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Inventories</w:t>
            </w:r>
          </w:p>
        </w:tc>
        <w:tc>
          <w:tcPr>
            <w:tcW w:w="98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43.4</w:t>
            </w:r>
          </w:p>
        </w:tc>
      </w:tr>
      <w:tr>
        <w:trPr>
          <w:trHeight w:val="166"/>
        </w:trPr>
        <w:tc>
          <w:tcPr>
            <w:tcW w:w="6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Prepayments and Other</w:t>
            </w:r>
          </w:p>
        </w:tc>
        <w:tc>
          <w:tcPr>
            <w:tcW w:w="98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Deferred</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98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ind w:left="780"/>
              <w:spacing w:after="0"/>
              <w:rPr>
                <w:sz w:val="20"/>
                <w:szCs w:val="20"/>
                <w:color w:val="auto"/>
              </w:rPr>
            </w:pPr>
            <w:r>
              <w:rPr>
                <w:rFonts w:ascii="Courier New" w:cs="Courier New" w:eastAsia="Courier New" w:hAnsi="Courier New"/>
                <w:sz w:val="14"/>
                <w:szCs w:val="14"/>
                <w:color w:val="auto"/>
              </w:rPr>
              <w:t>Total Current Assets</w:t>
            </w:r>
          </w:p>
        </w:tc>
        <w:tc>
          <w:tcPr>
            <w:tcW w:w="3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281.8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287.7</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3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933.0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921.6</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206.7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189.1</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138.6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135.0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$1,560.1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$1,533.4</w:t>
            </w:r>
          </w:p>
        </w:tc>
      </w:tr>
    </w:tbl>
    <w:p>
      <w:pPr>
        <w:spacing w:after="0" w:line="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7340"/>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LIABILITIES</w:t>
      </w: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3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53.5</w:t>
            </w:r>
          </w:p>
        </w:tc>
      </w:tr>
      <w:tr>
        <w:trPr>
          <w:trHeight w:val="166"/>
        </w:trPr>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Accrued Taxes</w:t>
            </w:r>
          </w:p>
        </w:tc>
        <w:tc>
          <w:tcPr>
            <w:tcW w:w="3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r>
        <w:trPr>
          <w:trHeight w:val="166"/>
        </w:trPr>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Accrued Interest</w:t>
            </w:r>
          </w:p>
        </w:tc>
        <w:tc>
          <w:tcPr>
            <w:tcW w:w="3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r>
        <w:trPr>
          <w:trHeight w:val="166"/>
        </w:trPr>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Long-Term Debt Due Within One Year</w:t>
            </w:r>
          </w:p>
        </w:tc>
        <w:tc>
          <w:tcPr>
            <w:tcW w:w="3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r>
      <w:tr>
        <w:trPr>
          <w:trHeight w:val="166"/>
        </w:trPr>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Deferred Profit on Sales of Real Estate</w:t>
            </w:r>
          </w:p>
        </w:tc>
        <w:tc>
          <w:tcPr>
            <w:tcW w:w="3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3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Total Current Liabilities</w:t>
            </w: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145.4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143.5</w:t>
            </w:r>
          </w:p>
        </w:tc>
      </w:tr>
      <w:tr>
        <w:trPr>
          <w:trHeight w:val="331"/>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359.3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359.8</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130.8</w:t>
            </w:r>
          </w:p>
        </w:tc>
      </w:tr>
      <w:tr>
        <w:trPr>
          <w:trHeight w:val="331"/>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226.1</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4"/>
                <w:szCs w:val="14"/>
                <w:color w:val="auto"/>
              </w:rPr>
              <w:t>Minority</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Interest</w:t>
            </w: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7920" w:val="left"/>
          <w:tab w:leader="none" w:pos="9460" w:val="left"/>
        </w:tabs>
        <w:rPr>
          <w:sz w:val="20"/>
          <w:szCs w:val="20"/>
          <w:color w:val="auto"/>
        </w:rPr>
      </w:pPr>
      <w:r>
        <w:rPr>
          <w:rFonts w:ascii="Courier New" w:cs="Courier New" w:eastAsia="Courier New" w:hAnsi="Courier New"/>
          <w:sz w:val="14"/>
          <w:szCs w:val="14"/>
          <w:color w:val="auto"/>
        </w:rPr>
        <w:t>Total Liabilities</w:t>
      </w:r>
      <w:r>
        <w:rPr>
          <w:sz w:val="20"/>
          <w:szCs w:val="20"/>
          <w:color w:val="auto"/>
        </w:rPr>
        <w:tab/>
      </w:r>
      <w:r>
        <w:rPr>
          <w:rFonts w:ascii="Courier New" w:cs="Courier New" w:eastAsia="Courier New" w:hAnsi="Courier New"/>
          <w:sz w:val="14"/>
          <w:szCs w:val="14"/>
          <w:color w:val="auto"/>
        </w:rPr>
        <w:t>872.4</w:t>
      </w:r>
      <w:r>
        <w:rPr>
          <w:sz w:val="20"/>
          <w:szCs w:val="20"/>
          <w:color w:val="auto"/>
        </w:rPr>
        <w:tab/>
      </w:r>
      <w:r>
        <w:rPr>
          <w:rFonts w:ascii="Courier New" w:cs="Courier New" w:eastAsia="Courier New" w:hAnsi="Courier New"/>
          <w:sz w:val="14"/>
          <w:szCs w:val="14"/>
          <w:color w:val="auto"/>
        </w:rPr>
        <w:t>867.6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Without Par Value,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43.3</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Shares Authorized,</w:t>
            </w:r>
          </w:p>
        </w:tc>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34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30.5 and 30.4 Shares Outstanding</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442.9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438.7</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ESOP Shares</w:t>
            </w:r>
          </w:p>
        </w:tc>
        <w:tc>
          <w:tcPr>
            <w:tcW w:w="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(71.9)</w:t>
            </w:r>
          </w:p>
        </w:tc>
      </w:tr>
      <w:tr>
        <w:trPr>
          <w:trHeight w:val="331"/>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3180" w:type="dxa"/>
            <w:vAlign w:val="bottom"/>
          </w:tcPr>
          <w:p>
            <w:pPr>
              <w:spacing w:after="0"/>
              <w:rPr>
                <w:sz w:val="24"/>
                <w:szCs w:val="24"/>
                <w:color w:val="auto"/>
              </w:rPr>
            </w:pP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4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323.1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7920" w:val="left"/>
          <w:tab w:leader="none" w:pos="946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687.7</w:t>
      </w:r>
      <w:r>
        <w:rPr>
          <w:sz w:val="20"/>
          <w:szCs w:val="20"/>
          <w:color w:val="auto"/>
        </w:rPr>
        <w:tab/>
      </w:r>
      <w:r>
        <w:rPr>
          <w:rFonts w:ascii="Courier New" w:cs="Courier New" w:eastAsia="Courier New" w:hAnsi="Courier New"/>
          <w:sz w:val="14"/>
          <w:szCs w:val="14"/>
          <w:color w:val="auto"/>
        </w:rPr>
        <w:t>665.8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660" w:val="left"/>
          <w:tab w:leader="none" w:pos="920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$1,560.1</w:t>
      </w:r>
      <w:r>
        <w:rPr>
          <w:sz w:val="20"/>
          <w:szCs w:val="20"/>
          <w:color w:val="auto"/>
        </w:rPr>
        <w:tab/>
      </w:r>
      <w:r>
        <w:rPr>
          <w:rFonts w:ascii="Courier New" w:cs="Courier New" w:eastAsia="Courier New" w:hAnsi="Courier New"/>
          <w:sz w:val="14"/>
          <w:szCs w:val="14"/>
          <w:color w:val="auto"/>
        </w:rPr>
        <w:t>$1,533.4</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2007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440"/>
          </w:cols>
          <w:pgMar w:left="220" w:top="616" w:right="1239" w:bottom="1085" w:gutter="0" w:footer="0" w:header="0"/>
        </w:sectPr>
      </w:pPr>
    </w:p>
    <w:bookmarkStart w:id="5" w:name="page6"/>
    <w:bookmarkEnd w:id="5"/>
    <w:p>
      <w:pPr>
        <w:jc w:val="center"/>
        <w:ind w:right="8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tbl>
      <w:tblPr>
        <w:tblLayout w:type="fixed"/>
        <w:tblInd w:w="3280" w:type="dxa"/>
        <w:tblCellMar>
          <w:top w:w="0" w:type="dxa"/>
          <w:left w:w="0" w:type="dxa"/>
          <w:bottom w:w="0" w:type="dxa"/>
          <w:right w:w="0" w:type="dxa"/>
        </w:tblCellMar>
      </w:tblPr>
      <w:tr>
        <w:trPr>
          <w:trHeight w:val="162"/>
        </w:trPr>
        <w:tc>
          <w:tcPr>
            <w:tcW w:w="564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MILLIONS EXCEPT PER SHARE AMOUNTS - UNAUDITED</w:t>
            </w:r>
          </w:p>
        </w:tc>
        <w:tc>
          <w:tcPr>
            <w:tcW w:w="900" w:type="dxa"/>
            <w:vAlign w:val="bottom"/>
          </w:tcPr>
          <w:p>
            <w:pPr>
              <w:spacing w:after="0"/>
              <w:rPr>
                <w:sz w:val="14"/>
                <w:szCs w:val="14"/>
                <w:color w:val="auto"/>
              </w:rPr>
            </w:pPr>
          </w:p>
        </w:tc>
      </w:tr>
      <w:tr>
        <w:trPr>
          <w:trHeight w:val="331"/>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MARCH</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6"/>
        </w:trPr>
        <w:tc>
          <w:tcPr>
            <w:tcW w:w="5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$205.3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Fuel and Purchased Power</w:t>
            </w:r>
          </w:p>
        </w:tc>
        <w:tc>
          <w:tcPr>
            <w:tcW w:w="3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69.4</w:t>
            </w: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Operating and Maintenance</w:t>
            </w:r>
          </w:p>
        </w:tc>
        <w:tc>
          <w:tcPr>
            <w:tcW w:w="3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74.5</w:t>
            </w: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3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3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31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4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Interest Expense</w:t>
            </w:r>
          </w:p>
        </w:tc>
        <w:tc>
          <w:tcPr>
            <w:tcW w:w="4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40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Total Other Income (Expense)</w:t>
            </w:r>
          </w:p>
        </w:tc>
        <w:tc>
          <w:tcPr>
            <w:tcW w:w="3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3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440" w:type="dxa"/>
            <w:vAlign w:val="bottom"/>
          </w:tcPr>
          <w:p>
            <w:pPr>
              <w:ind w:left="260"/>
              <w:spacing w:after="0"/>
              <w:rPr>
                <w:sz w:val="20"/>
                <w:szCs w:val="20"/>
                <w:color w:val="auto"/>
              </w:rPr>
            </w:pPr>
            <w:r>
              <w:rPr>
                <w:rFonts w:ascii="Courier New" w:cs="Courier New" w:eastAsia="Courier New" w:hAnsi="Courier New"/>
                <w:sz w:val="14"/>
                <w:szCs w:val="14"/>
                <w:color w:val="auto"/>
              </w:rPr>
              <w:t>BEFORE INCOME TAXES</w:t>
            </w:r>
          </w:p>
        </w:tc>
        <w:tc>
          <w:tcPr>
            <w:tcW w:w="3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3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440"/>
          </w:cols>
          <w:pgMar w:left="220" w:top="782" w:right="12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FROM CONTINUING OPERATIONS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18.8</w:t>
      </w:r>
    </w:p>
    <w:p>
      <w:pPr>
        <w:spacing w:after="0" w:line="173" w:lineRule="exact"/>
        <w:rPr>
          <w:sz w:val="20"/>
          <w:szCs w:val="20"/>
          <w:color w:val="auto"/>
        </w:rPr>
      </w:pPr>
    </w:p>
    <w:p>
      <w:pPr>
        <w:sectPr>
          <w:pgSz w:w="11900" w:h="16838" w:orient="portrait"/>
          <w:cols w:equalWidth="0" w:num="3">
            <w:col w:w="7300" w:space="720"/>
            <w:col w:w="820" w:space="720"/>
            <w:col w:w="880"/>
          </w:cols>
          <w:pgMar w:left="220" w:top="782" w:right="1239" w:bottom="1440" w:gutter="0" w:footer="0" w:header="0"/>
          <w:type w:val="continuous"/>
        </w:sectPr>
      </w:pPr>
    </w:p>
    <w:p>
      <w:pPr>
        <w:spacing w:after="0"/>
        <w:tabs>
          <w:tab w:leader="none" w:pos="8260" w:val="left"/>
          <w:tab w:leader="none" w:pos="9800" w:val="left"/>
        </w:tabs>
        <w:rPr>
          <w:sz w:val="20"/>
          <w:szCs w:val="20"/>
          <w:color w:val="auto"/>
        </w:rPr>
      </w:pPr>
      <w:r>
        <w:rPr>
          <w:rFonts w:ascii="Courier New" w:cs="Courier New" w:eastAsia="Courier New" w:hAnsi="Courier New"/>
          <w:sz w:val="14"/>
          <w:szCs w:val="14"/>
          <w:color w:val="auto"/>
        </w:rPr>
        <w:t>LOSS FROM DISCONTINUED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440"/>
          </w:cols>
          <w:pgMar w:left="220" w:top="782" w:right="1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3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3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AND DILUTED EARNINGS PER SHARE OF COMMON STOCK</w:t>
      </w:r>
    </w:p>
    <w:p>
      <w:pPr>
        <w:spacing w:after="0" w:line="7" w:lineRule="exact"/>
        <w:rPr>
          <w:sz w:val="20"/>
          <w:szCs w:val="20"/>
          <w:color w:val="auto"/>
        </w:rPr>
      </w:pPr>
    </w:p>
    <w:p>
      <w:pPr>
        <w:ind w:left="260"/>
        <w:spacing w:after="0"/>
        <w:tabs>
          <w:tab w:leader="none" w:pos="7920" w:val="left"/>
          <w:tab w:leader="none" w:pos="9460" w:val="left"/>
        </w:tabs>
        <w:rPr>
          <w:sz w:val="20"/>
          <w:szCs w:val="20"/>
          <w:color w:val="auto"/>
        </w:rPr>
      </w:pPr>
      <w:r>
        <w:rPr>
          <w:rFonts w:ascii="Courier New" w:cs="Courier New" w:eastAsia="Courier New" w:hAnsi="Courier New"/>
          <w:sz w:val="14"/>
          <w:szCs w:val="14"/>
          <w:color w:val="auto"/>
        </w:rPr>
        <w:t>Continuing Operations</w:t>
      </w:r>
      <w:r>
        <w:rPr>
          <w:sz w:val="20"/>
          <w:szCs w:val="20"/>
          <w:color w:val="auto"/>
        </w:rPr>
        <w:tab/>
      </w:r>
      <w:r>
        <w:rPr>
          <w:rFonts w:ascii="Courier New" w:cs="Courier New" w:eastAsia="Courier New" w:hAnsi="Courier New"/>
          <w:sz w:val="14"/>
          <w:szCs w:val="14"/>
          <w:color w:val="auto"/>
        </w:rPr>
        <w:t>$0.93</w:t>
      </w:r>
      <w:r>
        <w:rPr>
          <w:sz w:val="20"/>
          <w:szCs w:val="20"/>
          <w:color w:val="auto"/>
        </w:rPr>
        <w:tab/>
      </w:r>
      <w:r>
        <w:rPr>
          <w:rFonts w:ascii="Courier New" w:cs="Courier New" w:eastAsia="Courier New" w:hAnsi="Courier New"/>
          <w:sz w:val="14"/>
          <w:szCs w:val="14"/>
          <w:color w:val="auto"/>
        </w:rPr>
        <w:t>$0.68</w:t>
      </w:r>
    </w:p>
    <w:p>
      <w:pPr>
        <w:spacing w:after="0" w:line="7" w:lineRule="exact"/>
        <w:rPr>
          <w:sz w:val="20"/>
          <w:szCs w:val="20"/>
          <w:color w:val="auto"/>
        </w:rPr>
      </w:pPr>
    </w:p>
    <w:p>
      <w:pPr>
        <w:ind w:left="260"/>
        <w:spacing w:after="0"/>
        <w:tabs>
          <w:tab w:leader="none" w:pos="8260" w:val="left"/>
          <w:tab w:leader="none" w:pos="9800" w:val="left"/>
        </w:tabs>
        <w:rPr>
          <w:sz w:val="20"/>
          <w:szCs w:val="20"/>
          <w:color w:val="auto"/>
        </w:rPr>
      </w:pPr>
      <w:r>
        <w:rPr>
          <w:rFonts w:ascii="Courier New" w:cs="Courier New" w:eastAsia="Courier New" w:hAnsi="Courier New"/>
          <w:sz w:val="14"/>
          <w:szCs w:val="14"/>
          <w:color w:val="auto"/>
        </w:rPr>
        <w:t>Discontinued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940"/>
        <w:spacing w:after="0"/>
        <w:tabs>
          <w:tab w:leader="none" w:pos="9460" w:val="left"/>
        </w:tabs>
        <w:rPr>
          <w:sz w:val="20"/>
          <w:szCs w:val="20"/>
          <w:color w:val="auto"/>
        </w:rPr>
      </w:pPr>
      <w:r>
        <w:rPr>
          <w:rFonts w:ascii="Courier New" w:cs="Courier New" w:eastAsia="Courier New" w:hAnsi="Courier New"/>
          <w:sz w:val="14"/>
          <w:szCs w:val="14"/>
          <w:color w:val="auto"/>
        </w:rPr>
        <w:t>$0.93</w:t>
      </w:r>
      <w:r>
        <w:rPr>
          <w:sz w:val="20"/>
          <w:szCs w:val="20"/>
          <w:color w:val="auto"/>
        </w:rPr>
        <w:tab/>
      </w:r>
      <w:r>
        <w:rPr>
          <w:rFonts w:ascii="Courier New" w:cs="Courier New" w:eastAsia="Courier New" w:hAnsi="Courier New"/>
          <w:sz w:val="14"/>
          <w:szCs w:val="14"/>
          <w:color w:val="auto"/>
        </w:rPr>
        <w:t>$0.68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740" w:val="left"/>
          <w:tab w:leader="none" w:pos="930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$0.4100</w:t>
      </w:r>
      <w:r>
        <w:rPr>
          <w:sz w:val="20"/>
          <w:szCs w:val="20"/>
          <w:color w:val="auto"/>
        </w:rPr>
        <w:tab/>
      </w:r>
      <w:r>
        <w:rPr>
          <w:rFonts w:ascii="Courier New" w:cs="Courier New" w:eastAsia="Courier New" w:hAnsi="Courier New"/>
          <w:sz w:val="14"/>
          <w:szCs w:val="14"/>
          <w:color w:val="auto"/>
        </w:rPr>
        <w:t>$0.3625</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ALLETE First Quarter 2007 Form 10-Q</w:t>
      </w:r>
    </w:p>
    <w:p>
      <w:pPr>
        <w:sectPr>
          <w:pgSz w:w="11900" w:h="16838" w:orient="portrait"/>
          <w:cols w:equalWidth="0" w:num="1">
            <w:col w:w="10440"/>
          </w:cols>
          <w:pgMar w:left="220" w:top="782" w:right="1239" w:bottom="1440" w:gutter="0" w:footer="0" w:header="0"/>
          <w:type w:val="continuous"/>
        </w:sectPr>
      </w:pPr>
    </w:p>
    <w:bookmarkStart w:id="6" w:name="page7"/>
    <w:bookmarkEnd w:id="6"/>
    <w:p>
      <w:pPr>
        <w:jc w:val="center"/>
        <w:ind w:right="8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MILLIONS - UNAUDITED</w:t>
      </w:r>
    </w:p>
    <w:p>
      <w:pPr>
        <w:spacing w:after="0" w:line="173" w:lineRule="exact"/>
        <w:rPr>
          <w:sz w:val="20"/>
          <w:szCs w:val="20"/>
          <w:color w:val="auto"/>
        </w:rPr>
      </w:pPr>
    </w:p>
    <w:tbl>
      <w:tblPr>
        <w:tblLayout w:type="fixed"/>
        <w:tblInd w:w="7940" w:type="dxa"/>
        <w:tblCellMar>
          <w:top w:w="0" w:type="dxa"/>
          <w:left w:w="0" w:type="dxa"/>
          <w:bottom w:w="0" w:type="dxa"/>
          <w:right w:w="0" w:type="dxa"/>
        </w:tblCellMar>
      </w:tblPr>
      <w:tr>
        <w:trPr>
          <w:trHeight w:val="162"/>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MARCH</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6"/>
        </w:trPr>
        <w:tc>
          <w:tcPr>
            <w:tcW w:w="98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5"/>
              </w:rPr>
              <w:t>2007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Income from Equity Investments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Gain on Sale of Assets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Minority Interest</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Stock Compensation Expense</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Bad Debt Expense</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w:t>
            </w:r>
          </w:p>
        </w:tc>
      </w:tr>
      <w:tr>
        <w:trPr>
          <w:trHeight w:val="166"/>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Prepayments and Other</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r>
      <w:tr>
        <w:trPr>
          <w:trHeight w:val="166"/>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6"/>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Other Current Liabilities</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Net Operating Activities for Discontinued Operations</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from Operating Activities</w:t>
            </w:r>
          </w:p>
        </w:tc>
        <w:tc>
          <w:tcPr>
            <w:tcW w:w="3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INVESTING ACTIVITIES</w:t>
            </w: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Proceeds from</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Sale of Available-For-Sale Securities</w:t>
            </w:r>
          </w:p>
        </w:tc>
        <w:tc>
          <w:tcPr>
            <w:tcW w:w="2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126.3</w:t>
            </w:r>
          </w:p>
        </w:tc>
      </w:tr>
      <w:tr>
        <w:trPr>
          <w:trHeight w:val="166"/>
        </w:trPr>
        <w:tc>
          <w:tcPr>
            <w:tcW w:w="6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Payments for Purchase of Available-For-Sale Securities</w:t>
            </w:r>
          </w:p>
        </w:tc>
        <w:tc>
          <w:tcPr>
            <w:tcW w:w="2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(170.9)</w:t>
            </w:r>
          </w:p>
        </w:tc>
      </w:tr>
      <w:tr>
        <w:trPr>
          <w:trHeight w:val="166"/>
        </w:trPr>
        <w:tc>
          <w:tcPr>
            <w:tcW w:w="6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Changes to Investments</w:t>
            </w:r>
          </w:p>
        </w:tc>
        <w:tc>
          <w:tcPr>
            <w:tcW w:w="2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166"/>
        </w:trPr>
        <w:tc>
          <w:tcPr>
            <w:tcW w:w="6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Additions to Property, Plant and Equipment</w:t>
            </w:r>
          </w:p>
        </w:tc>
        <w:tc>
          <w:tcPr>
            <w:tcW w:w="2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Proceeds from</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Sale of Assets</w:t>
            </w:r>
          </w:p>
        </w:tc>
        <w:tc>
          <w:tcPr>
            <w:tcW w:w="2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5000" w:type="dxa"/>
            <w:vAlign w:val="bottom"/>
          </w:tcPr>
          <w:p>
            <w:pPr>
              <w:spacing w:after="0"/>
              <w:rPr>
                <w:sz w:val="14"/>
                <w:szCs w:val="14"/>
                <w:color w:val="auto"/>
              </w:rPr>
            </w:pPr>
          </w:p>
        </w:tc>
        <w:tc>
          <w:tcPr>
            <w:tcW w:w="2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Net Investing</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Activities from Discontinued Operations</w:t>
            </w:r>
          </w:p>
        </w:tc>
        <w:tc>
          <w:tcPr>
            <w:tcW w:w="2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820" w:type="dxa"/>
            <w:vAlign w:val="bottom"/>
          </w:tcPr>
          <w:p>
            <w:pPr>
              <w:spacing w:after="0"/>
              <w:rPr>
                <w:sz w:val="20"/>
                <w:szCs w:val="20"/>
                <w:color w:val="auto"/>
              </w:rPr>
            </w:pPr>
            <w:r>
              <w:rPr>
                <w:rFonts w:ascii="Courier New" w:cs="Courier New" w:eastAsia="Courier New" w:hAnsi="Courier New"/>
                <w:sz w:val="14"/>
                <w:szCs w:val="14"/>
                <w:color w:val="auto"/>
              </w:rPr>
              <w:t>Cash for Investing Activities</w:t>
            </w:r>
          </w:p>
        </w:tc>
        <w:tc>
          <w:tcPr>
            <w:tcW w:w="3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020" w:type="dxa"/>
            <w:vAlign w:val="bottom"/>
          </w:tcPr>
          <w:p>
            <w:pPr>
              <w:ind w:left="260"/>
              <w:spacing w:after="0"/>
              <w:rPr>
                <w:sz w:val="20"/>
                <w:szCs w:val="20"/>
                <w:color w:val="auto"/>
              </w:rPr>
            </w:pPr>
            <w:r>
              <w:rPr>
                <w:rFonts w:ascii="Courier New" w:cs="Courier New" w:eastAsia="Courier New" w:hAnsi="Courier New"/>
                <w:sz w:val="14"/>
                <w:szCs w:val="14"/>
                <w:color w:val="auto"/>
              </w:rPr>
              <w:t>Issuance of Common Stock</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6"/>
        </w:trPr>
        <w:tc>
          <w:tcPr>
            <w:tcW w:w="7020" w:type="dxa"/>
            <w:vAlign w:val="bottom"/>
          </w:tcPr>
          <w:p>
            <w:pPr>
              <w:ind w:left="260"/>
              <w:spacing w:after="0"/>
              <w:rPr>
                <w:sz w:val="20"/>
                <w:szCs w:val="20"/>
                <w:color w:val="auto"/>
              </w:rPr>
            </w:pPr>
            <w:r>
              <w:rPr>
                <w:rFonts w:ascii="Courier New" w:cs="Courier New" w:eastAsia="Courier New" w:hAnsi="Courier New"/>
                <w:sz w:val="14"/>
                <w:szCs w:val="14"/>
                <w:color w:val="auto"/>
              </w:rPr>
              <w:t>Issuance of Long-Term Debt</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7020" w:type="dxa"/>
            <w:vAlign w:val="bottom"/>
          </w:tcPr>
          <w:p>
            <w:pPr>
              <w:ind w:left="260"/>
              <w:spacing w:after="0"/>
              <w:rPr>
                <w:sz w:val="20"/>
                <w:szCs w:val="20"/>
                <w:color w:val="auto"/>
              </w:rPr>
            </w:pPr>
            <w:r>
              <w:rPr>
                <w:rFonts w:ascii="Courier New" w:cs="Courier New" w:eastAsia="Courier New" w:hAnsi="Courier New"/>
                <w:sz w:val="14"/>
                <w:szCs w:val="14"/>
                <w:color w:val="auto"/>
              </w:rPr>
              <w:t>Payments of Debt</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(51.4)</w:t>
            </w:r>
          </w:p>
        </w:tc>
      </w:tr>
      <w:tr>
        <w:trPr>
          <w:trHeight w:val="166"/>
        </w:trPr>
        <w:tc>
          <w:tcPr>
            <w:tcW w:w="7020" w:type="dxa"/>
            <w:vAlign w:val="bottom"/>
          </w:tcPr>
          <w:p>
            <w:pPr>
              <w:ind w:left="260"/>
              <w:spacing w:after="0"/>
              <w:rPr>
                <w:sz w:val="20"/>
                <w:szCs w:val="20"/>
                <w:color w:val="auto"/>
              </w:rPr>
            </w:pPr>
            <w:r>
              <w:rPr>
                <w:rFonts w:ascii="Courier New" w:cs="Courier New" w:eastAsia="Courier New" w:hAnsi="Courier New"/>
                <w:sz w:val="14"/>
                <w:szCs w:val="14"/>
                <w:color w:val="auto"/>
              </w:rPr>
              <w:t>Dividends on Common Stock and Distributions to Minority Shareholders</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166"/>
        </w:trPr>
        <w:tc>
          <w:tcPr>
            <w:tcW w:w="7020" w:type="dxa"/>
            <w:vAlign w:val="bottom"/>
          </w:tcPr>
          <w:p>
            <w:pPr>
              <w:ind w:left="260"/>
              <w:spacing w:after="0"/>
              <w:rPr>
                <w:sz w:val="20"/>
                <w:szCs w:val="20"/>
                <w:color w:val="auto"/>
              </w:rPr>
            </w:pPr>
            <w:r>
              <w:rPr>
                <w:rFonts w:ascii="Courier New" w:cs="Courier New" w:eastAsia="Courier New" w:hAnsi="Courier New"/>
                <w:sz w:val="14"/>
                <w:szCs w:val="14"/>
                <w:color w:val="auto"/>
              </w:rPr>
              <w:t>Net Decrease in Book Overdrafts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7020" w:type="dxa"/>
            <w:vAlign w:val="bottom"/>
          </w:tcPr>
          <w:p>
            <w:pPr>
              <w:ind w:left="260"/>
              <w:spacing w:after="0"/>
              <w:rPr>
                <w:sz w:val="20"/>
                <w:szCs w:val="20"/>
                <w:color w:val="auto"/>
              </w:rPr>
            </w:pPr>
            <w:r>
              <w:rPr>
                <w:rFonts w:ascii="Courier New" w:cs="Courier New" w:eastAsia="Courier New" w:hAnsi="Courier New"/>
                <w:sz w:val="14"/>
                <w:szCs w:val="14"/>
                <w:color w:val="auto"/>
              </w:rPr>
              <w:t>Net Financing Activities for Discontinued Operations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Cash for Financing Activities</w:t>
            </w: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gridSpan w:val="7"/>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w:t>
            </w:r>
          </w:p>
        </w:tc>
      </w:tr>
      <w:tr>
        <w:trPr>
          <w:trHeight w:val="331"/>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BEGINNING OF PERIOD</w:t>
            </w:r>
          </w:p>
        </w:tc>
        <w:tc>
          <w:tcPr>
            <w:tcW w:w="2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44.8</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2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$46.4</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$75.0</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2007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ectPr>
          <w:pgSz w:w="11900" w:h="16838" w:orient="portrait"/>
          <w:cols w:equalWidth="0" w:num="1">
            <w:col w:w="10440"/>
          </w:cols>
          <w:pgMar w:left="220" w:top="782" w:right="1239" w:bottom="1440" w:gutter="0" w:footer="0" w:header="0"/>
        </w:sectPr>
      </w:pPr>
    </w:p>
    <w:bookmarkStart w:id="7" w:name="page8"/>
    <w:bookmarkEnd w:id="7"/>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accompanying unaudited consolidated financial statements and notes should be read in conjunction with our 2006 Form 10-K. In our opinion, all adjustments necessary for a fair statement of the results for the interim periods have been made and have occurred in the normal course of business. The results of operations for an interim period are not necessarily indicative of the results to be expected for the full year.</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1.</w:t>
        <w:tab/>
        <w:t>OPERATIONS AND SIGNIFICANT ACCOUNTING POLICIES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by the average cost method.</w:t>
      </w:r>
    </w:p>
    <w:p>
      <w:pPr>
        <w:spacing w:after="0" w:line="200" w:lineRule="exact"/>
        <w:rPr>
          <w:sz w:val="20"/>
          <w:szCs w:val="20"/>
          <w:color w:val="auto"/>
        </w:rPr>
      </w:pPr>
    </w:p>
    <w:p>
      <w:pPr>
        <w:spacing w:after="0" w:line="291" w:lineRule="exact"/>
        <w:rPr>
          <w:sz w:val="20"/>
          <w:szCs w:val="20"/>
          <w:color w:val="auto"/>
        </w:rPr>
      </w:pPr>
    </w:p>
    <w:p>
      <w:pPr>
        <w:ind w:left="4580"/>
        <w:spacing w:after="0"/>
        <w:tabs>
          <w:tab w:leader="none" w:pos="5760" w:val="left"/>
        </w:tabs>
        <w:rPr>
          <w:sz w:val="20"/>
          <w:szCs w:val="20"/>
          <w:color w:val="auto"/>
        </w:rPr>
      </w:pPr>
      <w:r>
        <w:rPr>
          <w:rFonts w:ascii="Courier New" w:cs="Courier New" w:eastAsia="Courier New" w:hAnsi="Courier New"/>
          <w:sz w:val="14"/>
          <w:szCs w:val="14"/>
          <w:color w:val="auto"/>
        </w:rPr>
        <w:t>MARCH 31,</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spacing w:after="0"/>
        <w:tabs>
          <w:tab w:leader="none" w:pos="4720" w:val="left"/>
          <w:tab w:leader="none" w:pos="6100" w:val="left"/>
        </w:tabs>
        <w:rPr>
          <w:sz w:val="20"/>
          <w:szCs w:val="20"/>
          <w:color w:val="auto"/>
        </w:rPr>
      </w:pPr>
      <w:r>
        <w:rPr>
          <w:rFonts w:ascii="Courier New" w:cs="Courier New" w:eastAsia="Courier New" w:hAnsi="Courier New"/>
          <w:sz w:val="14"/>
          <w:szCs w:val="14"/>
          <w:color w:val="auto"/>
        </w:rPr>
        <w:t>INVENTORIES</w:t>
      </w:r>
      <w:r>
        <w:rPr>
          <w:sz w:val="20"/>
          <w:szCs w:val="20"/>
          <w:color w:val="auto"/>
        </w:rPr>
        <w:tab/>
      </w: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Fuel</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$20.2</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Materials and Supplies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24.1</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24.5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Total Inventories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$44.3</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$43.4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SUPPLEMENTAL STATEMENT OF CASH FLOWS INFORMATION. Amounts presented for 2006 have been revised to eliminate intercompany interest payments from cash paid during the period for Interest - Net of Amounts Capitalized.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CONSOLIDATED STATEMENT OF CASH FLOWS</w:t>
            </w: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SUPPLEMENTAL DISCLOSURE</w:t>
            </w: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FOR THE QUARTER ENDED MARCH 31</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Cash Paid During the Period for</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Interest - Net of Amounts Capitalized</w:t>
            </w: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Income Taxes</w:t>
            </w:r>
          </w:p>
        </w:tc>
        <w:tc>
          <w:tcPr>
            <w:tcW w:w="2840" w:type="dxa"/>
            <w:vAlign w:val="bottom"/>
          </w:tcPr>
          <w:p>
            <w:pPr>
              <w:spacing w:after="0"/>
              <w:rPr>
                <w:sz w:val="14"/>
                <w:szCs w:val="14"/>
                <w:color w:val="auto"/>
              </w:rPr>
            </w:pP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33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Noncash Investing</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Accounts Payable for Capital Additions to</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Property</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w:t>
            </w: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NEW ACCOUNTING STANDARDS. SFAS 157. In September 2006, the FASB issued SFAS 157, "Fair Value Measurements," to increase consistency and comparability in fair value measurements by defining fair value, establishing a framework for measuring fair value in generally accepted accounting principles, and expanding disclosures about fair value measurements. SFAS 157 emphasizes that fair value is a market-based measurement, not an entity-specific measurement. It clarifies the extent to which fair value is used to measure recognized assets and liabilities, the inputs used to develop the measurements, and the effect of certain measurements on earnings for the period. SFAS 157 is effective for financial statements issued for fiscal years beginning after November 15, 2007, and is applied on a prospective basis. We are currently evaluating the impact that the adoption of SFAS 157 would have on our consolidated financial position, results of operations and cash flows.</w:t>
      </w:r>
    </w:p>
    <w:p>
      <w:pPr>
        <w:spacing w:after="0" w:line="32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SFAS 159. In February 2007, the FASB issued SFAS 159, "The Fair Value Option for Financial Assets and Financial Liabilities," which is an elective, irrevocable election to measure eligible financial instruments and certain other assets and liabilities at fair value on an instrument-by-instrument basis. The election may only be applied at specified election dates and to instruments in their entirety rather than to portions of instruments. Upon initial election, the entity reports the difference between the instruments' carrying value and their fair value as a cumulative-effect adjustment to the opening balance of retained earnings. At each subsequent reporting date, an entity shall report in earnings, unrealized gains and losses on items for which the fair value option has been elected. SFAS 159 is effective for financial statements issued for fiscal years beginning after November 15, 2007, and is applied on a prospective basis. Early adoption of SFAS 159 is permitted provided the entity also elects to adopt the provisions of SFAS 157 as of the early adoption date selected for SFAS 159. We are currently evaluating the impact that the adoption of SFAS 159 would have on our consolidated financial position, results of operations and cash flows.</w:t>
      </w:r>
    </w:p>
    <w:p>
      <w:pPr>
        <w:spacing w:after="0" w:line="17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ALLETE First Quarter 2007 Form 10-Q</w:t>
      </w:r>
    </w:p>
    <w:p>
      <w:pPr>
        <w:sectPr>
          <w:pgSz w:w="11900" w:h="16838" w:orient="portrait"/>
          <w:cols w:equalWidth="0" w:num="1">
            <w:col w:w="10239"/>
          </w:cols>
          <w:pgMar w:left="220" w:top="616" w:right="1440" w:bottom="1440" w:gutter="0" w:footer="0" w:header="0"/>
        </w:sectPr>
      </w:pPr>
    </w:p>
    <w:bookmarkStart w:id="8" w:name="page9"/>
    <w:bookmarkEnd w:id="8"/>
    <w:p>
      <w:pPr>
        <w:spacing w:after="0"/>
        <w:tabs>
          <w:tab w:leader="none" w:pos="840" w:val="left"/>
        </w:tabs>
        <w:rPr>
          <w:sz w:val="20"/>
          <w:szCs w:val="20"/>
          <w:color w:val="auto"/>
        </w:rPr>
      </w:pPr>
      <w:r>
        <w:rPr>
          <w:rFonts w:ascii="Courier New" w:cs="Courier New" w:eastAsia="Courier New" w:hAnsi="Courier New"/>
          <w:sz w:val="14"/>
          <w:szCs w:val="14"/>
          <w:color w:val="auto"/>
        </w:rPr>
        <w:t>NOTE 2.</w:t>
        <w:tab/>
        <w:t>BUSINESS SEGMENTS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ENERGY</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4740"/>
        <w:spacing w:after="0"/>
        <w:tabs>
          <w:tab w:leader="none" w:pos="5940" w:val="left"/>
          <w:tab w:leader="none" w:pos="6960" w:val="left"/>
          <w:tab w:leader="none" w:pos="834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280"/>
        <w:spacing w:after="0"/>
        <w:tabs>
          <w:tab w:leader="none" w:pos="4820" w:val="left"/>
          <w:tab w:leader="none" w:pos="5760" w:val="left"/>
          <w:tab w:leader="none" w:pos="7140" w:val="left"/>
          <w:tab w:leader="none" w:pos="8260" w:val="left"/>
          <w:tab w:leader="none" w:pos="938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IN ATC</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FOR THE QUARTER ENDED MARCH 31, 2007</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$205.3</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$180.2</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77.7</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56.9</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41.3</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and Income Taxes</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42.5</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42.4</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16.1</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26.3</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$ 18.8</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$ 0.4</w:t>
            </w:r>
          </w:p>
        </w:tc>
      </w:tr>
      <w:tr>
        <w:trPr>
          <w:trHeight w:val="166"/>
        </w:trPr>
        <w:tc>
          <w:tcPr>
            <w:tcW w:w="3240" w:type="dxa"/>
            <w:vAlign w:val="bottom"/>
          </w:tcPr>
          <w:p>
            <w:pPr>
              <w:spacing w:after="0"/>
              <w:rPr>
                <w:sz w:val="14"/>
                <w:szCs w:val="14"/>
                <w:color w:val="auto"/>
              </w:rPr>
            </w:pPr>
          </w:p>
        </w:tc>
        <w:tc>
          <w:tcPr>
            <w:tcW w:w="71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Loss from</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 - Net</w:t>
            </w: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of Tax</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$ 26.3</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AT MARCH 31, 2007</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$1,560.1</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8"/>
              </w:rPr>
              <w:t>$1,182.8</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79.5</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$90.6</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$143.5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$933.0</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$880.5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49.0</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$817.5</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$775.7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40.1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$21.9</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$21.9</w:t>
            </w:r>
          </w:p>
        </w:tc>
        <w:tc>
          <w:tcPr>
            <w:tcW w:w="46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FOR THE QUARTER ENDED MARCH 31, 2006</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$192.5</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$162.4</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16.3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69.4</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69.4</w:t>
            </w:r>
          </w:p>
        </w:tc>
        <w:tc>
          <w:tcPr>
            <w:tcW w:w="46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74.5</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55.8</w:t>
            </w:r>
          </w:p>
        </w:tc>
        <w:tc>
          <w:tcPr>
            <w:tcW w:w="46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14.1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12.2</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11.1</w:t>
            </w:r>
          </w:p>
        </w:tc>
        <w:tc>
          <w:tcPr>
            <w:tcW w:w="46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36.4</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(0.5)</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Operations</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and Income Taxes</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31.7</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Operations</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30.4</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0.9</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520"/>
          </w:cols>
          <w:pgMar w:left="220" w:top="616" w:right="1159"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 from Continuing</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Operations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tabs>
          <w:tab w:leader="none" w:pos="1100" w:val="left"/>
          <w:tab w:leader="none" w:pos="2220" w:val="left"/>
          <w:tab w:leader="none" w:pos="2480" w:val="left"/>
          <w:tab w:leader="none" w:pos="3760" w:val="left"/>
          <w:tab w:leader="none" w:pos="4620" w:val="left"/>
          <w:tab w:leader="none" w:pos="5660" w:val="left"/>
        </w:tabs>
        <w:rPr>
          <w:sz w:val="20"/>
          <w:szCs w:val="20"/>
          <w:color w:val="auto"/>
        </w:rPr>
      </w:pPr>
      <w:r>
        <w:rPr>
          <w:rFonts w:ascii="Courier New" w:cs="Courier New" w:eastAsia="Courier New" w:hAnsi="Courier New"/>
          <w:sz w:val="14"/>
          <w:szCs w:val="14"/>
          <w:color w:val="auto"/>
        </w:rPr>
        <w:t>18.8</w:t>
      </w:r>
      <w:r>
        <w:rPr>
          <w:sz w:val="20"/>
          <w:szCs w:val="20"/>
          <w:color w:val="auto"/>
        </w:rPr>
        <w:tab/>
      </w:r>
      <w:r>
        <w:rPr>
          <w:rFonts w:ascii="Courier New" w:cs="Courier New" w:eastAsia="Courier New" w:hAnsi="Courier New"/>
          <w:sz w:val="14"/>
          <w:szCs w:val="14"/>
          <w:color w:val="auto"/>
        </w:rPr>
        <w:t>$ 13.0</w:t>
      </w:r>
      <w:r>
        <w:rPr>
          <w:sz w:val="20"/>
          <w:szCs w:val="20"/>
          <w:color w:val="auto"/>
        </w:rPr>
        <w:tab/>
      </w:r>
      <w:r>
        <w:rPr>
          <w:rFonts w:ascii="Courier New" w:cs="Courier New" w:eastAsia="Courier New" w:hAnsi="Courier New"/>
          <w:sz w:val="14"/>
          <w:szCs w:val="14"/>
          <w:color w:val="auto"/>
        </w:rPr>
        <w:t>$</w:t>
        <w:tab/>
        <w:t>0.9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$ 5.0</w:t>
      </w:r>
      <w:r>
        <w:rPr>
          <w:sz w:val="20"/>
          <w:szCs w:val="20"/>
          <w:color w:val="auto"/>
        </w:rPr>
        <w:tab/>
      </w:r>
      <w:r>
        <w:rPr>
          <w:rFonts w:ascii="Courier New" w:cs="Courier New" w:eastAsia="Courier New" w:hAnsi="Courier New"/>
          <w:sz w:val="14"/>
          <w:szCs w:val="14"/>
          <w:color w:val="auto"/>
        </w:rPr>
        <w:t>$(0.1)</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3000" w:space="720"/>
            <w:col w:w="6800"/>
          </w:cols>
          <w:pgMar w:left="220" w:top="616" w:right="115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Loss from</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Discontinued Operations - Net</w:t>
      </w:r>
    </w:p>
    <w:p>
      <w:pPr>
        <w:spacing w:after="0" w:line="7" w:lineRule="exact"/>
        <w:rPr>
          <w:sz w:val="20"/>
          <w:szCs w:val="20"/>
          <w:color w:val="auto"/>
        </w:rPr>
      </w:pPr>
    </w:p>
    <w:p>
      <w:pPr>
        <w:ind w:left="360"/>
        <w:spacing w:after="0"/>
        <w:tabs>
          <w:tab w:leader="none" w:pos="3960" w:val="left"/>
        </w:tabs>
        <w:rPr>
          <w:sz w:val="20"/>
          <w:szCs w:val="20"/>
          <w:color w:val="auto"/>
        </w:rPr>
      </w:pPr>
      <w:r>
        <w:rPr>
          <w:rFonts w:ascii="Courier New" w:cs="Courier New" w:eastAsia="Courier New" w:hAnsi="Courier New"/>
          <w:sz w:val="14"/>
          <w:szCs w:val="14"/>
          <w:color w:val="auto"/>
        </w:rPr>
        <w:t>of Tax</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$ 18.8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520"/>
          </w:cols>
          <w:pgMar w:left="220" w:top="616" w:right="115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AT MARCH 31, 2006</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$1,404.0</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$974.3</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$105.2</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$254.1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$862.3</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$803.2</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$54.3</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$797.5</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$760.8</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$13.3</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5660" w:type="dxa"/>
            <w:vAlign w:val="bottom"/>
            <w:gridSpan w:val="3"/>
          </w:tcPr>
          <w:p>
            <w:pPr>
              <w:ind w:left="1900"/>
              <w:spacing w:after="0"/>
              <w:rPr>
                <w:sz w:val="20"/>
                <w:szCs w:val="20"/>
                <w:color w:val="auto"/>
              </w:rPr>
            </w:pPr>
            <w:r>
              <w:rPr>
                <w:rFonts w:ascii="Courier New" w:cs="Courier New" w:eastAsia="Courier New" w:hAnsi="Courier New"/>
                <w:sz w:val="14"/>
                <w:szCs w:val="14"/>
                <w:color w:val="auto"/>
              </w:rPr>
              <w:t>ALLETE First Quarter 2007 Form 10-Q</w:t>
            </w:r>
          </w:p>
        </w:tc>
        <w:tc>
          <w:tcPr>
            <w:tcW w:w="980" w:type="dxa"/>
            <w:vAlign w:val="bottom"/>
          </w:tcPr>
          <w:p>
            <w:pPr>
              <w:spacing w:after="0"/>
              <w:rPr>
                <w:sz w:val="24"/>
                <w:szCs w:val="24"/>
                <w:color w:val="auto"/>
              </w:rPr>
            </w:pPr>
          </w:p>
        </w:tc>
        <w:tc>
          <w:tcPr>
            <w:tcW w:w="1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10" w:name="page11"/>
    <w:bookmarkEnd w:id="10"/>
    <w:p>
      <w:pPr>
        <w:spacing w:after="0"/>
        <w:tabs>
          <w:tab w:leader="none" w:pos="94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INVESTMENTS</w:t>
      </w:r>
    </w:p>
    <w:p>
      <w:pPr>
        <w:spacing w:after="0" w:line="17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SHORT-TERM INVESTMENTS. At March 31, 2007 and December 31, 2006, we held $82.1 million and $104.5 million, respectively, of Short-Term investments, consisting of auction rate bonds and variable rate demand notes classified as available-for-sale securities. Our investments in these securities are recorded at cost; however, their cost approximates fair value because the variable interest rates for these securities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w:t>
      </w:r>
    </w:p>
    <w:p>
      <w:pPr>
        <w:spacing w:after="0" w:line="163"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4"/>
          <w:szCs w:val="14"/>
          <w:color w:val="auto"/>
        </w:rPr>
        <w:t>LONG-TERM INVESTMENTS. At March 31, 2007, Investments included the real estate assets of ALLETE Properties, our investment in ATC, debt and equity securities consisting primarily of securities held to fund employee benefits and our emerging technology investments.</w:t>
      </w:r>
    </w:p>
    <w:p>
      <w:pPr>
        <w:spacing w:after="0" w:line="162"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4"/>
          <w:szCs w:val="14"/>
          <w:color w:val="auto"/>
        </w:rPr>
        <w:t>We account for our investment in ATC under the equity method of accounting, pursuant to EITF 03-16, "Accounting for Investments in Limited Liability Companies," which requires the use of the equity method of accounting for investments in limited liability companies.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4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MARCH 31,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42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Real</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Estate Assets</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$ 90.6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$ 89.8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43.4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166"/>
        </w:trPr>
        <w:tc>
          <w:tcPr>
            <w:tcW w:w="4660" w:type="dxa"/>
            <w:vAlign w:val="bottom"/>
            <w:gridSpan w:val="3"/>
          </w:tcPr>
          <w:p>
            <w:pPr>
              <w:spacing w:after="0"/>
              <w:rPr>
                <w:sz w:val="20"/>
                <w:szCs w:val="20"/>
                <w:color w:val="auto"/>
              </w:rPr>
            </w:pPr>
            <w:r>
              <w:rPr>
                <w:rFonts w:ascii="Courier New" w:cs="Courier New" w:eastAsia="Courier New" w:hAnsi="Courier New"/>
                <w:sz w:val="14"/>
                <w:szCs w:val="14"/>
                <w:color w:val="auto"/>
              </w:rPr>
              <w:t>Investment in ATC</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63.7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53.7</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Emerging</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Technology Investments</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Total Investments</w:t>
            </w:r>
          </w:p>
        </w:tc>
        <w:tc>
          <w:tcPr>
            <w:tcW w:w="39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$206.7</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$189.1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960" w:type="dxa"/>
            <w:vAlign w:val="bottom"/>
          </w:tcPr>
          <w:p>
            <w:pPr>
              <w:ind w:left="2440"/>
              <w:spacing w:after="0"/>
              <w:rPr>
                <w:sz w:val="20"/>
                <w:szCs w:val="20"/>
                <w:color w:val="auto"/>
              </w:rPr>
            </w:pPr>
            <w:r>
              <w:rPr>
                <w:rFonts w:ascii="Courier New" w:cs="Courier New" w:eastAsia="Courier New" w:hAnsi="Courier New"/>
                <w:sz w:val="14"/>
                <w:szCs w:val="14"/>
                <w:color w:val="auto"/>
              </w:rPr>
              <w:t>MARCH 31,</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REAL ESTATE ASSETS</w:t>
            </w:r>
          </w:p>
        </w:tc>
        <w:tc>
          <w:tcPr>
            <w:tcW w:w="39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2007</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Land Held for</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Sale Beginning Balance</w:t>
            </w:r>
          </w:p>
        </w:tc>
        <w:tc>
          <w:tcPr>
            <w:tcW w:w="24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$58.0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during period:Capitalized Improvements</w:t>
            </w:r>
          </w:p>
        </w:tc>
        <w:tc>
          <w:tcPr>
            <w:tcW w:w="24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2.8</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w:t>
            </w:r>
          </w:p>
        </w:tc>
      </w:tr>
      <w:tr>
        <w:trPr>
          <w:trHeight w:val="166"/>
        </w:trPr>
        <w:tc>
          <w:tcPr>
            <w:tcW w:w="1180" w:type="dxa"/>
            <w:vAlign w:val="bottom"/>
          </w:tcPr>
          <w:p>
            <w:pPr>
              <w:spacing w:after="0"/>
              <w:rPr>
                <w:sz w:val="14"/>
                <w:szCs w:val="14"/>
                <w:color w:val="auto"/>
              </w:rPr>
            </w:pPr>
          </w:p>
        </w:tc>
        <w:tc>
          <w:tcPr>
            <w:tcW w:w="4520" w:type="dxa"/>
            <w:vAlign w:val="bottom"/>
          </w:tcPr>
          <w:p>
            <w:pPr>
              <w:ind w:left="1240"/>
              <w:spacing w:after="0"/>
              <w:rPr>
                <w:sz w:val="20"/>
                <w:szCs w:val="20"/>
                <w:color w:val="auto"/>
              </w:rPr>
            </w:pPr>
            <w:r>
              <w:rPr>
                <w:rFonts w:ascii="Courier New" w:cs="Courier New" w:eastAsia="Courier New" w:hAnsi="Courier New"/>
                <w:sz w:val="14"/>
                <w:szCs w:val="14"/>
                <w:color w:val="auto"/>
              </w:rPr>
              <w:t>Purchases</w:t>
            </w:r>
          </w:p>
        </w:tc>
        <w:tc>
          <w:tcPr>
            <w:tcW w:w="24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57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Deductions during period: Cost of Real Estate Sold</w:t>
            </w:r>
          </w:p>
        </w:tc>
        <w:tc>
          <w:tcPr>
            <w:tcW w:w="24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Land Held for Sale Ending Balance</w:t>
            </w:r>
          </w:p>
        </w:tc>
        <w:tc>
          <w:tcPr>
            <w:tcW w:w="3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59.9</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58.0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Long-Term Finance Receivables</w:t>
            </w:r>
          </w:p>
        </w:tc>
        <w:tc>
          <w:tcPr>
            <w:tcW w:w="3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3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13.6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Real Estate Assets</w:t>
            </w: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$90.6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$89.8</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Consisted primarily of a shopping center.</w:t>
      </w:r>
    </w:p>
    <w:p>
      <w:pPr>
        <w:spacing w:after="0" w:line="200" w:lineRule="exact"/>
        <w:rPr>
          <w:sz w:val="20"/>
          <w:szCs w:val="20"/>
          <w:color w:val="auto"/>
        </w:rPr>
      </w:pPr>
    </w:p>
    <w:p>
      <w:pPr>
        <w:spacing w:after="0" w:line="304"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4"/>
          <w:szCs w:val="14"/>
          <w:color w:val="auto"/>
        </w:rPr>
        <w:t>Finance receivables have maturities ranging up to 7 years, accrue interest at market-based rates and are net of an allowance for doubtful accounts of $0.2 million at March 31, 2007 ($0.2 million at December 31, 2006).</w:t>
      </w:r>
    </w:p>
    <w:p>
      <w:pPr>
        <w:spacing w:after="0" w:line="16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INVESTMENT IN ATC. In December 2005, we entered into an agreement with Wisconsin Public Service Corporation and WPS Investments, LLC that provides for our Wisconsin subsidiary, Rainy River Energy Corporation - Wisconsin, to invest $60 million in ATC. In May 2006, the PSCW reviewed and approved the request that allowed Rainy River Energy to invest in ATC. In 2007, we invested an additional $8.7 million ($51.4 million invested through December 31, 2006) in ATC, reaching our approximate $60 million investment commitment. As of March 31, 2007, our equity investment balance in ATC was $63.7 million ($53.7 million at December 31, 2006), representing an 8.5 percent ownership interest.</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ALLETE First Quarter 2007 Form 10-Q</w:t>
      </w:r>
    </w:p>
    <w:p>
      <w:pPr>
        <w:sectPr>
          <w:pgSz w:w="11900" w:h="16838" w:orient="portrait"/>
          <w:cols w:equalWidth="0" w:num="1">
            <w:col w:w="10260"/>
          </w:cols>
          <w:pgMar w:left="220" w:top="616" w:right="1419" w:bottom="1440" w:gutter="0" w:footer="0" w:header="0"/>
        </w:sectPr>
      </w:pPr>
    </w:p>
    <w:bookmarkStart w:id="11" w:name="page12"/>
    <w:bookmarkEnd w:id="11"/>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SHORT-TERM AND LONG-TERM DEBT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February 1, 2007, we issued $60 million in principal amount of First Mortgage</w:t>
      </w:r>
    </w:p>
    <w:p>
      <w:pPr>
        <w:spacing w:after="0" w:line="7" w:lineRule="exact"/>
        <w:rPr>
          <w:sz w:val="20"/>
          <w:szCs w:val="20"/>
          <w:color w:val="auto"/>
        </w:rPr>
      </w:pPr>
    </w:p>
    <w:p>
      <w:pPr>
        <w:spacing w:after="0"/>
        <w:tabs>
          <w:tab w:leader="none" w:pos="680" w:val="left"/>
          <w:tab w:leader="none" w:pos="1280" w:val="left"/>
          <w:tab w:leader="none" w:pos="2320" w:val="left"/>
          <w:tab w:leader="none" w:pos="3960" w:val="left"/>
          <w:tab w:leader="none" w:pos="5320" w:val="left"/>
          <w:tab w:leader="none" w:pos="6280" w:val="left"/>
        </w:tabs>
        <w:rPr>
          <w:sz w:val="20"/>
          <w:szCs w:val="20"/>
          <w:color w:val="auto"/>
        </w:rPr>
      </w:pPr>
      <w:r>
        <w:rPr>
          <w:rFonts w:ascii="Courier New" w:cs="Courier New" w:eastAsia="Courier New" w:hAnsi="Courier New"/>
          <w:sz w:val="14"/>
          <w:szCs w:val="14"/>
          <w:color w:val="auto"/>
        </w:rPr>
        <w:t>Bonds,</w:t>
        <w:tab/>
        <w:t>5.99%</w:t>
        <w:tab/>
        <w:t>Series due</w:t>
        <w:tab/>
        <w:t>February 1, 2027,</w:t>
        <w:tab/>
        <w:t>in the private</w:t>
        <w:tab/>
        <w:t>placement</w:t>
        <w:tab/>
        <w:t>market.</w:t>
      </w:r>
    </w:p>
    <w:p>
      <w:pPr>
        <w:spacing w:after="0" w:line="7" w:lineRule="exact"/>
        <w:rPr>
          <w:sz w:val="20"/>
          <w:szCs w:val="20"/>
          <w:color w:val="auto"/>
        </w:rPr>
      </w:pPr>
    </w:p>
    <w:p>
      <w:pPr>
        <w:spacing w:after="0"/>
        <w:tabs>
          <w:tab w:leader="none" w:pos="4720" w:val="left"/>
          <w:tab w:leader="none" w:pos="6200" w:val="left"/>
        </w:tabs>
        <w:rPr>
          <w:sz w:val="20"/>
          <w:szCs w:val="20"/>
          <w:color w:val="auto"/>
        </w:rPr>
      </w:pPr>
      <w:r>
        <w:rPr>
          <w:rFonts w:ascii="Courier New" w:cs="Courier New" w:eastAsia="Courier New" w:hAnsi="Courier New"/>
          <w:sz w:val="14"/>
          <w:szCs w:val="14"/>
          <w:color w:val="auto"/>
        </w:rPr>
        <w:t>Proceeds were used to retire $60 million in principal</w:t>
        <w:tab/>
        <w:t>amount of First</w:t>
        <w:tab/>
        <w:t>Mortgage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Bonds, 7% Series due on February 15, 2007.</w:t>
      </w:r>
    </w:p>
    <w:p>
      <w:pPr>
        <w:spacing w:after="0" w:line="33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OTHER INCOME (EXPENSE)</w:t>
      </w:r>
    </w:p>
    <w:p>
      <w:pPr>
        <w:spacing w:after="0" w:line="338" w:lineRule="exact"/>
        <w:rPr>
          <w:sz w:val="20"/>
          <w:szCs w:val="20"/>
          <w:color w:val="auto"/>
        </w:rPr>
      </w:pPr>
    </w:p>
    <w:p>
      <w:pPr>
        <w:jc w:val="center"/>
        <w:ind w:left="500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left="500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7080"/>
        <w:spacing w:after="0"/>
        <w:tabs>
          <w:tab w:leader="none" w:pos="894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Loss on Emerging Technology Investments</w:t>
            </w:r>
          </w:p>
        </w:tc>
        <w:tc>
          <w:tcPr>
            <w:tcW w:w="2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Income from Investment in ATC (See Note 3)</w:t>
            </w:r>
          </w:p>
        </w:tc>
        <w:tc>
          <w:tcPr>
            <w:tcW w:w="2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Investment and Other Income</w:t>
            </w:r>
          </w:p>
        </w:tc>
        <w:tc>
          <w:tcPr>
            <w:tcW w:w="2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Other Income</w:t>
            </w:r>
          </w:p>
        </w:tc>
        <w:tc>
          <w:tcPr>
            <w:tcW w:w="3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$ 7.5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INCOME TAX EXPENSE</w:t>
      </w:r>
    </w:p>
    <w:p>
      <w:pPr>
        <w:spacing w:after="0" w:line="338" w:lineRule="exact"/>
        <w:rPr>
          <w:sz w:val="20"/>
          <w:szCs w:val="20"/>
          <w:color w:val="auto"/>
        </w:rPr>
      </w:pPr>
    </w:p>
    <w:p>
      <w:pPr>
        <w:jc w:val="center"/>
        <w:ind w:left="500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left="500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7080"/>
        <w:spacing w:after="0"/>
        <w:tabs>
          <w:tab w:leader="none" w:pos="894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38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38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38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80"/>
        <w:spacing w:after="0"/>
        <w:tabs>
          <w:tab w:leader="none" w:pos="8940" w:val="left"/>
        </w:tabs>
        <w:rPr>
          <w:sz w:val="20"/>
          <w:szCs w:val="20"/>
          <w:color w:val="auto"/>
        </w:rPr>
      </w:pPr>
      <w:r>
        <w:rPr>
          <w:rFonts w:ascii="Courier New" w:cs="Courier New" w:eastAsia="Courier New" w:hAnsi="Courier New"/>
          <w:sz w:val="14"/>
          <w:szCs w:val="14"/>
          <w:color w:val="auto"/>
        </w:rPr>
        <w:t>15.8</w:t>
      </w:r>
      <w:r>
        <w:rPr>
          <w:sz w:val="20"/>
          <w:szCs w:val="20"/>
          <w:color w:val="auto"/>
        </w:rPr>
        <w:tab/>
      </w:r>
      <w:r>
        <w:rPr>
          <w:rFonts w:ascii="Courier New" w:cs="Courier New" w:eastAsia="Courier New" w:hAnsi="Courier New"/>
          <w:sz w:val="14"/>
          <w:szCs w:val="14"/>
          <w:color w:val="auto"/>
        </w:rPr>
        <w:t>13.3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Deferred Tax Expense (Benefit)</w:t>
            </w:r>
          </w:p>
        </w:tc>
        <w:tc>
          <w:tcPr>
            <w:tcW w:w="3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3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3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160"/>
        <w:spacing w:after="0"/>
        <w:tabs>
          <w:tab w:leader="none" w:pos="8940" w:val="left"/>
        </w:tabs>
        <w:rPr>
          <w:sz w:val="20"/>
          <w:szCs w:val="20"/>
          <w:color w:val="auto"/>
        </w:rPr>
      </w:pPr>
      <w:r>
        <w:rPr>
          <w:rFonts w:ascii="Courier New" w:cs="Courier New" w:eastAsia="Courier New" w:hAnsi="Courier New"/>
          <w:sz w:val="14"/>
          <w:szCs w:val="14"/>
          <w:color w:val="auto"/>
        </w:rPr>
        <w:t>0.6</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Deferred Tax Credits</w:t>
            </w:r>
          </w:p>
        </w:tc>
        <w:tc>
          <w:tcPr>
            <w:tcW w:w="38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Income Tax</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Expense from</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16.1</w:t>
            </w: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11.6</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Income Tax</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Benefit from</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2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gridSpan w:val="4"/>
          </w:tcPr>
          <w:p>
            <w:pPr>
              <w:spacing w:after="0"/>
              <w:rPr>
                <w:sz w:val="20"/>
                <w:szCs w:val="20"/>
                <w:color w:val="auto"/>
              </w:rPr>
            </w:pPr>
            <w:r>
              <w:rPr>
                <w:rFonts w:ascii="Courier New" w:cs="Courier New" w:eastAsia="Courier New" w:hAnsi="Courier New"/>
                <w:sz w:val="14"/>
                <w:szCs w:val="14"/>
                <w:color w:val="auto"/>
              </w:rPr>
              <w:t>Total Income Tax Expense</w:t>
            </w:r>
          </w:p>
        </w:tc>
        <w:tc>
          <w:tcPr>
            <w:tcW w:w="2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$16.1</w:t>
            </w: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ended March 31, 2007, the effective tax rate on income from continuing operations before minority interest was 37.9 percent (36.6 percent for the quarter ended March 31, 2006). The effective tax rate of 37.9 percent for the quarter ended March 31, 2007, deviated from the statutory rate, primarily due to deductions for Medicare health subsidies, domestic manufacturing deduction, allowance for funds used during construction and depletion.</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UNCERTAIN TAX POSITIONS. Effective January 1, 2007, we adopted the provisions of FIN 48, "Accounting for Uncertainty in Income Taxes - an Interpretation of FASB Statement No. 109." As a result of the implementation of FIN 48, we recognized a $1.0 million increase in the liability for unrecognized tax benefits. The adoption of FIN 48 also resulted in a reduction in retained earnings of $0.7 million, a reduction of deferred tax liabilities of $0.8 million and an increase in accrued interest of $0.5 million. Subsequent to the implementation of FIN 48, ALLETE's gross unrecognized tax benefits were $10.4 million. Of this total, $6.8 million (net of federal tax benefit on state issues) represents the amount of unrecognized tax benefits that, if recognized, would favorably affect the effective income tax rate.</w:t>
      </w:r>
    </w:p>
    <w:p>
      <w:pPr>
        <w:spacing w:after="0" w:line="16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2007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ectPr>
          <w:pgSz w:w="11900" w:h="16838" w:orient="portrait"/>
          <w:cols w:equalWidth="0" w:num="1">
            <w:col w:w="10239"/>
          </w:cols>
          <w:pgMar w:left="220" w:top="616" w:right="1440" w:bottom="1440" w:gutter="0" w:footer="0" w:header="0"/>
        </w:sectPr>
      </w:pPr>
    </w:p>
    <w:bookmarkStart w:id="12" w:name="page13"/>
    <w:bookmarkEnd w:id="12"/>
    <w:p>
      <w:pPr>
        <w:spacing w:after="0"/>
        <w:tabs>
          <w:tab w:leader="none" w:pos="102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INCOME TAX EXPENSE (CONTINUED)</w:t>
      </w:r>
    </w:p>
    <w:p>
      <w:pPr>
        <w:spacing w:after="0" w:line="17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Included in the liability for unrecognized tax benefits balance as of January 1, 2007, are $0.8 million (net of federal tax benefit on state issues) of tax positions for which the ultimate deductibility is highly certain, but for which there is uncertainty about the timing of deductibility. Due to the impact of deferred tax accounting, other than the accounting for interest and penalties, the disallowance of the shorter deductibility period would not affect the annual effective tax rate. The disallowance would, however, accelerate the payment of cash to the taxing authority to an earlier period.</w:t>
      </w:r>
    </w:p>
    <w:p>
      <w:pPr>
        <w:spacing w:after="0" w:line="164"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We recognize interest related to unrecognized tax benefits in interest expense and penalties in operating expenses in the Consolidated Statement of Income. As of January 1, 2007, the Company had $1.3 million of accrued interest and $0 of accrued penalties related to unrecognized tax benefits included in the Consolidated Balance Sheet. The liability for the payment of interest and penalties did not materially change as of March 31, 2007.</w:t>
      </w:r>
    </w:p>
    <w:p>
      <w:pPr>
        <w:spacing w:after="0" w:line="164"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4"/>
          <w:szCs w:val="14"/>
          <w:color w:val="auto"/>
        </w:rPr>
        <w:t>We, along with our subsidiaries, file income tax returns in the U.S. federal and various state jurisdictions. With few exceptions, ALLETE is no longer subject to federal examination for years before 2003 or state examinations for years before 2001.</w:t>
      </w:r>
    </w:p>
    <w:p>
      <w:pPr>
        <w:spacing w:after="0" w:line="162" w:lineRule="exact"/>
        <w:rPr>
          <w:sz w:val="20"/>
          <w:szCs w:val="20"/>
          <w:color w:val="auto"/>
        </w:rPr>
      </w:pPr>
    </w:p>
    <w:p>
      <w:pPr>
        <w:jc w:val="both"/>
        <w:ind w:right="3360"/>
        <w:spacing w:after="0" w:line="253" w:lineRule="auto"/>
        <w:rPr>
          <w:sz w:val="20"/>
          <w:szCs w:val="20"/>
          <w:color w:val="auto"/>
        </w:rPr>
      </w:pPr>
      <w:r>
        <w:rPr>
          <w:rFonts w:ascii="Courier New" w:cs="Courier New" w:eastAsia="Courier New" w:hAnsi="Courier New"/>
          <w:sz w:val="14"/>
          <w:szCs w:val="14"/>
          <w:color w:val="auto"/>
        </w:rPr>
        <w:t>We expect that the amount of unrecognized tax benefits as of January 1, 2007, will change in the next 12 months; however, we do not expect the change to have a significant impact on our financial position, results of operations or cash flows.</w:t>
      </w:r>
    </w:p>
    <w:p>
      <w:pPr>
        <w:spacing w:after="0" w:line="200" w:lineRule="exact"/>
        <w:rPr>
          <w:sz w:val="20"/>
          <w:szCs w:val="20"/>
          <w:color w:val="auto"/>
        </w:rPr>
      </w:pPr>
    </w:p>
    <w:p>
      <w:pPr>
        <w:spacing w:after="0" w:line="29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COMPREHENSIVE INCOME (LOSS)</w:t>
      </w:r>
    </w:p>
    <w:p>
      <w:pPr>
        <w:spacing w:after="0" w:line="17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For the quarter ended March 31, 2007, total comprehensive income (loss), net of tax, was $26.5 million ($19.1 million for the quarter ended March 31, 2006). Total comprehensive income (loss) includes net income (loss), unrealized gains and losses on securities classified as available-for-sale, and our unfunded pension liabilities.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2680" w:type="dxa"/>
            <w:vAlign w:val="bottom"/>
          </w:tcPr>
          <w:p>
            <w:pPr>
              <w:spacing w:after="0"/>
              <w:rPr>
                <w:sz w:val="14"/>
                <w:szCs w:val="14"/>
                <w:color w:val="auto"/>
              </w:rPr>
            </w:pPr>
          </w:p>
        </w:tc>
        <w:tc>
          <w:tcPr>
            <w:tcW w:w="20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(LOSS) - NET OF TAX</w:t>
            </w:r>
          </w:p>
        </w:tc>
        <w:tc>
          <w:tcPr>
            <w:tcW w:w="2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2007</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Gain on Securities</w:t>
            </w:r>
          </w:p>
        </w:tc>
        <w:tc>
          <w:tcPr>
            <w:tcW w:w="24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  4.2</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w:t>
            </w: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Defined Benefit Pension and Other Postretirement Plans</w:t>
            </w:r>
          </w:p>
        </w:tc>
        <w:tc>
          <w:tcPr>
            <w:tcW w:w="2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(12.8)</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0"/>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Pension Liability</w:t>
            </w:r>
          </w:p>
        </w:tc>
        <w:tc>
          <w:tcPr>
            <w:tcW w:w="24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540" w:val="left"/>
          <w:tab w:leader="none" w:pos="8940" w:val="left"/>
        </w:tabs>
        <w:rPr>
          <w:sz w:val="20"/>
          <w:szCs w:val="20"/>
          <w:color w:val="auto"/>
        </w:rPr>
      </w:pPr>
      <w:r>
        <w:rPr>
          <w:rFonts w:ascii="Courier New" w:cs="Courier New" w:eastAsia="Courier New" w:hAnsi="Courier New"/>
          <w:sz w:val="14"/>
          <w:szCs w:val="14"/>
          <w:color w:val="auto"/>
        </w:rPr>
        <w:t>Total Accumulated Other Comprehensive Loss</w:t>
      </w:r>
      <w:r>
        <w:rPr>
          <w:sz w:val="20"/>
          <w:szCs w:val="20"/>
          <w:color w:val="auto"/>
        </w:rPr>
        <w:tab/>
      </w:r>
      <w:r>
        <w:rPr>
          <w:rFonts w:ascii="Courier New" w:cs="Courier New" w:eastAsia="Courier New" w:hAnsi="Courier New"/>
          <w:sz w:val="14"/>
          <w:szCs w:val="14"/>
          <w:color w:val="auto"/>
        </w:rPr>
        <w:t>$ (8.6)</w:t>
      </w:r>
      <w:r>
        <w:rPr>
          <w:sz w:val="20"/>
          <w:szCs w:val="20"/>
          <w:color w:val="auto"/>
        </w:rPr>
        <w:tab/>
      </w:r>
      <w:r>
        <w:rPr>
          <w:rFonts w:ascii="Courier New" w:cs="Courier New" w:eastAsia="Courier New" w:hAnsi="Courier New"/>
          <w:sz w:val="14"/>
          <w:szCs w:val="14"/>
          <w:color w:val="auto"/>
        </w:rPr>
        <w:t>$(12.5)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60"/>
          </w:cols>
          <w:pgMar w:left="220" w:top="616" w:right="141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First Quarter 2007 Form 10-Q</w:t>
      </w:r>
    </w:p>
    <w:p>
      <w:pPr>
        <w:sectPr>
          <w:pgSz w:w="11900" w:h="16838" w:orient="portrait"/>
          <w:cols w:equalWidth="0" w:num="2">
            <w:col w:w="1260" w:space="720"/>
            <w:col w:w="8280"/>
          </w:cols>
          <w:pgMar w:left="220" w:top="616" w:right="1419" w:bottom="1440" w:gutter="0" w:footer="0" w:header="0"/>
          <w:type w:val="continuous"/>
        </w:sectPr>
      </w:pPr>
    </w:p>
    <w:bookmarkStart w:id="13" w:name="page14"/>
    <w:bookmarkEnd w:id="13"/>
    <w:p>
      <w:pPr>
        <w:spacing w:after="0"/>
        <w:tabs>
          <w:tab w:leader="none" w:pos="102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The difference between basic and diluted earnings per share arises from outstanding stock options and performance share awards granted under our Executive and Director Long-Term Incentive Compensation Plans. In accordance with SFAS 128, "Earnings Per Share," for the quarter ended March 31, 2007, 0.1 million options to purchase shares of common stock were excluded from the computation of diluted earnings per share because the option exercise prices were greater than the average market prices, and therefore, their effect would be anti-dilutive. For the quarter ended March 31, 2006, no options to purchase shares of common stock were excluded from the computation of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80"/>
        <w:spacing w:after="0"/>
        <w:tabs>
          <w:tab w:leader="none" w:pos="826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8080" w:val="left"/>
        </w:tabs>
        <w:rPr>
          <w:sz w:val="20"/>
          <w:szCs w:val="20"/>
          <w:color w:val="auto"/>
        </w:rPr>
      </w:pPr>
      <w:r>
        <w:rPr>
          <w:rFonts w:ascii="Courier New" w:cs="Courier New" w:eastAsia="Courier New" w:hAnsi="Courier New"/>
          <w:sz w:val="14"/>
          <w:szCs w:val="14"/>
          <w:color w:val="auto"/>
        </w:rPr>
        <w:t>RECONCILIATION OF BASIC AND DILUTED</w:t>
      </w:r>
      <w:r>
        <w:rPr>
          <w:sz w:val="20"/>
          <w:szCs w:val="20"/>
          <w:color w:val="auto"/>
        </w:rPr>
        <w:tab/>
      </w:r>
      <w:r>
        <w:rPr>
          <w:rFonts w:ascii="Courier New" w:cs="Courier New" w:eastAsia="Courier New" w:hAnsi="Courier New"/>
          <w:sz w:val="14"/>
          <w:szCs w:val="14"/>
          <w:color w:val="auto"/>
        </w:rPr>
        <w:t>DILUTIVE</w:t>
      </w:r>
      <w:r>
        <w:rPr>
          <w:sz w:val="20"/>
          <w:szCs w:val="20"/>
          <w:color w:val="auto"/>
        </w:rPr>
        <w:tab/>
      </w:r>
      <w:r>
        <w:rPr>
          <w:rFonts w:ascii="Courier New" w:cs="Courier New" w:eastAsia="Courier New" w:hAnsi="Courier New"/>
          <w:sz w:val="14"/>
          <w:szCs w:val="14"/>
          <w:color w:val="auto"/>
        </w:rPr>
        <w:t>DILUTIVE</w:t>
      </w:r>
    </w:p>
    <w:p>
      <w:pPr>
        <w:spacing w:after="0" w:line="7" w:lineRule="exact"/>
        <w:rPr>
          <w:sz w:val="20"/>
          <w:szCs w:val="20"/>
          <w:color w:val="auto"/>
        </w:rPr>
      </w:pPr>
    </w:p>
    <w:p>
      <w:pPr>
        <w:spacing w:after="0"/>
        <w:tabs>
          <w:tab w:leader="none" w:pos="4200" w:val="left"/>
          <w:tab w:leader="none" w:pos="4900" w:val="left"/>
          <w:tab w:leader="none" w:pos="6100" w:val="left"/>
          <w:tab w:leader="none" w:pos="7300" w:val="left"/>
          <w:tab w:leader="none" w:pos="8000" w:val="left"/>
          <w:tab w:leader="none" w:pos="9200" w:val="left"/>
        </w:tabs>
        <w:rPr>
          <w:sz w:val="20"/>
          <w:szCs w:val="20"/>
          <w:color w:val="auto"/>
        </w:rPr>
      </w:pPr>
      <w:r>
        <w:rPr>
          <w:rFonts w:ascii="Courier New" w:cs="Courier New" w:eastAsia="Courier New" w:hAnsi="Courier New"/>
          <w:sz w:val="14"/>
          <w:szCs w:val="14"/>
          <w:color w:val="auto"/>
        </w:rPr>
        <w:t>EARNINGS PER SHARE</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FOR THE QUARTER ENDED MARCH 31,</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$26.3</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27.7</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$0.93</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$0.68</w:t>
            </w:r>
          </w:p>
        </w:tc>
      </w:tr>
    </w:tbl>
    <w:p>
      <w:pPr>
        <w:spacing w:after="0" w:line="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9.PENSION AND OTHER POSTRETIREMENT BENEFIT PLANS</w:t>
      </w:r>
    </w:p>
    <w:p>
      <w:pPr>
        <w:spacing w:after="0" w:line="200" w:lineRule="exact"/>
        <w:rPr>
          <w:sz w:val="20"/>
          <w:szCs w:val="20"/>
          <w:color w:val="auto"/>
        </w:rPr>
      </w:pPr>
    </w:p>
    <w:p>
      <w:pPr>
        <w:spacing w:after="0" w:line="304"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ind w:left="5700"/>
        <w:spacing w:after="0"/>
        <w:tabs>
          <w:tab w:leader="none" w:pos="8180" w:val="left"/>
        </w:tabs>
        <w:rPr>
          <w:sz w:val="20"/>
          <w:szCs w:val="20"/>
          <w:color w:val="auto"/>
        </w:rPr>
      </w:pP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080" w:val="left"/>
          <w:tab w:leader="none" w:pos="6440" w:val="left"/>
          <w:tab w:leader="none" w:pos="7920" w:val="left"/>
          <w:tab w:leader="none" w:pos="9300" w:val="left"/>
        </w:tabs>
        <w:rPr>
          <w:sz w:val="20"/>
          <w:szCs w:val="20"/>
          <w:color w:val="auto"/>
        </w:rPr>
      </w:pPr>
      <w:r>
        <w:rPr>
          <w:rFonts w:ascii="Courier New" w:cs="Courier New" w:eastAsia="Courier New" w:hAnsi="Courier New"/>
          <w:sz w:val="14"/>
          <w:szCs w:val="14"/>
          <w:color w:val="auto"/>
        </w:rPr>
        <w:t>COMPONENTS OF NET PERIODIC BENEFIT EXPENSE</w:t>
      </w:r>
      <w:r>
        <w:rPr>
          <w:sz w:val="20"/>
          <w:szCs w:val="20"/>
          <w:color w:val="auto"/>
        </w:rPr>
        <w:tab/>
      </w: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FOR THE QUARTER</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ENDED MARCH 31,</w:t>
            </w: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760" w:type="dxa"/>
            <w:vAlign w:val="bottom"/>
          </w:tcPr>
          <w:p>
            <w:pPr>
              <w:spacing w:after="0"/>
              <w:rPr>
                <w:sz w:val="24"/>
                <w:szCs w:val="24"/>
                <w:color w:val="auto"/>
              </w:rPr>
            </w:pP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760" w:type="dxa"/>
            <w:vAlign w:val="bottom"/>
          </w:tcPr>
          <w:p>
            <w:pPr>
              <w:spacing w:after="0"/>
              <w:rPr>
                <w:sz w:val="14"/>
                <w:szCs w:val="14"/>
                <w:color w:val="auto"/>
              </w:rPr>
            </w:pP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on Plan Assets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Net Loss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Transition Obligation</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120" w:type="dxa"/>
            <w:vAlign w:val="bottom"/>
            <w:gridSpan w:val="5"/>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Net Periodic Benefit Expense</w:t>
            </w:r>
          </w:p>
        </w:tc>
        <w:tc>
          <w:tcPr>
            <w:tcW w:w="2240" w:type="dxa"/>
            <w:vAlign w:val="bottom"/>
          </w:tcPr>
          <w:p>
            <w:pPr>
              <w:jc w:val="center"/>
              <w:ind w:left="688"/>
              <w:spacing w:after="0"/>
              <w:rPr>
                <w:sz w:val="20"/>
                <w:szCs w:val="20"/>
                <w:color w:val="auto"/>
              </w:rPr>
            </w:pPr>
            <w:r>
              <w:rPr>
                <w:rFonts w:ascii="Courier New" w:cs="Courier New" w:eastAsia="Courier New" w:hAnsi="Courier New"/>
                <w:sz w:val="14"/>
                <w:szCs w:val="14"/>
                <w:color w:val="auto"/>
              </w:rPr>
              <w:t>$ 0.3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120" w:type="dxa"/>
            <w:vAlign w:val="bottom"/>
            <w:gridSpan w:val="5"/>
          </w:tcPr>
          <w:p>
            <w:pPr>
              <w:jc w:val="center"/>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4"/>
          <w:szCs w:val="14"/>
          <w:color w:val="auto"/>
        </w:rPr>
        <w:t>In 2005, we determined that our postretirement health care plans meet the requirements of the Centers for Medicare and Medicaid Services' (CMS) regulations and enrolled with the CMS to begin recovering the subsidy. We expect to receive the first subsidy payment in 2007 for 2006 credits.</w:t>
      </w:r>
    </w:p>
    <w:p>
      <w:pPr>
        <w:spacing w:after="0" w:line="162"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EMPLOYER CONTRIBUTIONS. For the quarter ended March 31, 2007, $2.8 million of contributions were made to our postretirement health and life plans. We do not expect to make any additional contributions to fund our postretirement health and life plans in 2007. We do not expect to make any contributions to our defined benefit pension plans in 2007.</w:t>
      </w:r>
    </w:p>
    <w:p>
      <w:pPr>
        <w:spacing w:after="0" w:line="165"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2007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ectPr>
          <w:pgSz w:w="11900" w:h="16838" w:orient="portrait"/>
          <w:cols w:equalWidth="0" w:num="1">
            <w:col w:w="10260"/>
          </w:cols>
          <w:pgMar w:left="220" w:top="616" w:right="1419" w:bottom="1440" w:gutter="0" w:footer="0" w:header="0"/>
        </w:sectPr>
      </w:pPr>
    </w:p>
    <w:bookmarkStart w:id="14" w:name="page15"/>
    <w:bookmarkEnd w:id="14"/>
    <w:p>
      <w:pPr>
        <w:spacing w:after="0"/>
        <w:tabs>
          <w:tab w:leader="none" w:pos="110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COMMITMENTS, GUARANTEES AND CONTINGENCIES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OFF-BALANCE SHEET ARRANGEMENTS. 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32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Power was entitled to approximately 71 percent of the Unit's output under the Agreement prior to 2006. Beginning in 2006, Minnkota Power exercised its option to reduce Minnesota Power's entitlement by approximately 5 percent annually. We received notices from Minnkota Power reducing our output entitlement by approximately 5 percent annually to 60 percent as of January 1, 2007, 55 percent on January 1, 2008, and 50 percent on January 1, 2009, and thereafter. Minnkota Power has no further option to reduce Minnesota Power's entitlement below 50 percent. Minnesota Power is obligated to pay its pro-rata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March 31, 2007, Square Butte had total debt outstanding of $297.6 million. Total annual debt service for Square Butte is expected to be approximately $26 million in each of the years 2007 through 2011. Variable operating costs include the price of coal purchased from BNI Coal, our subsidiary, under a long-term contract.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LEASING AGREEMENTS. BNI Coal is obligated to make lease payments for a dragline totaling $2.8 million annually for the lease term which expires in 2027. 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2013. The aggregate amount of minimum lease payments for all operating leases is $8.2 million in 2007, $7.6 million in 2008, $7.0 million in 2009, $6.5 million in 2010, $6.0 million in 2011 and $51.2 million thereafter.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COAL, RAIL AND SHIPPING CONTRACTS. We have three coal supply agreements with various expiration dates ranging from December 2008 to December 2009. We also have rail and shipping agreements for the transportation of all of our coal, with various expiration dates ranging from December 2007 to December 2011. Our minimum annual payment obligations under these coal, rail and shipping agreements are currently $42.0 million in 2007, $16.4 million in 2008, $11.1 million in 2009 and no specific commitments beyond 2009. Our minimum annual payment obligations will increase when annual nominations are made for coal deliveries in future years.</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minority investments in venture capital funds structured as limited liability companies, and direct investments in privately-held, start-up companies. We have committed to make additional investments in certain emerging technology venture capital funds. The total future commitment was $2.0 million at March 31, 2007 ($2.5 million at December 31, 2006), and will be invested in 2007. We do not have plans to make any additional investments beyond this commitment.</w:t>
      </w:r>
    </w:p>
    <w:p>
      <w:pPr>
        <w:spacing w:after="0" w:line="33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ALLETE First Quarter 2007 Form 10-Q</w:t>
      </w:r>
    </w:p>
    <w:p>
      <w:pPr>
        <w:sectPr>
          <w:pgSz w:w="11900" w:h="16838" w:orient="portrait"/>
          <w:cols w:equalWidth="0" w:num="1">
            <w:col w:w="10239"/>
          </w:cols>
          <w:pgMar w:left="220" w:top="616" w:right="1440" w:bottom="1440" w:gutter="0" w:footer="0" w:header="0"/>
        </w:sectPr>
      </w:pPr>
    </w:p>
    <w:bookmarkStart w:id="15" w:name="page16"/>
    <w:bookmarkEnd w:id="15"/>
    <w:p>
      <w:pPr>
        <w:spacing w:after="0"/>
        <w:tabs>
          <w:tab w:leader="none" w:pos="94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ENVIRONMENTAL MATTERS. Our businesses are subject to regulation of environmental matters by various federal, state and local authorities. Due to stricter environmental requirements through legislation and/or rulemaking in the future, we anticipate that potential expenditures for environmental matters will be material and will require significant capital investments.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32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 from 1889 to 1904. A report submitted in 2003 identified some MGP-like chemicals that were found in the soil near the former plant site. The on-site investigation continued through the fall of 2006. The final Phase II report is expected in May 2007. Although it is not possible to quantify the potential clean-up cost until the investigation is completed, a $0.5 million liability was recorded in December 2003 to address the known areas of contamination. The Company has recorded a corresponding dollar amount as a regulatory asset to offset this liability. In May 2005, the PSCW approved the collection through rates of $150,000 of site investigation costs that had been incurred at the time SWL&amp;P filed their 2005 rate request. In December 2006, the PSCW approved the recovery of an additional $186,000 of site investigation costs that were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EPA CLEAN AIR INTERSTATE RULE AND CLEAN AIR MERCURY RULE. In March 2005, the EPA announced the final Clean Air Interstate Rule (CAIR) that reduces and permanently caps emissions of SO2 and NOX in the eastern United States. The CAIR includes Minnesota as one of the 28 states it considers as "significantly contributing" to air quality standards non-attainment in other states. The EPA also announced the final Clean Air Mercury Rule (CAMR) that reduces and permanently caps electric utility mercury emissions nationwide. The CAIR and the CAMR regulations have been challenged in the federal court system, which may delay implementation or modify provisions. Minnesota Power is participating in a legal challenge to the CAIR, but is not participating in a challenge to the CAMR. However, if the CAMR and the CAIR do go into effect, Minnesota Power expects to be required to: (1) make emissions reductions; (2) purchase mercury, SO2 and NOX allowances through the EPA's cap-and-trade system; or (3) use a combination of both.</w:t>
      </w:r>
    </w:p>
    <w:p>
      <w:pPr>
        <w:spacing w:after="0" w:line="32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Power petitioned the EPA to review their CAIR determinations affecting Minnesota. In July 2005, Minnesota Power also filed a Petition for Review with the U.S. Court of Appeals for the District of Columbia Circuit (Court of Appeals). In November 2005, the EPA agreed to reconsider certain aspects of the CAIR, including the Minnesota Power petition addressing emissions applied to air quality modeling used to determine Minnesota's inclusion in the CAIR region and our claims about inequities in the SO2 allowance methodology. In March 2006, the EPA announced that it would not make any changes to the CAIR as a result of the petitions for reconsideration. Petitions for Review, including Minnesota Power's, remain pending at the Court of Appeals. If the Petitions for Review filed with the Court of Appeals are successful, we expect to incur significantly lower compliance costs, consistent with the rules applicable to those states determined to not be "significant contributors" to air quality non-attainment as addressed under the CAIR. Resolution of the CAIR Petition for Review with the Court of Appeals is anticipated in 2008.</w:t>
      </w:r>
    </w:p>
    <w:p>
      <w:pPr>
        <w:spacing w:after="0" w:line="172"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2007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ectPr>
          <w:pgSz w:w="11900" w:h="16838" w:orient="portrait"/>
          <w:cols w:equalWidth="0" w:num="1">
            <w:col w:w="10239"/>
          </w:cols>
          <w:pgMar w:left="220" w:top="616" w:right="1440" w:bottom="1440" w:gutter="0" w:footer="0" w:header="0"/>
        </w:sectPr>
      </w:pPr>
    </w:p>
    <w:bookmarkStart w:id="16" w:name="page17"/>
    <w:bookmarkEnd w:id="16"/>
    <w:p>
      <w:pPr>
        <w:spacing w:after="0"/>
        <w:tabs>
          <w:tab w:leader="none" w:pos="840" w:val="left"/>
        </w:tabs>
        <w:rPr>
          <w:sz w:val="20"/>
          <w:szCs w:val="20"/>
          <w:color w:val="auto"/>
        </w:rPr>
      </w:pPr>
      <w:r>
        <w:rPr>
          <w:rFonts w:ascii="Courier New" w:cs="Courier New" w:eastAsia="Courier New" w:hAnsi="Courier New"/>
          <w:sz w:val="14"/>
          <w:szCs w:val="14"/>
          <w:color w:val="auto"/>
        </w:rPr>
        <w:t>NOTE 10.</w:t>
        <w:tab/>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COMMUNITY DEVELOPMENT DISTRICT OBLIGATIONS. TOWN CENTER. In March 2005, the Town Center District issued $26.4 million of tax-exempt, 6% Capital Improvement Revenue Bonds, Series 2005, which are payable over 31 years (by May 1, 2036). The bond proceeds (less capitalized interest, a debt service reserve fund and cost of issuance) were used to pay for the construction of a portion of the major infrastructure improvements at Town Center.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were billed to Town Center landowners beginning in November 2006. To the extent that we still own land at the time of the assessment, in accordance with EITF 91-10, we recognize the cost of our portion of these assessments, based upon our ownership of benefited property. At March 31, 2007, we owned 73 percent of the assessable land in the Town Center District.</w:t>
      </w:r>
    </w:p>
    <w:p>
      <w:pPr>
        <w:spacing w:after="0" w:line="17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PALM COAST PARK. In May 2006, the Palm Coast Park District issued $31.8 million of tax-exempt, 5.7% Special Assessment Bonds, Series 2006, which are payable over 31 years (by May 1, 2037). The bond proceeds (less capitalized interest, a debt service reserve fund and cost of issuance) are being used to pay for the construction of the major infrastructure improvements at Palm Coast Park and to mitigate traffic and environmental impacts.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will be billed to Palm Coast Park landowners beginning in November 2007. To the extent that we still own land at the time of the assessment, in accordance with EITF 91-10, we will recognize the cost of our portion of these assessments, based upon our ownership of benefited property. At March 31, 2007, we owned 97 percent of the assessable land in the Palm Coast Park District.</w:t>
      </w:r>
    </w:p>
    <w:p>
      <w:pPr>
        <w:spacing w:after="0" w:line="17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32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ALLETE First Quarter 2007 Form 10-Q</w:t>
      </w:r>
    </w:p>
    <w:p>
      <w:pPr>
        <w:sectPr>
          <w:pgSz w:w="11900" w:h="16838" w:orient="portrait"/>
          <w:cols w:equalWidth="0" w:num="1">
            <w:col w:w="10239"/>
          </w:cols>
          <w:pgMar w:left="220" w:top="616" w:right="1440" w:bottom="1440" w:gutter="0" w:footer="0" w:header="0"/>
        </w:sectPr>
      </w:pPr>
    </w:p>
    <w:bookmarkStart w:id="17" w:name="page18"/>
    <w:bookmarkEnd w:id="17"/>
    <w:p>
      <w:pPr>
        <w:spacing w:after="0"/>
        <w:tabs>
          <w:tab w:leader="none" w:pos="840" w:val="left"/>
        </w:tabs>
        <w:rPr>
          <w:sz w:val="20"/>
          <w:szCs w:val="20"/>
          <w:color w:val="auto"/>
        </w:rPr>
      </w:pPr>
      <w:r>
        <w:rPr>
          <w:rFonts w:ascii="Courier New" w:cs="Courier New" w:eastAsia="Courier New" w:hAnsi="Courier New"/>
          <w:sz w:val="14"/>
          <w:szCs w:val="14"/>
          <w:color w:val="auto"/>
        </w:rPr>
        <w:t>ITEM 2.</w:t>
        <w:tab/>
        <w:t>MANAGEMENT'S DISCUSSION AND ANALYSIS OF FINANCIAL</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The following discussion should be read in conjunction with our consolidated financial statements, notes to those statements, management discussion and analysis from the 2006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headings: "Safe Harbor Statement Under the Private Securities Litigation Reform Act of 1995" located on page 3 and "Risk Factors" located in Part I, Item 1A, page 24 of our 2006 Form 10-K. The risks and uncertainties described in this Form 10-Q and our 2006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ALLETE is a diversified company providing fundamental products and services since 1906. This includes our two core businesses--ENERGY and REAL ESTATE, as well as our former operations in the water, paper, telecommunications and automotive industries.</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ENERGY is comprised of Regulated Utility, Nonregulated Energy Operations and Investment in ATC.</w:t>
      </w:r>
    </w:p>
    <w:p>
      <w:pPr>
        <w:spacing w:after="0" w:line="160" w:lineRule="exact"/>
        <w:rPr>
          <w:sz w:val="20"/>
          <w:szCs w:val="20"/>
          <w:color w:val="auto"/>
        </w:rPr>
      </w:pPr>
    </w:p>
    <w:p>
      <w:pPr>
        <w:jc w:val="both"/>
        <w:ind w:left="520" w:right="3339" w:hanging="253"/>
        <w:spacing w:after="0" w:line="250" w:lineRule="auto"/>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UTILITY includes retail and wholesale rate regulated electric, natural gas and water services in northeastern Minnesota and northwestern Wisconsin under the jurisdiction of state and federal regulatory authorities.</w:t>
      </w:r>
    </w:p>
    <w:p>
      <w:pPr>
        <w:spacing w:after="0" w:line="1" w:lineRule="exact"/>
        <w:rPr>
          <w:rFonts w:ascii="Courier New" w:cs="Courier New" w:eastAsia="Courier New" w:hAnsi="Courier New"/>
          <w:sz w:val="14"/>
          <w:szCs w:val="14"/>
          <w:color w:val="auto"/>
        </w:rPr>
      </w:pPr>
    </w:p>
    <w:p>
      <w:pPr>
        <w:jc w:val="both"/>
        <w:ind w:left="520" w:right="3339" w:hanging="253"/>
        <w:spacing w:after="0" w:line="250" w:lineRule="auto"/>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NONREGULATED ENERGY OPERATIONS includes our coal mining activities in North Dakota, approximately 50 MW of nonregulated generation and Minnesota land sales.</w:t>
      </w:r>
    </w:p>
    <w:p>
      <w:pPr>
        <w:spacing w:after="0" w:line="1"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ATC includes our equity ownership interest in ATC.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includes our Florida real estate operations.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OTHER includes our investments in emerging technologies, and earnings on cash and short-term investments.</w:t>
      </w:r>
    </w:p>
    <w:p>
      <w:pPr>
        <w:spacing w:after="0" w:line="160"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2007 Form 10-Q</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ectPr>
          <w:pgSz w:w="11900" w:h="16838" w:orient="portrait"/>
          <w:cols w:equalWidth="0" w:num="1">
            <w:col w:w="10239"/>
          </w:cols>
          <w:pgMar w:left="220" w:top="61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QUARTER ENDED</w:t>
            </w:r>
          </w:p>
        </w:tc>
      </w:tr>
      <w:tr>
        <w:trPr>
          <w:trHeight w:val="166"/>
        </w:trPr>
        <w:tc>
          <w:tcPr>
            <w:tcW w:w="3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2007</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2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020" w:type="dxa"/>
            <w:vAlign w:val="bottom"/>
          </w:tcPr>
          <w:p>
            <w:pPr>
              <w:ind w:left="340"/>
              <w:spacing w:after="0"/>
              <w:rPr>
                <w:sz w:val="20"/>
                <w:szCs w:val="20"/>
                <w:color w:val="auto"/>
              </w:rPr>
            </w:pPr>
            <w:r>
              <w:rPr>
                <w:rFonts w:ascii="Courier New" w:cs="Courier New" w:eastAsia="Courier New" w:hAnsi="Courier New"/>
                <w:sz w:val="14"/>
                <w:szCs w:val="14"/>
                <w:color w:val="auto"/>
              </w:rPr>
              <w:t>Retail and Municipals</w:t>
            </w:r>
          </w:p>
        </w:tc>
        <w:tc>
          <w:tcPr>
            <w:tcW w:w="2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020" w:type="dxa"/>
            <w:vAlign w:val="bottom"/>
          </w:tcPr>
          <w:p>
            <w:pPr>
              <w:ind w:left="780"/>
              <w:spacing w:after="0"/>
              <w:rPr>
                <w:sz w:val="20"/>
                <w:szCs w:val="20"/>
                <w:color w:val="auto"/>
              </w:rPr>
            </w:pPr>
            <w:r>
              <w:rPr>
                <w:rFonts w:ascii="Courier New" w:cs="Courier New" w:eastAsia="Courier New" w:hAnsi="Courier New"/>
                <w:sz w:val="14"/>
                <w:szCs w:val="14"/>
                <w:color w:val="auto"/>
              </w:rPr>
              <w:t>Residential</w:t>
            </w: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341.6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308.0</w:t>
            </w:r>
          </w:p>
        </w:tc>
      </w:tr>
      <w:tr>
        <w:trPr>
          <w:trHeight w:val="166"/>
        </w:trPr>
        <w:tc>
          <w:tcPr>
            <w:tcW w:w="3020" w:type="dxa"/>
            <w:vAlign w:val="bottom"/>
          </w:tcPr>
          <w:p>
            <w:pPr>
              <w:ind w:left="780"/>
              <w:spacing w:after="0"/>
              <w:rPr>
                <w:sz w:val="20"/>
                <w:szCs w:val="20"/>
                <w:color w:val="auto"/>
              </w:rPr>
            </w:pPr>
            <w:r>
              <w:rPr>
                <w:rFonts w:ascii="Courier New" w:cs="Courier New" w:eastAsia="Courier New" w:hAnsi="Courier New"/>
                <w:sz w:val="14"/>
                <w:szCs w:val="14"/>
                <w:color w:val="auto"/>
              </w:rPr>
              <w:t>Commercial</w:t>
            </w: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352.2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328.7</w:t>
            </w:r>
          </w:p>
        </w:tc>
      </w:tr>
      <w:tr>
        <w:trPr>
          <w:trHeight w:val="166"/>
        </w:trPr>
        <w:tc>
          <w:tcPr>
            <w:tcW w:w="3020" w:type="dxa"/>
            <w:vAlign w:val="bottom"/>
          </w:tcPr>
          <w:p>
            <w:pPr>
              <w:ind w:left="780"/>
              <w:spacing w:after="0"/>
              <w:rPr>
                <w:sz w:val="20"/>
                <w:szCs w:val="20"/>
                <w:color w:val="auto"/>
              </w:rPr>
            </w:pPr>
            <w:r>
              <w:rPr>
                <w:rFonts w:ascii="Courier New" w:cs="Courier New" w:eastAsia="Courier New" w:hAnsi="Courier New"/>
                <w:sz w:val="14"/>
                <w:szCs w:val="14"/>
                <w:color w:val="auto"/>
              </w:rPr>
              <w:t>Municipals</w:t>
            </w: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266.4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219.3</w:t>
            </w:r>
          </w:p>
        </w:tc>
      </w:tr>
      <w:tr>
        <w:trPr>
          <w:trHeight w:val="166"/>
        </w:trPr>
        <w:tc>
          <w:tcPr>
            <w:tcW w:w="3020" w:type="dxa"/>
            <w:vAlign w:val="bottom"/>
          </w:tcPr>
          <w:p>
            <w:pPr>
              <w:ind w:left="780"/>
              <w:spacing w:after="0"/>
              <w:rPr>
                <w:sz w:val="20"/>
                <w:szCs w:val="20"/>
                <w:color w:val="auto"/>
              </w:rPr>
            </w:pPr>
            <w:r>
              <w:rPr>
                <w:rFonts w:ascii="Courier New" w:cs="Courier New" w:eastAsia="Courier New" w:hAnsi="Courier New"/>
                <w:sz w:val="14"/>
                <w:szCs w:val="14"/>
                <w:color w:val="auto"/>
              </w:rPr>
              <w:t>Industrial</w:t>
            </w: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1,705.4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1,822.3</w:t>
            </w:r>
          </w:p>
        </w:tc>
      </w:tr>
      <w:tr>
        <w:trPr>
          <w:trHeight w:val="166"/>
        </w:trPr>
        <w:tc>
          <w:tcPr>
            <w:tcW w:w="302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320" w:type="dxa"/>
            <w:vAlign w:val="bottom"/>
          </w:tcPr>
          <w:p>
            <w:pPr>
              <w:ind w:left="780"/>
              <w:spacing w:after="0"/>
              <w:rPr>
                <w:sz w:val="20"/>
                <w:szCs w:val="20"/>
                <w:color w:val="auto"/>
              </w:rPr>
            </w:pPr>
            <w:r>
              <w:rPr>
                <w:rFonts w:ascii="Courier New" w:cs="Courier New" w:eastAsia="Courier New" w:hAnsi="Courier New"/>
                <w:sz w:val="14"/>
                <w:szCs w:val="14"/>
                <w:color w:val="auto"/>
              </w:rPr>
              <w:t>Total Retail and Municipals</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2,687.8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2,698.3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524.0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505.1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780" w:type="dxa"/>
            <w:vAlign w:val="bottom"/>
          </w:tcPr>
          <w:p>
            <w:pPr>
              <w:ind w:left="1420"/>
              <w:spacing w:after="0"/>
              <w:rPr>
                <w:sz w:val="20"/>
                <w:szCs w:val="20"/>
                <w:color w:val="auto"/>
              </w:rPr>
            </w:pPr>
            <w:r>
              <w:rPr>
                <w:rFonts w:ascii="Courier New" w:cs="Courier New" w:eastAsia="Courier New" w:hAnsi="Courier New"/>
                <w:sz w:val="14"/>
                <w:szCs w:val="14"/>
                <w:color w:val="auto"/>
              </w:rPr>
              <w:t>Total Regulated Utility</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3,211.8</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3,203.4</w:t>
            </w:r>
          </w:p>
        </w:tc>
      </w:tr>
      <w:tr>
        <w:trPr>
          <w:trHeight w:val="166"/>
        </w:trPr>
        <w:tc>
          <w:tcPr>
            <w:tcW w:w="140" w:type="dxa"/>
            <w:vAlign w:val="bottom"/>
          </w:tcPr>
          <w:p>
            <w:pPr>
              <w:spacing w:after="0"/>
              <w:rPr>
                <w:sz w:val="14"/>
                <w:szCs w:val="14"/>
                <w:color w:val="auto"/>
              </w:rPr>
            </w:pP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Nonregulated Energy Operations</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63.7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3,275.5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3,269.0</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right="3339"/>
        <w:spacing w:after="0" w:line="247" w:lineRule="auto"/>
        <w:rPr>
          <w:sz w:val="20"/>
          <w:szCs w:val="20"/>
          <w:color w:val="auto"/>
        </w:rPr>
      </w:pPr>
      <w:r>
        <w:rPr>
          <w:rFonts w:ascii="Courier New" w:cs="Courier New" w:eastAsia="Courier New" w:hAnsi="Courier New"/>
          <w:sz w:val="14"/>
          <w:szCs w:val="14"/>
          <w:color w:val="auto"/>
        </w:rPr>
        <w:t>REAL ESTATE 2007 2006 REVENUE AND SALES ACTIVITY QUANTITY AMOUNT QUANTITY AMOUNT</w:t>
      </w:r>
    </w:p>
    <w:p>
      <w:pPr>
        <w:spacing w:after="0" w:line="168"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Town Center Sales</w:t>
            </w: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200" w:type="dxa"/>
            <w:vAlign w:val="bottom"/>
          </w:tcPr>
          <w:p>
            <w:pPr>
              <w:ind w:left="360"/>
              <w:spacing w:after="0"/>
              <w:rPr>
                <w:sz w:val="20"/>
                <w:szCs w:val="20"/>
                <w:color w:val="auto"/>
              </w:rPr>
            </w:pPr>
            <w:r>
              <w:rPr>
                <w:rFonts w:ascii="Courier New" w:cs="Courier New" w:eastAsia="Courier New" w:hAnsi="Courier New"/>
                <w:sz w:val="14"/>
                <w:szCs w:val="14"/>
                <w:color w:val="auto"/>
              </w:rPr>
              <w:t>Commercial Sq. Ft.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1.5</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Other Land Sales</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200" w:type="dxa"/>
            <w:vAlign w:val="bottom"/>
          </w:tcPr>
          <w:p>
            <w:pPr>
              <w:ind w:left="360"/>
              <w:spacing w:after="0"/>
              <w:rPr>
                <w:sz w:val="20"/>
                <w:szCs w:val="20"/>
                <w:color w:val="auto"/>
              </w:rPr>
            </w:pPr>
            <w:r>
              <w:rPr>
                <w:rFonts w:ascii="Courier New" w:cs="Courier New" w:eastAsia="Courier New" w:hAnsi="Courier New"/>
                <w:sz w:val="14"/>
                <w:szCs w:val="14"/>
                <w:color w:val="auto"/>
              </w:rPr>
              <w:t>Acres</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367</w:t>
            </w:r>
          </w:p>
        </w:tc>
        <w:tc>
          <w:tcPr>
            <w:tcW w:w="14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$ 6.0</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456</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Contract Sales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Price</w:t>
            </w:r>
          </w:p>
        </w:tc>
        <w:tc>
          <w:tcPr>
            <w:tcW w:w="21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6.0</w:t>
            </w:r>
          </w:p>
        </w:tc>
        <w:tc>
          <w:tcPr>
            <w:tcW w:w="1860" w:type="dxa"/>
            <w:vAlign w:val="bottom"/>
          </w:tcPr>
          <w:p>
            <w:pPr>
              <w:ind w:left="1080"/>
              <w:spacing w:after="0"/>
              <w:rPr>
                <w:sz w:val="20"/>
                <w:szCs w:val="20"/>
                <w:color w:val="auto"/>
              </w:rPr>
            </w:pPr>
            <w:r>
              <w:rPr>
                <w:rFonts w:ascii="Courier New" w:cs="Courier New" w:eastAsia="Courier New" w:hAnsi="Courier New"/>
                <w:sz w:val="14"/>
                <w:szCs w:val="14"/>
                <w:color w:val="auto"/>
              </w:rPr>
              <w:t>11.8</w:t>
            </w: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Revenue Recognized from</w:t>
            </w:r>
          </w:p>
        </w:tc>
        <w:tc>
          <w:tcPr>
            <w:tcW w:w="2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6"/>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Previously</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Deferred Sales</w:t>
            </w:r>
          </w:p>
        </w:tc>
        <w:tc>
          <w:tcPr>
            <w:tcW w:w="21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1.3</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Deferred Revenue</w:t>
            </w:r>
          </w:p>
        </w:tc>
        <w:tc>
          <w:tcPr>
            <w:tcW w:w="21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680" w:type="dxa"/>
            <w:vAlign w:val="bottom"/>
          </w:tcPr>
          <w:p>
            <w:pPr>
              <w:spacing w:after="0"/>
              <w:rPr>
                <w:sz w:val="24"/>
                <w:szCs w:val="24"/>
                <w:color w:val="auto"/>
              </w:rPr>
            </w:pPr>
          </w:p>
        </w:tc>
        <w:tc>
          <w:tcPr>
            <w:tcW w:w="21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1080"/>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Revenue from Land Sales</w:t>
            </w:r>
          </w:p>
        </w:tc>
        <w:tc>
          <w:tcPr>
            <w:tcW w:w="23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7.3</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w:t>
            </w:r>
          </w:p>
        </w:tc>
      </w:tr>
      <w:tr>
        <w:trPr>
          <w:trHeight w:val="331"/>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Other Revenue</w:t>
            </w:r>
          </w:p>
        </w:tc>
        <w:tc>
          <w:tcPr>
            <w:tcW w:w="23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0.9</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3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$ 8.2</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$ 13.7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 w:right="3679" w:hanging="344"/>
        <w:spacing w:after="0" w:line="250" w:lineRule="auto"/>
        <w:rPr>
          <w:sz w:val="20"/>
          <w:szCs w:val="20"/>
          <w:color w:val="auto"/>
        </w:rPr>
      </w:pPr>
      <w:r>
        <w:rPr>
          <w:rFonts w:ascii="Courier New" w:cs="Courier New" w:eastAsia="Courier New" w:hAnsi="Courier New"/>
          <w:sz w:val="14"/>
          <w:szCs w:val="14"/>
          <w:color w:val="auto"/>
        </w:rPr>
        <w:t>Acreage amounts are shown on a gross basis, including wetlands and minority interest.</w:t>
      </w:r>
    </w:p>
    <w:p>
      <w:pPr>
        <w:spacing w:after="0" w:line="1" w:lineRule="exact"/>
        <w:rPr>
          <w:sz w:val="20"/>
          <w:szCs w:val="20"/>
          <w:color w:val="auto"/>
        </w:rPr>
      </w:pPr>
    </w:p>
    <w:p>
      <w:pPr>
        <w:ind w:left="100" w:right="3679"/>
        <w:spacing w:after="0" w:line="250" w:lineRule="auto"/>
        <w:rPr>
          <w:sz w:val="20"/>
          <w:szCs w:val="20"/>
          <w:color w:val="auto"/>
        </w:rPr>
      </w:pPr>
      <w:r>
        <w:rPr>
          <w:rFonts w:ascii="Courier New" w:cs="Courier New" w:eastAsia="Courier New" w:hAnsi="Courier New"/>
          <w:sz w:val="14"/>
          <w:szCs w:val="14"/>
          <w:color w:val="auto"/>
        </w:rPr>
        <w:t>Reflected total contract sales price on closed land transactions. Contributed development dollars, which are credited to cost of real estate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sold.</w:t>
      </w:r>
    </w:p>
    <w:p>
      <w:pPr>
        <w:spacing w:after="0" w:line="200" w:lineRule="exact"/>
        <w:rPr>
          <w:sz w:val="20"/>
          <w:szCs w:val="20"/>
          <w:color w:val="auto"/>
        </w:rPr>
      </w:pPr>
    </w:p>
    <w:p>
      <w:pPr>
        <w:spacing w:after="0" w:line="3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ALLETE First Quarter 2007 Form 10-Q</w:t>
      </w:r>
    </w:p>
    <w:p>
      <w:pPr>
        <w:sectPr>
          <w:pgSz w:w="11900" w:h="16838" w:orient="portrait"/>
          <w:cols w:equalWidth="0" w:num="1">
            <w:col w:w="10239"/>
          </w:cols>
          <w:pgMar w:left="220" w:top="61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income discussion summarizes, by segment, a comparison of the quarter ended March 31, 2007, to the quarter ended March 31, 2006.</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REGULATED UTILITY contributed income of $18.8 million in 2007 ($13.0 million in 2006). The increase in earnings for 2007 reflect:</w:t>
      </w:r>
    </w:p>
    <w:p>
      <w:pPr>
        <w:spacing w:after="0" w:line="160" w:lineRule="exact"/>
        <w:rPr>
          <w:sz w:val="20"/>
          <w:szCs w:val="20"/>
          <w:color w:val="auto"/>
        </w:rPr>
      </w:pPr>
    </w:p>
    <w:p>
      <w:pPr>
        <w:jc w:val="both"/>
        <w:ind w:left="620" w:right="3339" w:hanging="267"/>
        <w:spacing w:after="0" w:line="250"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electric sales to Residential, Commercial and Municipal customers, as well as increased gas sales at SWL&amp;P due to colder weather in the first quarter of 2007;</w:t>
      </w:r>
    </w:p>
    <w:p>
      <w:pPr>
        <w:spacing w:after="0" w:line="1"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rate increases effective January 1, 2007, at SWL&amp;P; and</w:t>
      </w:r>
    </w:p>
    <w:p>
      <w:pPr>
        <w:spacing w:after="0" w:line="7"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sales to other power suppliers under long-term contract.</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NONREGULATED ENERGY OPERATIONS reported income of $2.2 million in 2007 ($0.9 million income in 2006), reflecting a $1.2 million after tax gain on land sold that was part of the land received when we purchased Taconite Harbor.</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INVESTMENT IN ATC contributed income of $1.8 million in 2007. Our initial investment in ATC was in May 2006.</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REAL ESTATE contributed income of $3.1 million in 2007 ($5.0 million in 2006). Income was higher in 2006 due to the timing and mix of land sale transaction closings. The timing of the closing of real estate sales varies from period to period and impacts comparisons between years.</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OTHER reflected net income of $0.4 million in 2007 ($0.1 million loss in 2006), primarily due to additional investment income.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THE QUARTERS ENDED MARCH 31, 2007 AND 2006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 2. BUSINESS SEGMENTS FOR FINANCIAL RESULTS BY SEGMENT.)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REVENUE increased $17.8 million, or 11 percent, from 2006 primarily due to increased fuel clause recoveries, increased kilowatthour sales to Retail, Commercial and Municipal customers, increased power marketing sales, and increased gas revenue at SWL&amp;P.</w:t>
      </w:r>
    </w:p>
    <w:p>
      <w:pPr>
        <w:spacing w:after="0" w:line="162"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Fuel clause recoveries increased $7.3 million in 2007 as a result of increased purchased power expenses (See Fuel and Purchased Power Expense discussion on the next page).</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Residential, Commercial and Municipal kilowatthour sales increased 104.2 million, or 12 percent, from 2006 reflecting a 10 percent increase in heating degree days in our service territory and two existing municipal customers converting to full-energy requirements. The converting customers contributed an additional 34.4 million in kilowatthour sales.</w:t>
      </w:r>
    </w:p>
    <w:p>
      <w:pPr>
        <w:spacing w:after="0" w:line="165"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Revenue from other power suppliers increased $2.1 million, or 9 percent, from 2006 primarily due to an increase in kilowatthour sales to an existing customer under a long-term contract expiring in 2010. (See Part 1, Item 3.</w:t>
      </w:r>
    </w:p>
    <w:p>
      <w:pPr>
        <w:spacing w:after="0" w:line="1" w:lineRule="exact"/>
        <w:rPr>
          <w:sz w:val="20"/>
          <w:szCs w:val="20"/>
          <w:color w:val="auto"/>
        </w:rPr>
      </w:pPr>
    </w:p>
    <w:p>
      <w:pPr>
        <w:ind w:left="440" w:right="3339" w:hanging="1"/>
        <w:spacing w:after="0" w:line="255" w:lineRule="auto"/>
        <w:tabs>
          <w:tab w:leader="none" w:pos="61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Quantitative and Qualitative Disclosures about Market Risk - Power Marketing.)</w:t>
      </w:r>
    </w:p>
    <w:p>
      <w:pPr>
        <w:spacing w:after="0" w:line="160"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Natural gas revenue increased $0.9 million from 2006 primarily due to higher sales as a result of colder weather and rate increases at SWL&amp;P. New rates became effective January 1, 2007, at SWL&amp;P and reflect a 2.8 percent increase in electric rates, a 1.4 percent increase in gas rates and an 8.6 percent increase in water rates.</w:t>
      </w:r>
    </w:p>
    <w:p>
      <w:pPr>
        <w:spacing w:after="0" w:line="165"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Revenue from electric sales to taconite customers accounted for 23 percent of consolidated operating revenue in 2007 (24 percent in 2006). Revenue from electric sales to paper and pulp mills accounted for 9 percent of consolidated operating revenue in 2007 and 2006. Revenue from electric sales to pipelines accounted for 6 percent of consolidated operating revenue in 2007 (6 percent in 2006).</w:t>
      </w:r>
    </w:p>
    <w:p>
      <w:pPr>
        <w:spacing w:after="0" w:line="164"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2007 Form 10-Q</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ectPr>
          <w:pgSz w:w="11900" w:h="16838" w:orient="portrait"/>
          <w:cols w:equalWidth="0" w:num="1">
            <w:col w:w="10239"/>
          </w:cols>
          <w:pgMar w:left="220" w:top="61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COMPARISON OF THE QUARTERS ENDED MARCH 31, 2007 AND 2006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EXPENSES increased $8.9 million, or 7 percent, from 2006.</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FUEL AND PURCHASED POWER EXPENSE increased $8.3 million from 2006 primarily due to a $26.3 million increase in purchased power, which was partially offset by lower fuel expense. The increase in purchased power was due to a 79 percent increase in kilowatthours purchased and higher energy prices. Low hydro generation, outages at Boswell Units 3 &amp; 4, Laskin Unit 1 (relating to the AREA Plan environmental retrofits), and Square Butte contributed to lower fuel and higher purchased power expenses. The replacement power costs are recovered through the regulated utility fuel adjustment clause in Minnesota.</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From mid-March to mid-April, output from Boswell Unit 4 was reduced approximately 20 percent, due to a malfunction of one or more generator stator coils. Boswell Unit 4 was removed from service in mid-April, and is expected to be back in service at full capacity in mid-May after the affected coils are replaced. The cost of the replacement coils are covered under the original manufacturer's warranty.</w:t>
      </w:r>
    </w:p>
    <w:p>
      <w:pPr>
        <w:spacing w:after="0" w:line="164"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AND MAINTENANCE EXPENSE increased $1.1 million, or 2 percent, from 2006 due to a $0.7 million increase in expenses associated with outages at Boswell Units 3 &amp; 4 and a $0.5 million increase at SWL&amp;P primarily due to increased natural gas purchases.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EXPENSE increased $0.1 million, or 2 percent, from 2006.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REVENUE increased $0.5 million, or 3 percent, from 2006 primarily due to increased coal sales at BNI.</w:t>
      </w:r>
    </w:p>
    <w:p>
      <w:pPr>
        <w:spacing w:after="0" w:line="160"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EXPENSES increased $0.3 million, or 2 percent, from 2006 due to a $0.7 million increase in fuel and tire expense at BNI, partially offset by lower natural gas prices at Rapids Energy Center.</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increased $2.0 million from 2006 reflecting a $1.9 million gain on land sold which was part of the land received when we purchased Taconite Harbor.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ATC</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OTHER INCOME reflected $2.9 million of income in 2007 resulting from our pro-rata share of ATC's earnings as discussed in Note 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decreased $5.5 million, or 40 percent, from 2006 due to the timing and mix of land sale transaction closings. Revenue from land sales in 2007 was $7.3 million which included $1.3 million in previously deferred revenue. In 2006, revenue from land sales was $12.5 million which included $1.5 million in previously deferred revenue. In 2007, 367 acres of other land was sold (456 acres in 2006). For the quarter ended March 31, 2007, there were no commercial square feet sold. (80,000 commercial square feet sold at Town Center in 2006).</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ind w:left="440"/>
        <w:spacing w:after="0" w:line="252" w:lineRule="auto"/>
        <w:rPr>
          <w:sz w:val="20"/>
          <w:szCs w:val="20"/>
          <w:color w:val="auto"/>
        </w:rPr>
      </w:pPr>
      <w:r>
        <w:rPr>
          <w:rFonts w:ascii="Courier New" w:cs="Courier New" w:eastAsia="Courier New" w:hAnsi="Courier New"/>
          <w:sz w:val="14"/>
          <w:szCs w:val="14"/>
          <w:color w:val="auto"/>
        </w:rPr>
        <w:t>OPERATING EXPENSES decreased $0.5 million, or 15 reflecting a decrease in the cost of real estate 2007; $1.9 million in 2006).</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percent,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sold ($0.9</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from</w:t>
        <w:tab/>
        <w:t>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w:t>
      </w:r>
    </w:p>
    <w:p>
      <w:pPr>
        <w:spacing w:after="0" w:line="338" w:lineRule="exact"/>
        <w:rPr>
          <w:sz w:val="20"/>
          <w:szCs w:val="20"/>
          <w:color w:val="auto"/>
        </w:rPr>
      </w:pPr>
    </w:p>
    <w:p>
      <w:pPr>
        <w:sectPr>
          <w:pgSz w:w="11900" w:h="16838" w:orient="portrait"/>
          <w:cols w:equalWidth="0" w:num="3">
            <w:col w:w="5000" w:space="0"/>
            <w:col w:w="860" w:space="180"/>
            <w:col w:w="41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ALLETE First Quarter 2007 Form 10-Q</w:t>
      </w:r>
    </w:p>
    <w:p>
      <w:pPr>
        <w:sectPr>
          <w:pgSz w:w="11900" w:h="16838" w:orient="portrait"/>
          <w:cols w:equalWidth="0" w:num="2">
            <w:col w:w="1100" w:space="720"/>
            <w:col w:w="8419"/>
          </w:cols>
          <w:pgMar w:left="220" w:top="616"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COMPARISON OF THE QUARTERS ENDED MARCH 31, 2007 AND 2006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left="440" w:right="3339"/>
        <w:spacing w:after="0" w:line="255" w:lineRule="auto"/>
        <w:rPr>
          <w:sz w:val="20"/>
          <w:szCs w:val="20"/>
          <w:color w:val="auto"/>
        </w:rPr>
      </w:pPr>
      <w:r>
        <w:rPr>
          <w:rFonts w:ascii="Courier New" w:cs="Courier New" w:eastAsia="Courier New" w:hAnsi="Courier New"/>
          <w:sz w:val="14"/>
          <w:szCs w:val="14"/>
          <w:color w:val="auto"/>
        </w:rPr>
        <w:t>OPERATING EXPENSES decreased $0.8 million from 2006 reflecting lower general and administrative expenses.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EXPENSE decreased $0.3 million from 2006.</w:t>
      </w:r>
    </w:p>
    <w:p>
      <w:pPr>
        <w:spacing w:after="0" w:line="173" w:lineRule="exact"/>
        <w:rPr>
          <w:sz w:val="20"/>
          <w:szCs w:val="20"/>
          <w:color w:val="auto"/>
        </w:rPr>
      </w:pPr>
    </w:p>
    <w:p>
      <w:pPr>
        <w:ind w:left="440" w:right="3339"/>
        <w:spacing w:after="0" w:line="255" w:lineRule="auto"/>
        <w:rPr>
          <w:sz w:val="20"/>
          <w:szCs w:val="20"/>
          <w:color w:val="auto"/>
        </w:rPr>
      </w:pPr>
      <w:r>
        <w:rPr>
          <w:rFonts w:ascii="Courier New" w:cs="Courier New" w:eastAsia="Courier New" w:hAnsi="Courier New"/>
          <w:sz w:val="14"/>
          <w:szCs w:val="14"/>
          <w:color w:val="auto"/>
        </w:rPr>
        <w:t>OTHER INCOME increased $0.4 million from 2006 primarily due to additional investment income.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ended March 31, 2007, the effective tax rate on income from continuing operations before minority interest was 37.9 percent (36.6 percent for the quarter ended March 31, 2006). The effective rate of 37.9 percent for the quarter ended March 31, 2007, deviated from the statutory rate (approximately 40 percent) primarily due to deductions for Medicare health subsidies, domestic manufacturing deduction, allowance for funds used during construction and depletion.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ESTIMATES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impairment of long-lived assets, pension and postretirement health and life actuarial assumptions, regulatory accounting, valuation of investments and provisions for environmental remediation. These policies are reviewed with the Audit Committee of our Board of Directors on a regular basis and summarized in Part II, Item 7 of our 2006 Form 10-K.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EARNINGS GUIDANCE. We expect ALLETE's diluted earnings per share from continuing operations to be in the range previously indicated in the 2006 10-K. The guidance stated that the Company's earnings are expected to be between $2.95 to $3.05. This earnings projection does not include an impact from any investment we may make in new growth opportunities.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LARGE POWER CUSTOMERS. Electric power is a key component in the mining, taconite and paper production industries. Sales to our Large Power Customers within these industries represent more than half of Minnesota Power's regulated utility electric sales. On April 25, 2007, the MPUC approved our electric service agreement with PolyMet Mining, Inc. (PolyMet). In 2006, a contract for approximately 70 MW was successfully negotiated with PolyMet, a new industrial customer planning to start a copper, nickel and precious metals (non-ferrous) mining operation in late 2008. If PolyMet's environmental permits are received and start-up is achieved, the contract with PolyMet will run through at least 2018.</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AREA AND BOSWELL 3 EMISSION REDUCTION PLAN. To date, we have spent $17.7 million of the expected $60 million on the AREA project. On April 15, 2007, Laskin Unit 1 was placed back in service and cost-recovery will begin May 1, 2007. A cost-recovery filing was made for Taconite Harbor Unit 2 on March 27, 2007, with expected cost-recovery beginning July 1, 2007, pending MPUC approval. On April 26, 2007, the DOC filed comments recommending approval of the cost-recovery filing for Taconite Harbor Unit 2. To date, we have spent $18.3 million of the expected $200 million on the Boswell Unit 3 emission reduction plan. In late March 2007, the Boswell Unit 3 project received the necessary construction permits. On April 25, 2007, the MPCA issued its assessment of the Boswell Unit 3 Emission Reduction Plan under the Mercury Emissions Reduction Act of 2006. The MPCA found that Minnesota Power's plan meets the statutory requirements and found it appropriate. We expect to begin construction in May 2007.</w:t>
      </w:r>
    </w:p>
    <w:p>
      <w:pPr>
        <w:spacing w:after="0" w:line="163"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2007 Form 10-Q</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FUEL CLAUSE INVESTIGATION. In June 2003, the MPUC initiated an investigation into the continuing usefulness of the fuel clause as a regulatory tool for electric utilities. Minnesota Power's initial comments on the proposed scope and procedure of the investigation were filed in July 2003. In November 2003, the MPUC approved the initial scope and procedure of the investigation. The investigation's purpose was to focus on whether the fuel clause continues to be an appropriate regulatory tool. Subsequent comments were filed during 2004. The Docket then became dormant while the MISO Day 2 Docket, which held many fuel clause considerations, became very active. In March 2007, the MPUC solicited comments on whether the original fuel clause investigation should continue and, if so, what issues should be pursued. Minnesota Power filed comments in April 2007, suggesting that if the investigation continued, it should focus on remaining key elements of the fuel clause, beyond the purchased power transactions examined in the MISO Day 2 proceeding, such as fuel purchases and outages. Additionally, Minnesota Power's comments suggested that more specialized fuel clause issues be addressed in separate dockets on an as needed basis.</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RENEWABLE ENERGY. In February 2007, the Minnesota Legislature enacted a law requiring most electric utilities to generate 25 percent of their energy through renewable energy sources by 2025. Minnesota Power worked with other stakeholders to ensure the legislation included provisions for allowing regulatory assessment of the cost and feasibility on individual utilities of meeting the 25 percent standard on individual utilities. Minnesota Power was developing and making renewable supply additions as part of its generation planning strategy prior to this legislation and this activity will continue.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December 2006, we began purchasing the output from a 50-MW wind facility located in North Dakota, Oliver Wind I, under a 25-year power purchase agreement with an affiliate of FPL Energy.</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January 2007, we filed with the MPUC a second 25-year wind power purchase agreement and related renewable resource rider to purchase an additional 48-MW of wind energy from Oliver Wind II, an expansion of Oliver Wind I located in North Dakota. The project is expected to be operational by the end of 2007, pending MPUC approval. The MPUC hearing on the Oliver Wind II project was scheduled for May 3, 2007.</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April 2007, we filed with the MPUC for approval of two 20-year Community-Based Energy Development (C-BED) Project power purchase agreements. The 2.5-MW Wing River Wind C-BED Project, with Wing River Wind, LLC is expected to be operational by the end of June 2007, pending MPUC approval. The 30-MW Bear Creek Wind Partners project, with Bear Creek Wind Partners, LLC is expected to be operational by the end of 2008, pending MPUC approval. Per Minnesota Statute, the power purchase agreements will be deemed approved unless objection is received within 30 days of the filing, which would be on May 29, 2007.</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the fall of 2007, pending MPUC approval of a wind facility site permit, we intend to begin construction of the 25-MW Taconite Ridge Wind Facility, to be located in Northeastern Minnesota. The Taconite Ridge Wind Facility is expected to become operational in mid-2008.</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continues to investigate additional renewable energy resources including biomass, hydroelectric and wind generation that will help it meet the Minnesota 25 percent renewable energy standard. The Company will submit plans regarding the additional renewable energy options currently under study as a part of its Resource Plan filing with the State of Minnesota by November 1, 2007. We will also make specific renewable project filings for regulatory approval as needed.</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INVESTMENT IN ATC. In February 2007, we completed our $60 million investment in ATC. As of March 31, 2007 our equity investment was $63.7 million, representing an 8.5 percent ownership interest. As opportunities arise, we plan to make additional investments in ATC through general capital calls based upon our pro-rata ownership interest in ATC. (See Note 3.)</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In June 2005, we began selling property from our Town Center development project. In August 2006, we began selling property from our Palm Coast Park development project. Since land is being sold before completion of the project infrastructure, revenue and cost of real estate sold are recorded using a percentage-of-completion method. As of March 31, 2007, we had $3.2 million ($4.3 million revenue; $0.9 million cost of real estate sold; $0.2 million selling expense) of deferred profit on sales of real estate, before taxes and minority interest, on our consolidated balance sheet. The majority of deferred profit relates to sales at Town Center.</w:t>
      </w:r>
    </w:p>
    <w:p>
      <w:pPr>
        <w:spacing w:after="0" w:line="164"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ALLETE First Quarter 2007 Form 10-Q</w:t>
      </w:r>
    </w:p>
    <w:p>
      <w:pPr>
        <w:sectPr>
          <w:pgSz w:w="11900" w:h="16838" w:orient="portrait"/>
          <w:cols w:equalWidth="0" w:num="1">
            <w:col w:w="10239"/>
          </w:cols>
          <w:pgMar w:left="220" w:top="616" w:right="1440" w:bottom="1440" w:gutter="0" w:footer="0" w:header="0"/>
        </w:sectPr>
      </w:pPr>
    </w:p>
    <w:bookmarkStart w:id="23" w:name="page24"/>
    <w:bookmarkEnd w:id="23"/>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7"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4"/>
          <w:szCs w:val="14"/>
          <w:color w:val="auto"/>
        </w:rPr>
        <w:t>PENDING CONTRACTS</w:t>
      </w:r>
      <w:r>
        <w:rPr>
          <w:sz w:val="20"/>
          <w:szCs w:val="20"/>
          <w:color w:val="auto"/>
        </w:rPr>
        <w:tab/>
      </w:r>
      <w:r>
        <w:rPr>
          <w:rFonts w:ascii="Courier New" w:cs="Courier New" w:eastAsia="Courier New" w:hAnsi="Courier New"/>
          <w:sz w:val="14"/>
          <w:szCs w:val="14"/>
          <w:color w:val="auto"/>
        </w:rPr>
        <w:t>CONTRACT</w:t>
      </w:r>
    </w:p>
    <w:p>
      <w:pPr>
        <w:spacing w:after="0" w:line="7" w:lineRule="exact"/>
        <w:rPr>
          <w:sz w:val="20"/>
          <w:szCs w:val="20"/>
          <w:color w:val="auto"/>
        </w:rPr>
      </w:pPr>
    </w:p>
    <w:p>
      <w:pPr>
        <w:spacing w:after="0"/>
        <w:tabs>
          <w:tab w:leader="none" w:pos="3780" w:val="left"/>
          <w:tab w:leader="none" w:pos="5420" w:val="left"/>
        </w:tabs>
        <w:rPr>
          <w:sz w:val="20"/>
          <w:szCs w:val="20"/>
          <w:color w:val="auto"/>
        </w:rPr>
      </w:pPr>
      <w:r>
        <w:rPr>
          <w:rFonts w:ascii="Courier New" w:cs="Courier New" w:eastAsia="Courier New" w:hAnsi="Courier New"/>
          <w:sz w:val="14"/>
          <w:szCs w:val="14"/>
          <w:color w:val="auto"/>
        </w:rPr>
        <w:t>AT MARCH 31, 2007</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SALES PRICE</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2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827,200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26.1</w:t>
            </w: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1,040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2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50,000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2,387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60.1</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2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Acres</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$ 111.1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360" w:hanging="344"/>
        <w:spacing w:after="0" w:line="251" w:lineRule="auto"/>
        <w:rPr>
          <w:sz w:val="20"/>
          <w:szCs w:val="20"/>
          <w:color w:val="auto"/>
        </w:rPr>
      </w:pPr>
      <w:r>
        <w:rPr>
          <w:rFonts w:ascii="Courier New" w:cs="Courier New" w:eastAsia="Courier New" w:hAnsi="Courier New"/>
          <w:sz w:val="14"/>
          <w:szCs w:val="14"/>
          <w:color w:val="auto"/>
        </w:rPr>
        <w:t>Acreage</w:t>
      </w:r>
      <w:r>
        <w:rPr>
          <w:sz w:val="20"/>
          <w:szCs w:val="20"/>
          <w:color w:val="auto"/>
        </w:rPr>
        <w:t xml:space="preserve"> </w:t>
      </w:r>
      <w:r>
        <w:rPr>
          <w:rFonts w:ascii="Courier New" w:cs="Courier New" w:eastAsia="Courier New" w:hAnsi="Courier New"/>
          <w:sz w:val="14"/>
          <w:szCs w:val="14"/>
          <w:color w:val="auto"/>
        </w:rPr>
        <w:t>amounts are approximate and shown on a gross basis, including wetlands and minority interest. Acreage amounts may vary due to platting or surveying activity. Wetland amounts vary by property and are often not formally determined prior to sale. Commercial square feet and residential units are estimated and include minority interest. The actual property allocation at full build-out may be different than these estimates.</w:t>
      </w:r>
    </w:p>
    <w:p>
      <w:pPr>
        <w:spacing w:after="0" w:line="200" w:lineRule="exact"/>
        <w:rPr>
          <w:sz w:val="20"/>
          <w:szCs w:val="20"/>
          <w:color w:val="auto"/>
        </w:rPr>
      </w:pPr>
    </w:p>
    <w:p>
      <w:pPr>
        <w:spacing w:after="0" w:line="296"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At March 31, 2007, total pending land sales under contract were $111.1 million and are anticipated to close at various times through 2012. Pending land sales under contract for properties at Town Center and Palm Coast Park totaled $42.3 million and $62.6 million, respectively. Prices on these contracts range from $20 to $60 per commercial square foot, $8,000 to $34,000 per residential unit and $11,000 to $127,000 per acre for all other properties. Prices per acre are stated on a gross acreage basis and are dependent on the type and location of the properties sold. The majority of the other properties under contract are zoned commercial or mixed use. In addition to minimum-base price contracts, certain contracts allow us to receive participation revenue from land sales to third parties if various formula-based criteria are achieved.</w:t>
      </w:r>
    </w:p>
    <w:p>
      <w:pPr>
        <w:spacing w:after="0" w:line="16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If a purchaser defaults under terms of a contract, our remedies generally include retention of the purchaser's deposit and the ability to remarket the property to other prospective buyers. In many cases, the purchaser has also incurred significant costs in planning, designing and marketing of the property under contract before the contract closes.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DEVELOPMENT PROJECTS</w:t>
      </w:r>
    </w:p>
    <w:p>
      <w:pPr>
        <w:spacing w:after="0" w:line="7" w:lineRule="exact"/>
        <w:rPr>
          <w:sz w:val="20"/>
          <w:szCs w:val="20"/>
          <w:color w:val="auto"/>
        </w:rPr>
      </w:pPr>
    </w:p>
    <w:p>
      <w:pPr>
        <w:spacing w:after="0"/>
        <w:tabs>
          <w:tab w:leader="none" w:pos="5240" w:val="left"/>
          <w:tab w:leader="none" w:pos="6880" w:val="left"/>
          <w:tab w:leader="none" w:pos="8600" w:val="left"/>
        </w:tabs>
        <w:rPr>
          <w:sz w:val="20"/>
          <w:szCs w:val="20"/>
          <w:color w:val="auto"/>
        </w:rPr>
      </w:pPr>
      <w:r>
        <w:rPr>
          <w:rFonts w:ascii="Courier New" w:cs="Courier New" w:eastAsia="Courier New" w:hAnsi="Courier New"/>
          <w:sz w:val="14"/>
          <w:szCs w:val="14"/>
          <w:color w:val="auto"/>
        </w:rPr>
        <w:t>FOR THE QUARTER ENDED</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p>
    <w:p>
      <w:pPr>
        <w:spacing w:after="0" w:line="7" w:lineRule="exact"/>
        <w:rPr>
          <w:sz w:val="20"/>
          <w:szCs w:val="20"/>
          <w:color w:val="auto"/>
        </w:rPr>
      </w:pPr>
    </w:p>
    <w:p>
      <w:pPr>
        <w:spacing w:after="0"/>
        <w:tabs>
          <w:tab w:leader="none" w:pos="3440" w:val="left"/>
          <w:tab w:leader="none" w:pos="5240" w:val="left"/>
          <w:tab w:leader="none" w:pos="6700" w:val="left"/>
          <w:tab w:leader="none" w:pos="8000" w:val="left"/>
        </w:tabs>
        <w:rPr>
          <w:sz w:val="20"/>
          <w:szCs w:val="20"/>
          <w:color w:val="auto"/>
        </w:rPr>
      </w:pPr>
      <w:r>
        <w:rPr>
          <w:rFonts w:ascii="Courier New" w:cs="Courier New" w:eastAsia="Courier New" w:hAnsi="Courier New"/>
          <w:sz w:val="14"/>
          <w:szCs w:val="14"/>
          <w:color w:val="auto"/>
        </w:rPr>
        <w:t>MARCH 31, 2007</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ACRES</w:t>
      </w:r>
      <w:r>
        <w:rPr>
          <w:sz w:val="20"/>
          <w:szCs w:val="20"/>
          <w:color w:val="auto"/>
        </w:rPr>
        <w:tab/>
      </w:r>
      <w:r>
        <w:rPr>
          <w:rFonts w:ascii="Courier New" w:cs="Courier New" w:eastAsia="Courier New" w:hAnsi="Courier New"/>
          <w:sz w:val="14"/>
          <w:szCs w:val="14"/>
          <w:color w:val="auto"/>
        </w:rPr>
        <w:t>UNITS</w:t>
      </w:r>
      <w:r>
        <w:rPr>
          <w:sz w:val="20"/>
          <w:szCs w:val="20"/>
          <w:color w:val="auto"/>
        </w:rPr>
        <w:tab/>
      </w:r>
      <w:r>
        <w:rPr>
          <w:rFonts w:ascii="Courier New" w:cs="Courier New" w:eastAsia="Courier New" w:hAnsi="Courier New"/>
          <w:sz w:val="14"/>
          <w:szCs w:val="14"/>
          <w:color w:val="auto"/>
        </w:rPr>
        <w:t>SQ. FT.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Town Center</w:t>
            </w:r>
          </w:p>
        </w:tc>
        <w:tc>
          <w:tcPr>
            <w:tcW w:w="1980" w:type="dxa"/>
            <w:vAlign w:val="bottom"/>
          </w:tcPr>
          <w:p>
            <w:pPr>
              <w:spacing w:after="0"/>
              <w:rPr>
                <w:sz w:val="14"/>
                <w:szCs w:val="14"/>
                <w:color w:val="auto"/>
              </w:rPr>
            </w:pPr>
          </w:p>
        </w:tc>
        <w:tc>
          <w:tcPr>
            <w:tcW w:w="336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80%</w:t>
            </w: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3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1,356</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2,222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2,705,310</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in Estimate</w:t>
            </w:r>
          </w:p>
        </w:tc>
        <w:tc>
          <w:tcPr>
            <w:tcW w:w="33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17</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1,373</w:t>
      </w:r>
      <w:r>
        <w:rPr>
          <w:sz w:val="20"/>
          <w:szCs w:val="20"/>
          <w:color w:val="auto"/>
        </w:rPr>
        <w:tab/>
      </w:r>
      <w:r>
        <w:rPr>
          <w:rFonts w:ascii="Courier New" w:cs="Courier New" w:eastAsia="Courier New" w:hAnsi="Courier New"/>
          <w:sz w:val="14"/>
          <w:szCs w:val="14"/>
          <w:color w:val="auto"/>
        </w:rPr>
        <w:t>2,319</w:t>
      </w:r>
      <w:r>
        <w:rPr>
          <w:sz w:val="20"/>
          <w:szCs w:val="20"/>
          <w:color w:val="auto"/>
        </w:rPr>
        <w:tab/>
      </w:r>
      <w:r>
        <w:rPr>
          <w:rFonts w:ascii="Courier New" w:cs="Courier New" w:eastAsia="Courier New" w:hAnsi="Courier New"/>
          <w:sz w:val="14"/>
          <w:szCs w:val="14"/>
          <w:color w:val="auto"/>
        </w:rPr>
        <w:t>2,728,847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344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100%</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34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4,337</w:t>
            </w:r>
          </w:p>
        </w:tc>
        <w:tc>
          <w:tcPr>
            <w:tcW w:w="1720" w:type="dxa"/>
            <w:vAlign w:val="bottom"/>
          </w:tcPr>
          <w:p>
            <w:pPr>
              <w:ind w:left="700"/>
              <w:spacing w:after="0"/>
              <w:rPr>
                <w:sz w:val="20"/>
                <w:szCs w:val="20"/>
                <w:color w:val="auto"/>
              </w:rPr>
            </w:pPr>
            <w:r>
              <w:rPr>
                <w:rFonts w:ascii="Courier New" w:cs="Courier New" w:eastAsia="Courier New" w:hAnsi="Courier New"/>
                <w:sz w:val="14"/>
                <w:szCs w:val="14"/>
                <w:color w:val="auto"/>
              </w:rPr>
              <w:t>3,760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3,156,800</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34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112</w:t>
            </w:r>
          </w:p>
        </w:tc>
        <w:tc>
          <w:tcPr>
            <w:tcW w:w="172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4,449</w:t>
      </w:r>
      <w:r>
        <w:rPr>
          <w:sz w:val="20"/>
          <w:szCs w:val="20"/>
          <w:color w:val="auto"/>
        </w:rPr>
        <w:tab/>
      </w:r>
      <w:r>
        <w:rPr>
          <w:rFonts w:ascii="Courier New" w:cs="Courier New" w:eastAsia="Courier New" w:hAnsi="Courier New"/>
          <w:sz w:val="14"/>
          <w:szCs w:val="14"/>
          <w:color w:val="auto"/>
        </w:rPr>
        <w:t>3,760</w:t>
      </w:r>
      <w:r>
        <w:rPr>
          <w:sz w:val="20"/>
          <w:szCs w:val="20"/>
          <w:color w:val="auto"/>
        </w:rPr>
        <w:tab/>
      </w:r>
      <w:r>
        <w:rPr>
          <w:rFonts w:ascii="Courier New" w:cs="Courier New" w:eastAsia="Courier New" w:hAnsi="Courier New"/>
          <w:sz w:val="14"/>
          <w:szCs w:val="14"/>
          <w:color w:val="auto"/>
        </w:rPr>
        <w:t>3,156,800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Ormond Crossings</w:t>
            </w:r>
          </w:p>
        </w:tc>
        <w:tc>
          <w:tcPr>
            <w:tcW w:w="1520" w:type="dxa"/>
            <w:vAlign w:val="bottom"/>
          </w:tcPr>
          <w:p>
            <w:pPr>
              <w:spacing w:after="0"/>
              <w:rPr>
                <w:sz w:val="14"/>
                <w:szCs w:val="14"/>
                <w:color w:val="auto"/>
              </w:rPr>
            </w:pPr>
          </w:p>
        </w:tc>
        <w:tc>
          <w:tcPr>
            <w:tcW w:w="27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31, 2006</w:t>
            </w:r>
          </w:p>
        </w:tc>
        <w:tc>
          <w:tcPr>
            <w:tcW w:w="2760" w:type="dxa"/>
            <w:vAlign w:val="bottom"/>
          </w:tcPr>
          <w:p>
            <w:pPr>
              <w:ind w:left="2320"/>
              <w:spacing w:after="0"/>
              <w:rPr>
                <w:sz w:val="20"/>
                <w:szCs w:val="20"/>
                <w:color w:val="auto"/>
              </w:rPr>
            </w:pPr>
            <w:r>
              <w:rPr>
                <w:rFonts w:ascii="Courier New" w:cs="Courier New" w:eastAsia="Courier New" w:hAnsi="Courier New"/>
                <w:sz w:val="14"/>
                <w:szCs w:val="14"/>
                <w:color w:val="auto"/>
                <w:w w:val="99"/>
              </w:rPr>
              <w:t>5,960</w:t>
            </w:r>
          </w:p>
        </w:tc>
      </w:tr>
      <w:tr>
        <w:trPr>
          <w:trHeight w:val="166"/>
        </w:trPr>
        <w:tc>
          <w:tcPr>
            <w:tcW w:w="294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Change in Estimate</w:t>
            </w:r>
          </w:p>
        </w:tc>
        <w:tc>
          <w:tcPr>
            <w:tcW w:w="2760" w:type="dxa"/>
            <w:vAlign w:val="bottom"/>
          </w:tcPr>
          <w:p>
            <w:pPr>
              <w:ind w:left="2320"/>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5,968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8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11,790</w:t>
      </w:r>
      <w:r>
        <w:rPr>
          <w:sz w:val="20"/>
          <w:szCs w:val="20"/>
          <w:color w:val="auto"/>
        </w:rPr>
        <w:tab/>
      </w:r>
      <w:r>
        <w:rPr>
          <w:rFonts w:ascii="Courier New" w:cs="Courier New" w:eastAsia="Courier New" w:hAnsi="Courier New"/>
          <w:sz w:val="14"/>
          <w:szCs w:val="14"/>
          <w:color w:val="auto"/>
        </w:rPr>
        <w:t>6,079</w:t>
      </w:r>
      <w:r>
        <w:rPr>
          <w:sz w:val="20"/>
          <w:szCs w:val="20"/>
          <w:color w:val="auto"/>
        </w:rPr>
        <w:tab/>
      </w:r>
      <w:r>
        <w:rPr>
          <w:rFonts w:ascii="Courier New" w:cs="Courier New" w:eastAsia="Courier New" w:hAnsi="Courier New"/>
          <w:sz w:val="14"/>
          <w:szCs w:val="14"/>
          <w:color w:val="auto"/>
        </w:rPr>
        <w:t>5,885,647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180" w:hanging="344"/>
        <w:spacing w:after="0" w:line="250" w:lineRule="auto"/>
        <w:rPr>
          <w:sz w:val="20"/>
          <w:szCs w:val="20"/>
          <w:color w:val="auto"/>
        </w:rPr>
      </w:pPr>
      <w:r>
        <w:rPr>
          <w:rFonts w:ascii="Courier New" w:cs="Courier New" w:eastAsia="Courier New" w:hAnsi="Courier New"/>
          <w:sz w:val="14"/>
          <w:szCs w:val="14"/>
          <w:color w:val="auto"/>
        </w:rPr>
        <w:t>Acreage</w:t>
      </w:r>
      <w:r>
        <w:rPr>
          <w:sz w:val="20"/>
          <w:szCs w:val="20"/>
          <w:color w:val="auto"/>
        </w:rPr>
        <w:t xml:space="preserve"> </w:t>
      </w:r>
      <w:r>
        <w:rPr>
          <w:rFonts w:ascii="Courier New" w:cs="Courier New" w:eastAsia="Courier New" w:hAnsi="Courier New"/>
          <w:sz w:val="14"/>
          <w:szCs w:val="14"/>
          <w:color w:val="auto"/>
        </w:rPr>
        <w:t>amounts are approximate and shown on a gross basis, including wetlands and minority interest. Acreage amounts may vary due to platting or surveying activity. Wetland amounts vary by property and are often not formally determined prior to sale.</w:t>
      </w:r>
    </w:p>
    <w:p>
      <w:pPr>
        <w:spacing w:after="0" w:line="1" w:lineRule="exact"/>
        <w:rPr>
          <w:sz w:val="20"/>
          <w:szCs w:val="20"/>
          <w:color w:val="auto"/>
        </w:rPr>
      </w:pPr>
    </w:p>
    <w:p>
      <w:pPr>
        <w:ind w:left="440" w:right="520" w:hanging="344"/>
        <w:spacing w:after="0" w:line="247" w:lineRule="auto"/>
        <w:rPr>
          <w:sz w:val="20"/>
          <w:szCs w:val="20"/>
          <w:color w:val="auto"/>
        </w:rPr>
      </w:pPr>
      <w:r>
        <w:rPr>
          <w:rFonts w:ascii="Courier New" w:cs="Courier New" w:eastAsia="Courier New" w:hAnsi="Courier New"/>
          <w:sz w:val="14"/>
          <w:szCs w:val="14"/>
          <w:color w:val="auto"/>
        </w:rPr>
        <w:t>Estimated and includes minority interest. The actual property breakdown at full</w:t>
      </w:r>
      <w:r>
        <w:rPr>
          <w:sz w:val="20"/>
          <w:szCs w:val="20"/>
          <w:color w:val="auto"/>
        </w:rPr>
        <w:t xml:space="preserve"> </w:t>
      </w:r>
      <w:r>
        <w:rPr>
          <w:rFonts w:ascii="Courier New" w:cs="Courier New" w:eastAsia="Courier New" w:hAnsi="Courier New"/>
          <w:sz w:val="14"/>
          <w:szCs w:val="14"/>
          <w:color w:val="auto"/>
        </w:rPr>
        <w:t>build-out may be different than these estimates.</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Includes industrial, office and retail square footage.</w:t>
      </w:r>
    </w:p>
    <w:p>
      <w:pPr>
        <w:spacing w:after="0" w:line="7" w:lineRule="exact"/>
        <w:rPr>
          <w:sz w:val="20"/>
          <w:szCs w:val="20"/>
          <w:color w:val="auto"/>
        </w:rPr>
      </w:pPr>
    </w:p>
    <w:p>
      <w:pPr>
        <w:ind w:left="100"/>
        <w:spacing w:after="0"/>
        <w:tabs>
          <w:tab w:leader="none" w:pos="3080" w:val="left"/>
          <w:tab w:leader="none" w:pos="4200" w:val="left"/>
          <w:tab w:leader="none" w:pos="8780" w:val="left"/>
        </w:tabs>
        <w:rPr>
          <w:sz w:val="20"/>
          <w:szCs w:val="20"/>
          <w:color w:val="auto"/>
        </w:rPr>
      </w:pPr>
      <w:r>
        <w:rPr>
          <w:rFonts w:ascii="Courier New" w:cs="Courier New" w:eastAsia="Courier New" w:hAnsi="Courier New"/>
          <w:sz w:val="14"/>
          <w:szCs w:val="14"/>
          <w:color w:val="auto"/>
        </w:rPr>
        <w:t>A development order approval from</w:t>
        <w:tab/>
        <w:t>the city of</w:t>
        <w:tab/>
        <w:t>Ormond Crossings was received in December 2006, for</w:t>
        <w:tab/>
        <w:t>up to 3,700</w:t>
      </w:r>
    </w:p>
    <w:p>
      <w:pPr>
        <w:sectPr>
          <w:pgSz w:w="11900" w:h="16877" w:orient="portrait"/>
          <w:cols w:equalWidth="0" w:num="1">
            <w:col w:w="10260"/>
          </w:cols>
          <w:pgMar w:left="220" w:top="616" w:right="1419" w:bottom="0" w:gutter="0" w:footer="0" w:header="0"/>
        </w:sectPr>
      </w:pPr>
    </w:p>
    <w:bookmarkStart w:id="24" w:name="page25"/>
    <w:bookmarkEnd w:id="24"/>
    <w:p>
      <w:pPr>
        <w:jc w:val="both"/>
        <w:ind w:right="159"/>
        <w:spacing w:after="0" w:line="252" w:lineRule="auto"/>
        <w:rPr>
          <w:sz w:val="20"/>
          <w:szCs w:val="20"/>
          <w:color w:val="auto"/>
        </w:rPr>
      </w:pPr>
      <w:r>
        <w:rPr>
          <w:rFonts w:ascii="Courier New" w:cs="Courier New" w:eastAsia="Courier New" w:hAnsi="Courier New"/>
          <w:sz w:val="14"/>
          <w:szCs w:val="14"/>
          <w:color w:val="auto"/>
        </w:rPr>
        <w:t>residential units and 5 million commercial square feet. A development order from Flagler County is currently under review, and if approved, Ormond Crossings will receive entitlements for up to 700 additional residential units. Actual build-out, however, will consider market demand as well as infrastructure and mitigation costs.</w:t>
      </w:r>
    </w:p>
    <w:p>
      <w:pPr>
        <w:spacing w:after="0" w:line="200" w:lineRule="exact"/>
        <w:rPr>
          <w:sz w:val="20"/>
          <w:szCs w:val="20"/>
          <w:color w:val="auto"/>
        </w:rPr>
      </w:pPr>
    </w:p>
    <w:p>
      <w:pPr>
        <w:spacing w:after="0" w:line="294"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2007 Form 10-Q</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9799"/>
          </w:cols>
          <w:pgMar w:left="660" w:top="14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OUTLOOK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LAND 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7" w:lineRule="exact"/>
        <w:rPr>
          <w:sz w:val="20"/>
          <w:szCs w:val="20"/>
          <w:color w:val="auto"/>
        </w:rPr>
      </w:pPr>
    </w:p>
    <w:p>
      <w:pPr>
        <w:spacing w:after="0"/>
        <w:tabs>
          <w:tab w:leader="none" w:pos="3260" w:val="left"/>
          <w:tab w:leader="none" w:pos="4460" w:val="left"/>
          <w:tab w:leader="none" w:pos="5320" w:val="left"/>
          <w:tab w:leader="none" w:pos="6440" w:val="left"/>
          <w:tab w:leader="none" w:pos="7660" w:val="left"/>
          <w:tab w:leader="none" w:pos="8780" w:val="left"/>
        </w:tabs>
        <w:rPr>
          <w:sz w:val="20"/>
          <w:szCs w:val="20"/>
          <w:color w:val="auto"/>
        </w:rPr>
      </w:pPr>
      <w:r>
        <w:rPr>
          <w:rFonts w:ascii="Courier New" w:cs="Courier New" w:eastAsia="Courier New" w:hAnsi="Courier New"/>
          <w:sz w:val="14"/>
          <w:szCs w:val="14"/>
          <w:color w:val="auto"/>
        </w:rPr>
        <w:t>MARCH 31, 2007</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MIXED USE</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AGRICULTURAL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ACRES</w:t>
            </w:r>
          </w:p>
        </w:tc>
        <w:tc>
          <w:tcPr>
            <w:tcW w:w="2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Palm Coast Holdings</w:t>
            </w:r>
          </w:p>
        </w:tc>
        <w:tc>
          <w:tcPr>
            <w:tcW w:w="248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2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2,136</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1,404</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346</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247</w:t>
            </w:r>
          </w:p>
        </w:tc>
        <w:tc>
          <w:tcPr>
            <w:tcW w:w="760" w:type="dxa"/>
            <w:vAlign w:val="bottom"/>
          </w:tcPr>
          <w:p>
            <w:pPr>
              <w:ind w:left="420"/>
              <w:spacing w:after="0"/>
              <w:rPr>
                <w:sz w:val="20"/>
                <w:szCs w:val="20"/>
                <w:color w:val="auto"/>
              </w:rPr>
            </w:pPr>
            <w:r>
              <w:rPr>
                <w:rFonts w:ascii="Courier New" w:cs="Courier New" w:eastAsia="Courier New" w:hAnsi="Courier New"/>
                <w:sz w:val="14"/>
                <w:szCs w:val="14"/>
                <w:color w:val="auto"/>
              </w:rPr>
              <w:t>139</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24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(666)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w:t>
            </w:r>
          </w:p>
        </w:tc>
        <w:tc>
          <w:tcPr>
            <w:tcW w:w="760" w:type="dxa"/>
            <w:vAlign w:val="bottom"/>
          </w:tcPr>
          <w:p>
            <w:pPr>
              <w:ind w:left="420"/>
              <w:spacing w:after="0"/>
              <w:rPr>
                <w:sz w:val="20"/>
                <w:szCs w:val="20"/>
                <w:color w:val="auto"/>
              </w:rPr>
            </w:pPr>
            <w:r>
              <w:rPr>
                <w:rFonts w:ascii="Courier New" w:cs="Courier New" w:eastAsia="Courier New" w:hAnsi="Courier New"/>
                <w:sz w:val="14"/>
                <w:szCs w:val="14"/>
                <w:color w:val="auto"/>
                <w:w w:val="95"/>
              </w:rPr>
              <w:t>(49)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760" w:val="left"/>
          <w:tab w:leader="none" w:pos="6880" w:val="left"/>
          <w:tab w:leader="none" w:pos="8080" w:val="left"/>
          <w:tab w:leader="none" w:pos="9300" w:val="left"/>
        </w:tabs>
        <w:rPr>
          <w:sz w:val="20"/>
          <w:szCs w:val="20"/>
          <w:color w:val="auto"/>
        </w:rPr>
      </w:pPr>
      <w:r>
        <w:rPr>
          <w:rFonts w:ascii="Courier New" w:cs="Courier New" w:eastAsia="Courier New" w:hAnsi="Courier New"/>
          <w:sz w:val="14"/>
          <w:szCs w:val="14"/>
          <w:color w:val="auto"/>
        </w:rPr>
        <w:t>1,470</w:t>
      </w:r>
      <w:r>
        <w:rPr>
          <w:sz w:val="20"/>
          <w:szCs w:val="20"/>
          <w:color w:val="auto"/>
        </w:rPr>
        <w:tab/>
      </w:r>
      <w:r>
        <w:rPr>
          <w:rFonts w:ascii="Courier New" w:cs="Courier New" w:eastAsia="Courier New" w:hAnsi="Courier New"/>
          <w:sz w:val="14"/>
          <w:szCs w:val="14"/>
          <w:color w:val="auto"/>
        </w:rPr>
        <w:t>930</w:t>
      </w:r>
      <w:r>
        <w:rPr>
          <w:sz w:val="20"/>
          <w:szCs w:val="20"/>
          <w:color w:val="auto"/>
        </w:rPr>
        <w:tab/>
      </w: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348</w:t>
      </w:r>
      <w:r>
        <w:rPr>
          <w:sz w:val="20"/>
          <w:szCs w:val="20"/>
          <w:color w:val="auto"/>
        </w:rPr>
        <w:tab/>
      </w:r>
      <w:r>
        <w:rPr>
          <w:rFonts w:ascii="Courier New" w:cs="Courier New" w:eastAsia="Courier New" w:hAnsi="Courier New"/>
          <w:sz w:val="13"/>
          <w:szCs w:val="13"/>
          <w:color w:val="auto"/>
        </w:rPr>
        <w:t>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Lehigh</w:t>
            </w:r>
          </w:p>
        </w:tc>
        <w:tc>
          <w:tcPr>
            <w:tcW w:w="262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80%</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2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223</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2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740"/>
        <w:spacing w:after="0"/>
        <w:tabs>
          <w:tab w:leader="none" w:pos="5940" w:val="left"/>
          <w:tab w:leader="none" w:pos="6880" w:val="left"/>
          <w:tab w:leader="none" w:pos="8180" w:val="left"/>
          <w:tab w:leader="none" w:pos="938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Cape Coral</w:t>
            </w:r>
          </w:p>
        </w:tc>
        <w:tc>
          <w:tcPr>
            <w:tcW w:w="272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2720" w:type="dxa"/>
            <w:vAlign w:val="bottom"/>
          </w:tcPr>
          <w:p>
            <w:pPr>
              <w:ind w:left="2040"/>
              <w:spacing w:after="0"/>
              <w:rPr>
                <w:sz w:val="20"/>
                <w:szCs w:val="20"/>
                <w:color w:val="auto"/>
              </w:rPr>
            </w:pPr>
            <w:r>
              <w:rPr>
                <w:rFonts w:ascii="Courier New" w:cs="Courier New" w:eastAsia="Courier New" w:hAnsi="Courier New"/>
                <w:sz w:val="14"/>
                <w:szCs w:val="14"/>
                <w:color w:val="auto"/>
              </w:rPr>
              <w:t>30</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ind w:left="520"/>
              <w:spacing w:after="0"/>
              <w:rPr>
                <w:sz w:val="20"/>
                <w:szCs w:val="20"/>
                <w:color w:val="auto"/>
              </w:rPr>
            </w:pPr>
            <w:r>
              <w:rPr>
                <w:rFonts w:ascii="Courier New" w:cs="Courier New" w:eastAsia="Courier New" w:hAnsi="Courier New"/>
                <w:sz w:val="14"/>
                <w:szCs w:val="14"/>
                <w:color w:val="auto"/>
              </w:rPr>
              <w:t>29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720" w:type="dxa"/>
            <w:vAlign w:val="bottom"/>
          </w:tcPr>
          <w:p>
            <w:pPr>
              <w:ind w:left="20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520"/>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840"/>
        <w:spacing w:after="0"/>
        <w:tabs>
          <w:tab w:leader="none" w:pos="5940" w:val="left"/>
          <w:tab w:leader="none" w:pos="7060" w:val="left"/>
          <w:tab w:leader="none" w:pos="8180" w:val="left"/>
          <w:tab w:leader="none" w:pos="938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8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2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934</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8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28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(113)</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740"/>
        <w:spacing w:after="0"/>
        <w:tabs>
          <w:tab w:leader="none" w:pos="5940" w:val="left"/>
          <w:tab w:leader="none" w:pos="7060" w:val="left"/>
          <w:tab w:leader="none" w:pos="8260" w:val="left"/>
          <w:tab w:leader="none" w:pos="9200" w:val="left"/>
        </w:tabs>
        <w:rPr>
          <w:sz w:val="20"/>
          <w:szCs w:val="20"/>
          <w:color w:val="auto"/>
        </w:rPr>
      </w:pPr>
      <w:r>
        <w:rPr>
          <w:rFonts w:ascii="Courier New" w:cs="Courier New" w:eastAsia="Courier New" w:hAnsi="Courier New"/>
          <w:sz w:val="14"/>
          <w:szCs w:val="14"/>
          <w:color w:val="auto"/>
        </w:rPr>
        <w:t>457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760" w:val="left"/>
          <w:tab w:leader="none" w:pos="6880" w:val="left"/>
          <w:tab w:leader="none" w:pos="8080" w:val="left"/>
          <w:tab w:leader="none" w:pos="9200" w:val="left"/>
        </w:tabs>
        <w:rPr>
          <w:sz w:val="20"/>
          <w:szCs w:val="20"/>
          <w:color w:val="auto"/>
        </w:rPr>
      </w:pPr>
      <w:r>
        <w:rPr>
          <w:rFonts w:ascii="Courier New" w:cs="Courier New" w:eastAsia="Courier New" w:hAnsi="Courier New"/>
          <w:sz w:val="14"/>
          <w:szCs w:val="14"/>
          <w:color w:val="auto"/>
        </w:rPr>
        <w:t>2,177</w:t>
      </w:r>
      <w:r>
        <w:rPr>
          <w:sz w:val="20"/>
          <w:szCs w:val="20"/>
          <w:color w:val="auto"/>
        </w:rPr>
        <w:tab/>
      </w:r>
      <w:r>
        <w:rPr>
          <w:rFonts w:ascii="Courier New" w:cs="Courier New" w:eastAsia="Courier New" w:hAnsi="Courier New"/>
          <w:sz w:val="14"/>
          <w:szCs w:val="14"/>
          <w:color w:val="auto"/>
        </w:rPr>
        <w:t>930</w:t>
      </w:r>
      <w:r>
        <w:rPr>
          <w:sz w:val="20"/>
          <w:szCs w:val="20"/>
          <w:color w:val="auto"/>
        </w:rPr>
        <w:tab/>
      </w:r>
      <w:r>
        <w:rPr>
          <w:rFonts w:ascii="Courier New" w:cs="Courier New" w:eastAsia="Courier New" w:hAnsi="Courier New"/>
          <w:sz w:val="14"/>
          <w:szCs w:val="14"/>
          <w:color w:val="auto"/>
        </w:rPr>
        <w:t>243</w:t>
      </w:r>
      <w:r>
        <w:rPr>
          <w:sz w:val="20"/>
          <w:szCs w:val="20"/>
          <w:color w:val="auto"/>
        </w:rPr>
        <w:tab/>
      </w:r>
      <w:r>
        <w:rPr>
          <w:rFonts w:ascii="Courier New" w:cs="Courier New" w:eastAsia="Courier New" w:hAnsi="Courier New"/>
          <w:sz w:val="14"/>
          <w:szCs w:val="14"/>
          <w:color w:val="auto"/>
        </w:rPr>
        <w:t>448</w:t>
      </w:r>
      <w:r>
        <w:rPr>
          <w:sz w:val="20"/>
          <w:szCs w:val="20"/>
          <w:color w:val="auto"/>
        </w:rPr>
        <w:tab/>
      </w:r>
      <w:r>
        <w:rPr>
          <w:rFonts w:ascii="Courier New" w:cs="Courier New" w:eastAsia="Courier New" w:hAnsi="Courier New"/>
          <w:sz w:val="14"/>
          <w:szCs w:val="14"/>
          <w:color w:val="auto"/>
        </w:rPr>
        <w:t>556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180" w:hanging="344"/>
        <w:spacing w:after="0" w:line="253" w:lineRule="auto"/>
        <w:rPr>
          <w:sz w:val="20"/>
          <w:szCs w:val="20"/>
          <w:color w:val="auto"/>
        </w:rPr>
      </w:pPr>
      <w:r>
        <w:rPr>
          <w:rFonts w:ascii="Courier New" w:cs="Courier New" w:eastAsia="Courier New" w:hAnsi="Courier New"/>
          <w:sz w:val="14"/>
          <w:szCs w:val="14"/>
          <w:color w:val="auto"/>
        </w:rPr>
        <w:t>Acreage amounts</w:t>
      </w:r>
      <w:r>
        <w:rPr>
          <w:sz w:val="20"/>
          <w:szCs w:val="20"/>
          <w:color w:val="auto"/>
        </w:rPr>
        <w:t xml:space="preserve"> </w:t>
      </w:r>
      <w:r>
        <w:rPr>
          <w:rFonts w:ascii="Courier New" w:cs="Courier New" w:eastAsia="Courier New" w:hAnsi="Courier New"/>
          <w:sz w:val="14"/>
          <w:szCs w:val="14"/>
          <w:color w:val="auto"/>
        </w:rPr>
        <w:t>are approximate and shown on a gross basis, including wetlands and minority interest. Acreage amounts may vary due to platting or surveying activity. Wetland amounts vary by property and are often not formally determined prior to sale. The actual property allocation at full build-out may be different than these estimates.</w:t>
      </w:r>
    </w:p>
    <w:p>
      <w:pPr>
        <w:spacing w:after="0" w:line="161" w:lineRule="exact"/>
        <w:rPr>
          <w:sz w:val="20"/>
          <w:szCs w:val="20"/>
          <w:color w:val="auto"/>
        </w:rPr>
      </w:pPr>
    </w:p>
    <w:p>
      <w:pPr>
        <w:ind w:left="440" w:right="520" w:hanging="344"/>
        <w:spacing w:after="0" w:line="255" w:lineRule="auto"/>
        <w:rPr>
          <w:sz w:val="20"/>
          <w:szCs w:val="20"/>
          <w:color w:val="auto"/>
        </w:rPr>
      </w:pPr>
      <w:r>
        <w:rPr>
          <w:rFonts w:ascii="Courier New" w:cs="Courier New" w:eastAsia="Courier New" w:hAnsi="Courier New"/>
          <w:sz w:val="14"/>
          <w:szCs w:val="14"/>
          <w:color w:val="auto"/>
        </w:rPr>
        <w:t>Includes</w:t>
      </w:r>
      <w:r>
        <w:rPr>
          <w:sz w:val="20"/>
          <w:szCs w:val="20"/>
          <w:color w:val="auto"/>
        </w:rPr>
        <w:t xml:space="preserve"> </w:t>
      </w:r>
      <w:r>
        <w:rPr>
          <w:rFonts w:ascii="Courier New" w:cs="Courier New" w:eastAsia="Courier New" w:hAnsi="Courier New"/>
          <w:sz w:val="14"/>
          <w:szCs w:val="14"/>
          <w:color w:val="auto"/>
        </w:rPr>
        <w:t>land located in Ormond Beach, Florida and other land located in Palm Coast, Florida not included in development projects.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ACTIVITIES</w:t>
      </w:r>
    </w:p>
    <w:p>
      <w:pPr>
        <w:spacing w:after="0" w:line="173"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4"/>
          <w:szCs w:val="14"/>
          <w:color w:val="auto"/>
        </w:rPr>
        <w:t>We believe our financial condition is strong, as evidenced by cash and cash equivalents and short-term investments of $128.5 million, and a debt to total capital ratio of 36 percent at March 31, 2007.</w:t>
      </w:r>
    </w:p>
    <w:p>
      <w:pPr>
        <w:spacing w:after="0" w:line="16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OPERATING ACTIVITIES. Cash flows from operating activities were $26.2 million for the quarter ended March 31, 2007 ($44.2 million for the quarter ended March 31, 2006). Cash from operating activities was lower in 2007, primarily due to an $18.3 million change in cash flow from deferred fuel costs (included in Prepayments and Other) yet to be recovered through future billings. Deferred fuel costs increased due to generation outages, lower hydro generation and cooler weather in the first quarter of 2007 resulting in increased purchased power. Cash flow from accounts receivable collections in 2006 was higher due to the collection of deferred fuel cost billings related to outages in late 2005. Cash used for discontinued operations was higher in 2006 due to payment of $12.6 million of accrued liabilities from 2005.</w:t>
      </w:r>
    </w:p>
    <w:p>
      <w:pPr>
        <w:spacing w:after="0" w:line="16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INVESTING ACTIVITIES. Cash flow used in investing activities was $20.2 million for the quarter ended March 31, 2007 ($49.2 million for the quarter ended March 31, 2006). Cash used for investing activities was lower in 2007 than 2006, primarily due to decreased activity within our short-term investment portfolio. In 2007, net proceeds of $22.4 million were received from the sale of short-term investments, while 2006 included $44.6 million of net purchases. Cash used for investing activities in 2007 reflected $8.7 million invested in ATC and an $11.9 million increase in additions to property, plant and equipment due to major environmental construction projects.</w:t>
      </w:r>
    </w:p>
    <w:p>
      <w:pPr>
        <w:spacing w:after="0" w:line="164"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ALLETE First Quarter 2007 Form 10-Q</w:t>
      </w:r>
    </w:p>
    <w:p>
      <w:pPr>
        <w:sectPr>
          <w:pgSz w:w="11900" w:h="16838" w:orient="portrait"/>
          <w:cols w:equalWidth="0" w:num="1">
            <w:col w:w="10260"/>
          </w:cols>
          <w:pgMar w:left="220" w:top="616" w:right="1419" w:bottom="757"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FINANCING ACTIVITIES. Cash flow used in financing activities was $4.4 million for the quarter ended March 31, 2007 ($9.6 million for the quarter ended March 31, 2006). The decrease in cash used for financing activities reflected a $2.7 million increase in borrowings under the line of credit at ALLETE Properties in 2007 and dividends paid of $0.4 million.</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WORKING CAPITAL. Additional working capital, if and when needed, generally is provided by the sale of commercial paper. We have 0.5 million original issue shares of our common stock available for issuance through INVEST DIRECT, our direct stock purchase and dividend reinvestment plan. We have bank lines of credit aggregating $170.0 million, the majority of which expire in January 2012.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There have been no material changes from the securities disclosed under the heading "Securities" in Part II, Item 7 of our 2006 Form 10-K.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Off-balance sheet arrangements are summarized in our 2006 Form 10-K, with additional disclosure discussed in Note 10 of this Form 10-Q.</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REQUIREMENTS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For the quarter ended March 31, 2007, capital expenditures for continuing operations totaled $21.9 million ($13.6 million in 2006), which were spent in the Regulated Utility segment. Internally generated funds were the source of funding for these expenditures.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Real estate development expenditures are and will be funded with a revolving development loan and tax-exempt bonds issued by community development districts. Additional disclosure regarding the Town Center and Palm Coast Park district tax-exempt bonds is included in Note 10 of this Form 10-Q.</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 AND OTHER</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previously discussed in our Critical Accounting Policies section, 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We are unable to predict the outcome of the matters discussed in Note 10 of this Form 10-Q.</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 are discussed in Note 1.</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INVESTMENTS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AVAILABLE-FOR-SALE SECURITIES. As of March 31, 2007, our available-for-sale securities portfolio consisted of securities in a grantor trust established to fund certain employee benefits included in Investments, and various auction rate bonds and variable rate demand notes included in Short-Term Investments. Our available-for-sale securities portfolio had a fair value of $109.9 million at March 31, 2007 ($130.1 million at December 31, 2006) and a total unrealized after-tax gain of $4.2 million at March 31, 2007 ($4.0 million at December 31, 2006).</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use the specific identification method as the basis for determining the cost of securities sold. Our policy is to review, on a quarterly basis, available-for-sale securities for other than temporary impairment by assessing such factors as share price trends and the impact of overall market conditions. As a result of our periodic assessments, we did not record any impairments on our available-for-sale securities for the quarter ended March 31, 2007.</w:t>
      </w:r>
    </w:p>
    <w:p>
      <w:pPr>
        <w:spacing w:after="0" w:line="164"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2007 Form 10-Q</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0239"/>
          </w:cols>
          <w:pgMar w:left="220" w:top="616" w:right="1440" w:bottom="1440" w:gutter="0" w:footer="0" w:header="0"/>
        </w:sectPr>
      </w:pPr>
    </w:p>
    <w:bookmarkStart w:id="27" w:name="page28"/>
    <w:bookmarkEnd w:id="27"/>
    <w:p>
      <w:pPr>
        <w:spacing w:after="0"/>
        <w:tabs>
          <w:tab w:leader="none" w:pos="76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investments in venture capital funds under the equity method and account for our direct investments in privately-held companies under the cost method based primarily on our ownership percentages. The total carrying value of our emerging technology portfolio was $9.0 million at March 31, 2007 ($9.2 million at December 31, 2006). Our policy is to review these investments quarterly for impairment by assessing such factors as continued commercial viability of products, cash flow and earnings. Any impairment would reduce the carrying value of the investment. Our basis in direct investments in privately-held companies included in the emerging technology portfolio was zero at March 31, 2007, and December 31, 2006.</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COMMODITY PRICE RISK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resulted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MARKETING</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power marketing activities consist of (1) purchasing energy in the wholesale market for resale in our regulated service territories when retail energy requirements exceed generation output and (2) selling excess available generation and purchased power.</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From time to time, our utility operations may have excess generation that is temporarily not required by retail and municipal customers in our regulated service territory. We actively sell this generation to the wholesale market to optimize the value of our generating facilities. This generation is typically sold in the MISO market at market prices.</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Approximately 200 MW of generation from our Taconite Harbor facility in northern Minnesota has been sold through various long-term capacity and energy contracts. Long-term, we have entered into two capacity and energy sales contracts totaling 175 MW (201 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50-MW capacity and energy sales contract that extends through April 2008, with formula pricing based on variable production cost of a combustion-turbine, natural gas unit.</w:t>
      </w:r>
    </w:p>
    <w:p>
      <w:pPr>
        <w:spacing w:after="0" w:line="33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10-Q. Based upon that evaluation, our chief executive officer and chief financial officer concluded that our disclosure controls and procedures are effective. While we continue to enhance our internal control over financial reporting,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28"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ALLETE First Quarter 2007 Form 10-Q</w:t>
      </w:r>
    </w:p>
    <w:p>
      <w:pPr>
        <w:sectPr>
          <w:pgSz w:w="11900" w:h="16838" w:orient="portrait"/>
          <w:cols w:equalWidth="0" w:num="1">
            <w:col w:w="10239"/>
          </w:cols>
          <w:pgMar w:left="220" w:top="616" w:right="1440" w:bottom="1440" w:gutter="0" w:footer="0" w:header="0"/>
        </w:sectPr>
      </w:pPr>
    </w:p>
    <w:bookmarkStart w:id="28" w:name="page29"/>
    <w:bookmarkEnd w:id="28"/>
    <w:p>
      <w:pPr>
        <w:spacing w:after="0"/>
        <w:tabs>
          <w:tab w:leader="none" w:pos="940" w:val="left"/>
        </w:tabs>
        <w:rPr>
          <w:sz w:val="20"/>
          <w:szCs w:val="20"/>
          <w:color w:val="auto"/>
        </w:rPr>
      </w:pPr>
      <w:r>
        <w:rPr>
          <w:rFonts w:ascii="Courier New" w:cs="Courier New" w:eastAsia="Courier New" w:hAnsi="Courier New"/>
          <w:sz w:val="14"/>
          <w:szCs w:val="14"/>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4"/>
          <w:szCs w:val="14"/>
          <w:color w:val="auto"/>
        </w:rPr>
        <w:t>Material legal and regulatory proceedings are included in the discussion of Other Information in Part II, Item 5 and/or Note 10 of this Form 10-Q, and are incorporated by reference herein.</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1A.</w:t>
      </w:r>
      <w:r>
        <w:rPr>
          <w:sz w:val="20"/>
          <w:szCs w:val="20"/>
          <w:color w:val="auto"/>
        </w:rPr>
        <w:tab/>
      </w:r>
      <w:r>
        <w:rPr>
          <w:rFonts w:ascii="Courier New" w:cs="Courier New" w:eastAsia="Courier New" w:hAnsi="Courier New"/>
          <w:sz w:val="14"/>
          <w:szCs w:val="14"/>
          <w:color w:val="auto"/>
        </w:rPr>
        <w:t>RISK FACTORS</w:t>
      </w:r>
    </w:p>
    <w:p>
      <w:pPr>
        <w:spacing w:after="0" w:line="173" w:lineRule="exact"/>
        <w:rPr>
          <w:sz w:val="20"/>
          <w:szCs w:val="20"/>
          <w:color w:val="auto"/>
        </w:rPr>
      </w:pPr>
    </w:p>
    <w:p>
      <w:pPr>
        <w:jc w:val="both"/>
        <w:ind w:right="3360"/>
        <w:spacing w:after="0" w:line="255" w:lineRule="auto"/>
        <w:rPr>
          <w:sz w:val="20"/>
          <w:szCs w:val="20"/>
          <w:color w:val="auto"/>
        </w:rPr>
      </w:pPr>
      <w:r>
        <w:rPr>
          <w:rFonts w:ascii="Courier New" w:cs="Courier New" w:eastAsia="Courier New" w:hAnsi="Courier New"/>
          <w:sz w:val="14"/>
          <w:szCs w:val="14"/>
          <w:color w:val="auto"/>
        </w:rPr>
        <w:t>There have been no material changes from the risk factors disclosed under the heading "Risk Factors" in Part I, Item 1A of our 2006 Form 10-K.</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UNREGISTERED SALES OF EQUITY SECURITIES AND USE OF PROCEEDS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4"/>
          <w:szCs w:val="14"/>
          <w:color w:val="auto"/>
        </w:rPr>
        <w:t>Reference is made to our 2006 Form 10-K for background information on the following updates. Unless otherwise indicated, cited references are to our 2006 Form 10-K.</w:t>
      </w:r>
    </w:p>
    <w:p>
      <w:pPr>
        <w:spacing w:after="0" w:line="163" w:lineRule="exact"/>
        <w:rPr>
          <w:sz w:val="20"/>
          <w:szCs w:val="20"/>
          <w:color w:val="auto"/>
        </w:rPr>
      </w:pPr>
    </w:p>
    <w:p>
      <w:pPr>
        <w:ind w:right="3360"/>
        <w:spacing w:after="0" w:line="255" w:lineRule="auto"/>
        <w:rPr>
          <w:sz w:val="20"/>
          <w:szCs w:val="20"/>
          <w:color w:val="auto"/>
        </w:rPr>
      </w:pPr>
      <w:r>
        <w:rPr>
          <w:rFonts w:ascii="Courier New" w:cs="Courier New" w:eastAsia="Courier New" w:hAnsi="Courier New"/>
          <w:sz w:val="14"/>
          <w:szCs w:val="14"/>
          <w:color w:val="auto"/>
        </w:rPr>
        <w:t>Ref. Page 8 - Energy - Regulated Utility, Large Power Customer Contracts, First Full Paragraph</w:t>
      </w:r>
    </w:p>
    <w:p>
      <w:pPr>
        <w:spacing w:after="0" w:line="160"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On December 12, 2006, Minnesota Power announced it reached an agreement with PolyMet to provide all of its electric service needs through 2018 at its proposed copper, nickel and precious metals mining operation located in northeastern Minnesota. PolyMet plans to begin commercial operations at its mine and process plant complex near Hoyt Lakes, Minnesota, by late 2008, pending completion of financing arrangements and receipt of regulatory approvals. Once fully operational, it is anticipated that PolyMet will require approximately 70 MW of electric power, becoming one of Minnesota Power's large industrial customers. The PolyMet electric service agreement was approved by the MPUC on April 25, 2007.</w:t>
      </w:r>
    </w:p>
    <w:p>
      <w:pPr>
        <w:spacing w:after="0" w:line="329" w:lineRule="exact"/>
        <w:rPr>
          <w:sz w:val="20"/>
          <w:szCs w:val="20"/>
          <w:color w:val="auto"/>
        </w:rPr>
      </w:pPr>
    </w:p>
    <w:p>
      <w:pPr>
        <w:ind w:right="3360"/>
        <w:spacing w:after="0" w:line="255" w:lineRule="auto"/>
        <w:rPr>
          <w:sz w:val="20"/>
          <w:szCs w:val="20"/>
          <w:color w:val="auto"/>
        </w:rPr>
      </w:pPr>
      <w:r>
        <w:rPr>
          <w:rFonts w:ascii="Courier New" w:cs="Courier New" w:eastAsia="Courier New" w:hAnsi="Courier New"/>
          <w:sz w:val="14"/>
          <w:szCs w:val="14"/>
          <w:color w:val="auto"/>
        </w:rPr>
        <w:t>Ref. Page 8 - Energy - Regulated Utility, Large Power Customer Contracts - Fifth Paragraph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780"/>
        <w:spacing w:after="0" w:line="247" w:lineRule="auto"/>
        <w:rPr>
          <w:sz w:val="20"/>
          <w:szCs w:val="20"/>
          <w:color w:val="auto"/>
        </w:rPr>
      </w:pPr>
      <w:r>
        <w:rPr>
          <w:rFonts w:ascii="Courier New" w:cs="Courier New" w:eastAsia="Courier New" w:hAnsi="Courier New"/>
          <w:sz w:val="14"/>
          <w:szCs w:val="14"/>
          <w:color w:val="auto"/>
        </w:rPr>
        <w:t>MINIMUM REVENUE AND DEMAND UNDER CONTRACT MINIMUM MONTHLY AS OF MARCH 31, 2007 ANNUAL REVENUE MEGAWATTS</w:t>
      </w:r>
    </w:p>
    <w:p>
      <w:pPr>
        <w:spacing w:after="0" w:line="168"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6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5"/>
              </w:rPr>
              <w:t>2007</w:t>
            </w:r>
          </w:p>
        </w:tc>
        <w:tc>
          <w:tcPr>
            <w:tcW w:w="43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$96.9</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625</w:t>
            </w:r>
          </w:p>
        </w:tc>
      </w:tr>
      <w:tr>
        <w:trPr>
          <w:trHeight w:val="166"/>
        </w:trPr>
        <w:tc>
          <w:tcPr>
            <w:tcW w:w="306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5"/>
              </w:rPr>
              <w:t>2008</w:t>
            </w:r>
          </w:p>
        </w:tc>
        <w:tc>
          <w:tcPr>
            <w:tcW w:w="43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$31.4</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166"/>
        </w:trPr>
        <w:tc>
          <w:tcPr>
            <w:tcW w:w="306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5"/>
              </w:rPr>
              <w:t>2009</w:t>
            </w:r>
          </w:p>
        </w:tc>
        <w:tc>
          <w:tcPr>
            <w:tcW w:w="43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$25.9</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06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5"/>
              </w:rPr>
              <w:t>2010</w:t>
            </w:r>
          </w:p>
        </w:tc>
        <w:tc>
          <w:tcPr>
            <w:tcW w:w="43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$25.8</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06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5"/>
              </w:rPr>
              <w:t>2011</w:t>
            </w:r>
          </w:p>
        </w:tc>
        <w:tc>
          <w:tcPr>
            <w:tcW w:w="43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$19.0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tabs>
          <w:tab w:leader="none" w:pos="2660" w:val="left"/>
          <w:tab w:leader="none" w:pos="5420" w:val="left"/>
        </w:tabs>
        <w:rPr>
          <w:sz w:val="20"/>
          <w:szCs w:val="20"/>
          <w:color w:val="auto"/>
        </w:rPr>
      </w:pPr>
      <w:r>
        <w:rPr>
          <w:rFonts w:ascii="Courier New" w:cs="Courier New" w:eastAsia="Courier New" w:hAnsi="Courier New"/>
          <w:sz w:val="14"/>
          <w:szCs w:val="14"/>
          <w:color w:val="auto"/>
        </w:rPr>
        <w:t>Based on past experience, we</w:t>
        <w:tab/>
        <w:t>believe revenue from our large</w:t>
        <w:tab/>
        <w:t>power customers will be substantially in excess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minimum contract amounts.</w:t>
      </w:r>
    </w:p>
    <w:p>
      <w:pPr>
        <w:spacing w:after="0" w:line="7" w:lineRule="exact"/>
        <w:rPr>
          <w:sz w:val="20"/>
          <w:szCs w:val="20"/>
          <w:color w:val="auto"/>
        </w:rPr>
      </w:pPr>
    </w:p>
    <w:p>
      <w:pPr>
        <w:ind w:left="100"/>
        <w:spacing w:after="0"/>
        <w:tabs>
          <w:tab w:leader="none" w:pos="8780" w:val="left"/>
        </w:tabs>
        <w:rPr>
          <w:sz w:val="20"/>
          <w:szCs w:val="20"/>
          <w:color w:val="auto"/>
        </w:rPr>
      </w:pPr>
      <w:r>
        <w:rPr>
          <w:rFonts w:ascii="Courier New" w:cs="Courier New" w:eastAsia="Courier New" w:hAnsi="Courier New"/>
          <w:sz w:val="14"/>
          <w:szCs w:val="14"/>
          <w:color w:val="auto"/>
        </w:rPr>
        <w:t>Although several contracts have a feature that allows demand to go to zero after a two-year advance</w:t>
        <w:tab/>
        <w:t>notice of a</w:t>
      </w:r>
    </w:p>
    <w:p>
      <w:pPr>
        <w:spacing w:after="0" w:line="7" w:lineRule="exact"/>
        <w:rPr>
          <w:sz w:val="20"/>
          <w:szCs w:val="20"/>
          <w:color w:val="auto"/>
        </w:rPr>
      </w:pPr>
    </w:p>
    <w:p>
      <w:pPr>
        <w:ind w:left="440"/>
        <w:spacing w:after="0"/>
        <w:tabs>
          <w:tab w:leader="none" w:pos="1360" w:val="left"/>
          <w:tab w:leader="none" w:pos="3340" w:val="left"/>
          <w:tab w:leader="none" w:pos="4120" w:val="left"/>
          <w:tab w:leader="none" w:pos="7740" w:val="left"/>
        </w:tabs>
        <w:rPr>
          <w:sz w:val="20"/>
          <w:szCs w:val="20"/>
          <w:color w:val="auto"/>
        </w:rPr>
      </w:pPr>
      <w:r>
        <w:rPr>
          <w:rFonts w:ascii="Courier New" w:cs="Courier New" w:eastAsia="Courier New" w:hAnsi="Courier New"/>
          <w:sz w:val="14"/>
          <w:szCs w:val="14"/>
          <w:color w:val="auto"/>
        </w:rPr>
        <w:t>permanent</w:t>
        <w:tab/>
        <w:t>closure, this minimum</w:t>
        <w:tab/>
        <w:t>revenue</w:t>
        <w:tab/>
        <w:t>summary does not reflect this occurrence</w:t>
        <w:tab/>
        <w:t>happening in the forecasted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period because we believe it is unlikely.</w:t>
      </w:r>
    </w:p>
    <w:p>
      <w:pPr>
        <w:sectPr>
          <w:pgSz w:w="11900" w:h="16838" w:orient="portrait"/>
          <w:cols w:equalWidth="0" w:num="1">
            <w:col w:w="10260"/>
          </w:cols>
          <w:pgMar w:left="220" w:top="616" w:right="141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left="660"/>
        <w:spacing w:after="0"/>
        <w:rPr>
          <w:sz w:val="20"/>
          <w:szCs w:val="20"/>
          <w:color w:val="auto"/>
        </w:rPr>
      </w:pPr>
      <w:r>
        <w:rPr>
          <w:rFonts w:ascii="Courier New" w:cs="Courier New" w:eastAsia="Courier New" w:hAnsi="Courier New"/>
          <w:sz w:val="14"/>
          <w:szCs w:val="14"/>
          <w:color w:val="auto"/>
        </w:rPr>
        <w:t>ALLETE First Quarter 2007 Form 10-Q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2">
            <w:col w:w="6000" w:space="720"/>
            <w:col w:w="3540"/>
          </w:cols>
          <w:pgMar w:left="220" w:top="616" w:right="1419" w:bottom="1440" w:gutter="0" w:footer="0" w:header="0"/>
          <w:type w:val="continuous"/>
        </w:sectPr>
      </w:pPr>
    </w:p>
    <w:bookmarkStart w:id="29" w:name="page30"/>
    <w:bookmarkEnd w:id="29"/>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INFORMATION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16 - Real Estate, Fifth Full Paragraph</w:t>
      </w:r>
    </w:p>
    <w:p>
      <w:pPr>
        <w:spacing w:after="0" w:line="17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In April 2007, Palm Coast Center, LLC, (a joint venture between Developers Realty Corporation "DRC" and Weingarten Realty Investors) and Target Corporation closed on the entire 50-acre power center site. The aggregate sales price was $12.6 million plus a $1.0 million contribution to pay a portion of the site preparation costs.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49 - Credit Ratings, Fifth Full Paragraph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RATINGS</w:t>
      </w:r>
    </w:p>
    <w:p>
      <w:pPr>
        <w:spacing w:after="0" w:line="17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As of April 20, 2007 our securities have been rated by Standard &amp; Poor's and by Moody's. Rating agencies use both quantitative and qualitative measures in determining a company's credit rating. According to the rating agencies, some of these factors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6700" w:val="left"/>
          <w:tab w:leader="none" w:pos="9200" w:val="left"/>
        </w:tabs>
        <w:rPr>
          <w:sz w:val="20"/>
          <w:szCs w:val="20"/>
          <w:color w:val="auto"/>
        </w:rPr>
      </w:pPr>
      <w:r>
        <w:rPr>
          <w:rFonts w:ascii="Courier New" w:cs="Courier New" w:eastAsia="Courier New" w:hAnsi="Courier New"/>
          <w:sz w:val="14"/>
          <w:szCs w:val="14"/>
          <w:color w:val="auto"/>
        </w:rPr>
        <w:t>CREDIT RATINGS</w:t>
      </w:r>
      <w:r>
        <w:rPr>
          <w:sz w:val="20"/>
          <w:szCs w:val="20"/>
          <w:color w:val="auto"/>
        </w:rPr>
        <w:tab/>
      </w:r>
      <w:r>
        <w:rPr>
          <w:rFonts w:ascii="Courier New" w:cs="Courier New" w:eastAsia="Courier New" w:hAnsi="Courier New"/>
          <w:sz w:val="14"/>
          <w:szCs w:val="14"/>
          <w:color w:val="auto"/>
        </w:rPr>
        <w:t>STANDARD &amp; POOR'S</w:t>
      </w:r>
      <w:r>
        <w:rPr>
          <w:sz w:val="20"/>
          <w:szCs w:val="20"/>
          <w:color w:val="auto"/>
        </w:rPr>
        <w:tab/>
      </w:r>
      <w:r>
        <w:rPr>
          <w:rFonts w:ascii="Courier New" w:cs="Courier New" w:eastAsia="Courier New" w:hAnsi="Courier New"/>
          <w:sz w:val="14"/>
          <w:szCs w:val="14"/>
          <w:color w:val="auto"/>
        </w:rPr>
        <w:t>MOODY'S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20"/>
                <w:szCs w:val="20"/>
                <w:color w:val="auto"/>
              </w:rPr>
            </w:pPr>
            <w:r>
              <w:rPr>
                <w:rFonts w:ascii="Courier New" w:cs="Courier New" w:eastAsia="Courier New" w:hAnsi="Courier New"/>
                <w:sz w:val="14"/>
                <w:szCs w:val="14"/>
                <w:color w:val="auto"/>
              </w:rPr>
              <w:t>Issuer Credit Rating</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BBB+</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Baa2</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P-2</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Senior Secured</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First Mortgage Bonds</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Baa1</w:t>
            </w: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Pollution Control Bonds</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Baa1</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Unsecured Debt</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Collier County Industrial Development Revenue Bonds - Fixed Rate</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BBB</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75 - Fuel Clause Recovery of MISO Day 2 Costs, Seventh Full Paragraph</w:t>
      </w:r>
    </w:p>
    <w:p>
      <w:pPr>
        <w:spacing w:after="0" w:line="17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On January 8, 2007, the Minnesota Office of Attorney General petitioned for reconsideration of the MPUC's December 20, 2006, order. Accordingly, Minnesota Power delayed implementation of the order and continued to recover MISO Day 2 costs consistent with previously issued interim orders. On February 15, 2007, the MPUC declined to address the Minnesota Office of Attorney General's request for reconsideration. On April 10, 2007, the Minnesota Office of Attorney General filed an appeal with the Minnesota Court of Appeals. The appeal does not alter current cost recovery of MISO charges in accordance with the MPUC's order. Minnesota Power timely responded to the Minnesota Office of Attorney General's notice of filing, and awaits the court's scheduling order setting forth a briefing schedule.</w:t>
      </w:r>
    </w:p>
    <w:p>
      <w:pPr>
        <w:spacing w:after="0" w:line="32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ALLETE First Quarter 2007 Form 10-Q</w:t>
      </w:r>
    </w:p>
    <w:p>
      <w:pPr>
        <w:sectPr>
          <w:pgSz w:w="11900" w:h="16838" w:orient="portrait"/>
          <w:cols w:equalWidth="0" w:num="1">
            <w:col w:w="10260"/>
          </w:cols>
          <w:pgMar w:left="220" w:top="616" w:right="1419" w:bottom="1440" w:gutter="0" w:footer="0" w:header="0"/>
        </w:sectPr>
      </w:pPr>
    </w:p>
    <w:bookmarkStart w:id="30" w:name="page31"/>
    <w:bookmarkEnd w:id="30"/>
    <w:p>
      <w:pPr>
        <w:spacing w:after="0"/>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600" w:type="dxa"/>
            <w:vAlign w:val="bottom"/>
          </w:tcPr>
          <w:p>
            <w:pPr>
              <w:spacing w:after="0"/>
              <w:rPr>
                <w:sz w:val="20"/>
                <w:szCs w:val="20"/>
                <w:color w:val="auto"/>
              </w:rPr>
            </w:pPr>
            <w:r>
              <w:rPr>
                <w:rFonts w:ascii="Courier New" w:cs="Courier New" w:eastAsia="Courier New" w:hAnsi="Courier New"/>
                <w:sz w:val="14"/>
                <w:szCs w:val="14"/>
                <w:color w:val="auto"/>
              </w:rPr>
              <w:t>31(a)</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Rule</w:t>
            </w:r>
          </w:p>
        </w:tc>
        <w:tc>
          <w:tcPr>
            <w:tcW w:w="18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13a-14(a)/15d-14(a)</w:t>
            </w:r>
          </w:p>
        </w:tc>
        <w:tc>
          <w:tcPr>
            <w:tcW w:w="12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Certification</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the</w:t>
            </w: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Chief</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Executive</w:t>
            </w:r>
          </w:p>
        </w:tc>
      </w:tr>
      <w:tr>
        <w:trPr>
          <w:trHeight w:val="166"/>
        </w:trPr>
        <w:tc>
          <w:tcPr>
            <w:tcW w:w="60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Officer</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Section 302</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240" w:type="dxa"/>
            <w:vAlign w:val="bottom"/>
            <w:gridSpan w:val="3"/>
          </w:tcPr>
          <w:p>
            <w:pPr>
              <w:spacing w:after="0"/>
              <w:rPr>
                <w:sz w:val="20"/>
                <w:szCs w:val="20"/>
                <w:color w:val="auto"/>
              </w:rPr>
            </w:pPr>
            <w:r>
              <w:rPr>
                <w:rFonts w:ascii="Courier New" w:cs="Courier New" w:eastAsia="Courier New" w:hAnsi="Courier New"/>
                <w:sz w:val="14"/>
                <w:szCs w:val="14"/>
                <w:color w:val="auto"/>
              </w:rPr>
              <w:t>Sarbanes-Oxley</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Act of</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r>
        <w:trPr>
          <w:trHeight w:val="331"/>
        </w:trPr>
        <w:tc>
          <w:tcPr>
            <w:tcW w:w="600" w:type="dxa"/>
            <w:vAlign w:val="bottom"/>
          </w:tcPr>
          <w:p>
            <w:pPr>
              <w:spacing w:after="0"/>
              <w:rPr>
                <w:sz w:val="20"/>
                <w:szCs w:val="20"/>
                <w:color w:val="auto"/>
              </w:rPr>
            </w:pPr>
            <w:r>
              <w:rPr>
                <w:rFonts w:ascii="Courier New" w:cs="Courier New" w:eastAsia="Courier New" w:hAnsi="Courier New"/>
                <w:sz w:val="14"/>
                <w:szCs w:val="14"/>
                <w:color w:val="auto"/>
              </w:rPr>
              <w:t>31(b)</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Rule</w:t>
            </w:r>
          </w:p>
        </w:tc>
        <w:tc>
          <w:tcPr>
            <w:tcW w:w="18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13a-14(a)/15d-14(a)</w:t>
            </w:r>
          </w:p>
        </w:tc>
        <w:tc>
          <w:tcPr>
            <w:tcW w:w="12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Certification</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the</w:t>
            </w: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Chief</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Financial</w:t>
            </w:r>
          </w:p>
        </w:tc>
      </w:tr>
      <w:tr>
        <w:trPr>
          <w:trHeight w:val="166"/>
        </w:trPr>
        <w:tc>
          <w:tcPr>
            <w:tcW w:w="60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Officer</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Section 302</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240" w:type="dxa"/>
            <w:vAlign w:val="bottom"/>
            <w:gridSpan w:val="3"/>
          </w:tcPr>
          <w:p>
            <w:pPr>
              <w:spacing w:after="0"/>
              <w:rPr>
                <w:sz w:val="20"/>
                <w:szCs w:val="20"/>
                <w:color w:val="auto"/>
              </w:rPr>
            </w:pPr>
            <w:r>
              <w:rPr>
                <w:rFonts w:ascii="Courier New" w:cs="Courier New" w:eastAsia="Courier New" w:hAnsi="Courier New"/>
                <w:sz w:val="14"/>
                <w:szCs w:val="14"/>
                <w:color w:val="auto"/>
              </w:rPr>
              <w:t>Sarbanes-Oxley</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Act of</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170" w:lineRule="exact"/>
        <w:rPr>
          <w:sz w:val="20"/>
          <w:szCs w:val="20"/>
          <w:color w:val="auto"/>
        </w:rPr>
      </w:pPr>
    </w:p>
    <w:p>
      <w:pPr>
        <w:jc w:val="both"/>
        <w:ind w:left="1120" w:right="3339" w:hanging="509"/>
        <w:spacing w:after="0" w:line="252" w:lineRule="auto"/>
        <w:tabs>
          <w:tab w:leader="none" w:pos="11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3" w:lineRule="exact"/>
        <w:rPr>
          <w:sz w:val="20"/>
          <w:szCs w:val="20"/>
          <w:color w:val="auto"/>
        </w:rPr>
      </w:pPr>
    </w:p>
    <w:p>
      <w:pPr>
        <w:jc w:val="both"/>
        <w:ind w:left="1120" w:right="3339" w:hanging="509"/>
        <w:spacing w:after="0" w:line="251" w:lineRule="auto"/>
        <w:tabs>
          <w:tab w:leader="none" w:pos="11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May 4, 2007, announcing 2007 first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6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2007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bl>
    <w:p>
      <w:pPr>
        <w:sectPr>
          <w:pgSz w:w="11900" w:h="16838" w:orient="portrait"/>
          <w:cols w:equalWidth="0" w:num="1">
            <w:col w:w="10239"/>
          </w:cols>
          <w:pgMar w:left="220" w:top="616" w:right="1440" w:bottom="1440" w:gutter="0" w:footer="0" w:header="0"/>
        </w:sectPr>
      </w:pPr>
    </w:p>
    <w:bookmarkStart w:id="31" w:name="page32"/>
    <w:bookmarkEnd w:id="31"/>
    <w:p>
      <w:pPr>
        <w:ind w:left="302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0"/>
        <w:spacing w:after="0"/>
        <w:tabs>
          <w:tab w:leader="none" w:pos="920" w:val="left"/>
          <w:tab w:leader="none" w:pos="1620" w:val="left"/>
          <w:tab w:leader="none" w:pos="2220" w:val="left"/>
        </w:tabs>
        <w:rPr>
          <w:sz w:val="20"/>
          <w:szCs w:val="20"/>
          <w:color w:val="auto"/>
        </w:rPr>
      </w:pPr>
      <w:r>
        <w:rPr>
          <w:rFonts w:ascii="Courier New" w:cs="Courier New" w:eastAsia="Courier New" w:hAnsi="Courier New"/>
          <w:sz w:val="14"/>
          <w:szCs w:val="14"/>
          <w:color w:val="auto"/>
        </w:rPr>
        <w:t>Exchange</w:t>
        <w:tab/>
        <w:t>Act of</w:t>
        <w:tab/>
        <w:t>1934,</w:t>
        <w:tab/>
        <w:t>the</w:t>
      </w:r>
    </w:p>
    <w:p>
      <w:pPr>
        <w:spacing w:after="0" w:line="7" w:lineRule="exact"/>
        <w:rPr>
          <w:sz w:val="20"/>
          <w:szCs w:val="20"/>
          <w:color w:val="auto"/>
        </w:rPr>
      </w:pPr>
    </w:p>
    <w:p>
      <w:pPr>
        <w:spacing w:after="0"/>
        <w:tabs>
          <w:tab w:leader="none" w:pos="680" w:val="left"/>
          <w:tab w:leader="none" w:pos="1360" w:val="left"/>
        </w:tabs>
        <w:rPr>
          <w:sz w:val="20"/>
          <w:szCs w:val="20"/>
          <w:color w:val="auto"/>
        </w:rPr>
      </w:pPr>
      <w:r>
        <w:rPr>
          <w:rFonts w:ascii="Courier New" w:cs="Courier New" w:eastAsia="Courier New" w:hAnsi="Courier New"/>
          <w:sz w:val="14"/>
          <w:szCs w:val="14"/>
          <w:color w:val="auto"/>
        </w:rPr>
        <w:t>signed</w:t>
        <w:tab/>
        <w:t>on its</w:t>
        <w:tab/>
        <w:t>behalf by the</w:t>
      </w:r>
    </w:p>
    <w:p>
      <w:pPr>
        <w:spacing w:after="0" w:line="375" w:lineRule="exact"/>
        <w:rPr>
          <w:sz w:val="20"/>
          <w:szCs w:val="20"/>
          <w:color w:val="auto"/>
        </w:rPr>
      </w:pPr>
    </w:p>
    <w:p>
      <w:pPr>
        <w:sectPr>
          <w:pgSz w:w="11900" w:h="16838" w:orient="portrait"/>
          <w:cols w:equalWidth="0" w:num="2">
            <w:col w:w="4320" w:space="80"/>
            <w:col w:w="5839"/>
          </w:cols>
          <w:pgMar w:left="220" w:top="616" w:right="1440"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May 4, 2007</w:t>
            </w: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Mark</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A. Schober</w:t>
            </w:r>
          </w:p>
        </w:tc>
      </w:tr>
      <w:tr>
        <w:trPr>
          <w:trHeight w:val="166"/>
        </w:trPr>
        <w:tc>
          <w:tcPr>
            <w:tcW w:w="1820" w:type="dxa"/>
            <w:vAlign w:val="bottom"/>
          </w:tcPr>
          <w:p>
            <w:pPr>
              <w:spacing w:after="0"/>
              <w:rPr>
                <w:sz w:val="14"/>
                <w:szCs w:val="14"/>
                <w:color w:val="auto"/>
              </w:rPr>
            </w:pPr>
          </w:p>
        </w:tc>
        <w:tc>
          <w:tcPr>
            <w:tcW w:w="5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Mark</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A. Schober</w:t>
            </w:r>
          </w:p>
        </w:tc>
      </w:tr>
      <w:tr>
        <w:trPr>
          <w:trHeight w:val="166"/>
        </w:trPr>
        <w:tc>
          <w:tcPr>
            <w:tcW w:w="182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Senior Vice President</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May 4, 2007</w:t>
            </w:r>
          </w:p>
        </w:tc>
        <w:tc>
          <w:tcPr>
            <w:tcW w:w="5480" w:type="dxa"/>
            <w:vAlign w:val="bottom"/>
          </w:tcPr>
          <w:p>
            <w:pPr>
              <w:ind w:left="2720"/>
              <w:spacing w:after="0"/>
              <w:rPr>
                <w:sz w:val="20"/>
                <w:szCs w:val="20"/>
                <w:color w:val="auto"/>
              </w:rPr>
            </w:pPr>
            <w:r>
              <w:rPr>
                <w:rFonts w:ascii="Courier New" w:cs="Courier New" w:eastAsia="Courier New" w:hAnsi="Courier New"/>
                <w:sz w:val="14"/>
                <w:szCs w:val="14"/>
                <w:color w:val="auto"/>
              </w:rPr>
              <w:t>Steven Q. DeVinck</w:t>
            </w:r>
          </w:p>
        </w:tc>
      </w:tr>
      <w:tr>
        <w:trPr>
          <w:trHeight w:val="166"/>
        </w:trPr>
        <w:tc>
          <w:tcPr>
            <w:tcW w:w="1420" w:type="dxa"/>
            <w:vAlign w:val="bottom"/>
          </w:tcPr>
          <w:p>
            <w:pPr>
              <w:spacing w:after="0"/>
              <w:rPr>
                <w:sz w:val="14"/>
                <w:szCs w:val="14"/>
                <w:color w:val="auto"/>
              </w:rPr>
            </w:pPr>
          </w:p>
        </w:tc>
        <w:tc>
          <w:tcPr>
            <w:tcW w:w="5480" w:type="dxa"/>
            <w:vAlign w:val="bottom"/>
          </w:tcPr>
          <w:p>
            <w:pPr>
              <w:ind w:left="1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5480" w:type="dxa"/>
            <w:vAlign w:val="bottom"/>
          </w:tcPr>
          <w:p>
            <w:pPr>
              <w:ind w:left="2720"/>
              <w:spacing w:after="0"/>
              <w:rPr>
                <w:sz w:val="20"/>
                <w:szCs w:val="20"/>
                <w:color w:val="auto"/>
              </w:rPr>
            </w:pPr>
            <w:r>
              <w:rPr>
                <w:rFonts w:ascii="Courier New" w:cs="Courier New" w:eastAsia="Courier New" w:hAnsi="Courier New"/>
                <w:sz w:val="14"/>
                <w:szCs w:val="14"/>
                <w:color w:val="auto"/>
              </w:rPr>
              <w:t>Steven Q. DeVinck</w:t>
            </w:r>
          </w:p>
        </w:tc>
      </w:tr>
      <w:tr>
        <w:trPr>
          <w:trHeight w:val="166"/>
        </w:trPr>
        <w:tc>
          <w:tcPr>
            <w:tcW w:w="1420" w:type="dxa"/>
            <w:vAlign w:val="bottom"/>
          </w:tcPr>
          <w:p>
            <w:pPr>
              <w:spacing w:after="0"/>
              <w:rPr>
                <w:sz w:val="14"/>
                <w:szCs w:val="14"/>
                <w:color w:val="auto"/>
              </w:rPr>
            </w:pPr>
          </w:p>
        </w:tc>
        <w:tc>
          <w:tcPr>
            <w:tcW w:w="5480" w:type="dxa"/>
            <w:vAlign w:val="bottom"/>
          </w:tcPr>
          <w:p>
            <w:pPr>
              <w:ind w:left="3060"/>
              <w:spacing w:after="0"/>
              <w:rPr>
                <w:sz w:val="20"/>
                <w:szCs w:val="20"/>
                <w:color w:val="auto"/>
              </w:rPr>
            </w:pPr>
            <w:r>
              <w:rPr>
                <w:rFonts w:ascii="Courier New" w:cs="Courier New" w:eastAsia="Courier New" w:hAnsi="Courier New"/>
                <w:sz w:val="14"/>
                <w:szCs w:val="14"/>
                <w:color w:val="auto"/>
              </w:rPr>
              <w:t>Controller</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29</w:t>
            </w:r>
          </w:p>
        </w:tc>
        <w:tc>
          <w:tcPr>
            <w:tcW w:w="5480" w:type="dxa"/>
            <w:vAlign w:val="bottom"/>
          </w:tcPr>
          <w:p>
            <w:pPr>
              <w:ind w:left="480"/>
              <w:spacing w:after="0"/>
              <w:rPr>
                <w:sz w:val="20"/>
                <w:szCs w:val="20"/>
                <w:color w:val="auto"/>
              </w:rPr>
            </w:pPr>
            <w:r>
              <w:rPr>
                <w:rFonts w:ascii="Courier New" w:cs="Courier New" w:eastAsia="Courier New" w:hAnsi="Courier New"/>
                <w:sz w:val="14"/>
                <w:szCs w:val="14"/>
                <w:color w:val="auto"/>
              </w:rPr>
              <w:t>ALLETE First Quarter 2007 Form 10-Q</w:t>
            </w:r>
          </w:p>
        </w:tc>
      </w:tr>
    </w:tbl>
    <w:p>
      <w:pPr>
        <w:sectPr>
          <w:pgSz w:w="11900" w:h="16838" w:orient="portrait"/>
          <w:cols w:equalWidth="0" w:num="1">
            <w:col w:w="10239"/>
          </w:cols>
          <w:pgMar w:left="220" w:top="616" w:right="1440" w:bottom="1440" w:gutter="0" w:footer="0" w:header="0"/>
          <w:type w:val="continuous"/>
        </w:sectPr>
      </w:pPr>
    </w:p>
    <w:bookmarkStart w:id="32" w:name="page33"/>
    <w:bookmarkEnd w:id="32"/>
    <w:p>
      <w:pPr>
        <w:jc w:val="right"/>
        <w:ind w:right="3339"/>
        <w:spacing w:after="0"/>
        <w:rPr>
          <w:sz w:val="20"/>
          <w:szCs w:val="20"/>
          <w:color w:val="auto"/>
        </w:rPr>
      </w:pPr>
      <w:r>
        <w:rPr>
          <w:rFonts w:ascii="Courier New" w:cs="Courier New" w:eastAsia="Courier New" w:hAnsi="Courier New"/>
          <w:sz w:val="14"/>
          <w:szCs w:val="14"/>
          <w:color w:val="auto"/>
        </w:rPr>
        <w:t>EXHIBIT 31(a)</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First Quarter 2007 Form 10-Q</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338" w:lineRule="exact"/>
        <w:rPr>
          <w:sz w:val="20"/>
          <w:szCs w:val="20"/>
          <w:color w:val="auto"/>
        </w:rPr>
      </w:pPr>
    </w:p>
    <w:p>
      <w:pPr>
        <w:ind w:left="440"/>
        <w:spacing w:after="0"/>
        <w:tabs>
          <w:tab w:leader="none" w:pos="3260" w:val="left"/>
          <w:tab w:leader="none" w:pos="4560" w:val="left"/>
          <w:tab w:leader="none" w:pos="6700" w:val="left"/>
        </w:tabs>
        <w:rPr>
          <w:sz w:val="20"/>
          <w:szCs w:val="20"/>
          <w:color w:val="auto"/>
        </w:rPr>
      </w:pPr>
      <w:r>
        <w:rPr>
          <w:rFonts w:ascii="Courier New" w:cs="Courier New" w:eastAsia="Courier New" w:hAnsi="Courier New"/>
          <w:sz w:val="14"/>
          <w:szCs w:val="14"/>
          <w:color w:val="auto"/>
        </w:rPr>
        <w:t>I, Donald J. Shippar, Chairman,</w:t>
        <w:tab/>
        <w:t>President and</w:t>
        <w:tab/>
        <w:t>Chief Executive Officer</w:t>
        <w:tab/>
        <w:t>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March 31, 2007,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4, 2007</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 Executive Officer</w:t>
      </w:r>
    </w:p>
    <w:p>
      <w:pPr>
        <w:sectPr>
          <w:pgSz w:w="11900" w:h="16838" w:orient="portrait"/>
          <w:cols w:equalWidth="0" w:num="3">
            <w:col w:w="440" w:space="180"/>
            <w:col w:w="1520" w:space="720"/>
            <w:col w:w="7379"/>
          </w:cols>
          <w:pgMar w:left="220" w:top="307" w:right="1440" w:bottom="1440" w:gutter="0" w:footer="0" w:header="0"/>
          <w:type w:val="continuous"/>
        </w:sectPr>
      </w:pPr>
    </w:p>
    <w:bookmarkStart w:id="33" w:name="page34"/>
    <w:bookmarkEnd w:id="33"/>
    <w:p>
      <w:pPr>
        <w:jc w:val="right"/>
        <w:ind w:right="3339"/>
        <w:spacing w:after="0"/>
        <w:rPr>
          <w:sz w:val="20"/>
          <w:szCs w:val="20"/>
          <w:color w:val="auto"/>
        </w:rPr>
      </w:pPr>
      <w:r>
        <w:rPr>
          <w:rFonts w:ascii="Courier New" w:cs="Courier New" w:eastAsia="Courier New" w:hAnsi="Courier New"/>
          <w:sz w:val="14"/>
          <w:szCs w:val="14"/>
          <w:color w:val="auto"/>
        </w:rPr>
        <w:t>EXHIBIT 31(b)</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First Quarter 2007 Form 10-Q</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FINANCIAL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338" w:lineRule="exact"/>
        <w:rPr>
          <w:sz w:val="20"/>
          <w:szCs w:val="20"/>
          <w:color w:val="auto"/>
        </w:rPr>
      </w:pPr>
    </w:p>
    <w:p>
      <w:pPr>
        <w:ind w:left="440"/>
        <w:spacing w:after="0"/>
        <w:tabs>
          <w:tab w:leader="none" w:pos="2840" w:val="left"/>
          <w:tab w:leader="none" w:pos="5080" w:val="left"/>
          <w:tab w:leader="none" w:pos="6700" w:val="left"/>
        </w:tabs>
        <w:rPr>
          <w:sz w:val="20"/>
          <w:szCs w:val="20"/>
          <w:color w:val="auto"/>
        </w:rPr>
      </w:pPr>
      <w:r>
        <w:rPr>
          <w:rFonts w:ascii="Courier New" w:cs="Courier New" w:eastAsia="Courier New" w:hAnsi="Courier New"/>
          <w:sz w:val="14"/>
          <w:szCs w:val="14"/>
          <w:color w:val="auto"/>
        </w:rPr>
        <w:t>I, Mark A. Schober, Senior</w:t>
        <w:tab/>
        <w:t>Vice President and Chief</w:t>
        <w:tab/>
        <w:t>Financial Officer</w:t>
        <w:tab/>
        <w:t>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March 31, 2007,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4, 2007</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ectPr>
          <w:pgSz w:w="11900" w:h="16838" w:orient="portrait"/>
          <w:cols w:equalWidth="0" w:num="3">
            <w:col w:w="440" w:space="180"/>
            <w:col w:w="1340" w:space="720"/>
            <w:col w:w="7559"/>
          </w:cols>
          <w:pgMar w:left="220" w:top="307" w:right="1440" w:bottom="1440" w:gutter="0" w:footer="0" w:header="0"/>
          <w:type w:val="continuous"/>
        </w:sectPr>
      </w:pPr>
    </w:p>
    <w:bookmarkStart w:id="34" w:name="page35"/>
    <w:bookmarkEnd w:id="34"/>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First Quarter 2007 Form 10-Q</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SECTION 1350 CERTIFICATION OF PERIODIC REPORT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BY THE CHIEF EXECUTIVE OFFICER AND CHIEF FINANCIAL OFFICER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PURSUANT TO SECTION 906 OF THE SARBANES-OXLEY ACT OF 2002</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Section 906 of the Sarbanes-Oxley Act of 2002, 18 U.S.C. Section 1350, each of the undersigned officers of ALLETE, Inc. (ALLETE), does hereby certify that:</w:t>
      </w:r>
    </w:p>
    <w:p>
      <w:pPr>
        <w:spacing w:after="0" w:line="163" w:lineRule="exact"/>
        <w:rPr>
          <w:sz w:val="20"/>
          <w:szCs w:val="20"/>
          <w:color w:val="auto"/>
        </w:rPr>
      </w:pPr>
    </w:p>
    <w:p>
      <w:pPr>
        <w:jc w:val="both"/>
        <w:ind w:left="260" w:right="3339" w:hanging="252"/>
        <w:spacing w:after="0" w:line="252" w:lineRule="auto"/>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Report on Form 10-Q of ALLETE for the quarterly period ended March 31, 2007, (Report) fully complies with the requirements of Section 13(a) of the Securities Exchange Act of 1934 (15 U.S.C. 78m); and</w:t>
      </w:r>
    </w:p>
    <w:p>
      <w:pPr>
        <w:spacing w:after="0" w:line="162" w:lineRule="exact"/>
        <w:rPr>
          <w:rFonts w:ascii="Courier New" w:cs="Courier New" w:eastAsia="Courier New" w:hAnsi="Courier New"/>
          <w:sz w:val="14"/>
          <w:szCs w:val="14"/>
          <w:color w:val="auto"/>
        </w:rPr>
      </w:pPr>
    </w:p>
    <w:p>
      <w:pPr>
        <w:ind w:left="260" w:right="3339" w:hanging="252"/>
        <w:spacing w:after="0" w:line="255" w:lineRule="auto"/>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ALLETE.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1600" w:type="dxa"/>
            <w:vAlign w:val="bottom"/>
          </w:tcPr>
          <w:p>
            <w:pPr>
              <w:ind w:left="100"/>
              <w:spacing w:after="0"/>
              <w:rPr>
                <w:sz w:val="20"/>
                <w:szCs w:val="20"/>
                <w:color w:val="auto"/>
              </w:rPr>
            </w:pPr>
            <w:r>
              <w:rPr>
                <w:rFonts w:ascii="Courier New" w:cs="Courier New" w:eastAsia="Courier New" w:hAnsi="Courier New"/>
                <w:sz w:val="14"/>
                <w:szCs w:val="14"/>
                <w:color w:val="auto"/>
              </w:rPr>
              <w:t>May 4, 2007</w:t>
            </w: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Donald J. Shippar</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Donald J. Shippar</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President and Chief Executive Officer</w:t>
            </w:r>
          </w:p>
        </w:tc>
      </w:tr>
      <w:tr>
        <w:trPr>
          <w:trHeight w:val="497"/>
        </w:trPr>
        <w:tc>
          <w:tcPr>
            <w:tcW w:w="5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1600" w:type="dxa"/>
            <w:vAlign w:val="bottom"/>
          </w:tcPr>
          <w:p>
            <w:pPr>
              <w:ind w:left="100"/>
              <w:spacing w:after="0"/>
              <w:rPr>
                <w:sz w:val="20"/>
                <w:szCs w:val="20"/>
                <w:color w:val="auto"/>
              </w:rPr>
            </w:pPr>
            <w:r>
              <w:rPr>
                <w:rFonts w:ascii="Courier New" w:cs="Courier New" w:eastAsia="Courier New" w:hAnsi="Courier New"/>
                <w:sz w:val="14"/>
                <w:szCs w:val="14"/>
                <w:color w:val="auto"/>
              </w:rPr>
              <w:t>May 4, 2007</w:t>
            </w: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Mark A. Schober</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Mark A. Schober</w:t>
            </w:r>
          </w:p>
        </w:tc>
      </w:tr>
      <w:tr>
        <w:trPr>
          <w:trHeight w:val="166"/>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780" w:type="dxa"/>
            <w:vAlign w:val="bottom"/>
          </w:tcPr>
          <w:p>
            <w:pPr>
              <w:ind w:left="560"/>
              <w:spacing w:after="0"/>
              <w:rPr>
                <w:sz w:val="20"/>
                <w:szCs w:val="20"/>
                <w:color w:val="auto"/>
              </w:rPr>
            </w:pPr>
            <w:r>
              <w:rPr>
                <w:rFonts w:ascii="Courier New" w:cs="Courier New" w:eastAsia="Courier New" w:hAnsi="Courier New"/>
                <w:sz w:val="14"/>
                <w:szCs w:val="14"/>
                <w:color w:val="auto"/>
              </w:rPr>
              <w:t>Senior Vice President and Chief Financial Officer</w:t>
            </w:r>
          </w:p>
        </w:tc>
      </w:tr>
    </w:tbl>
    <w:p>
      <w:pPr>
        <w:spacing w:after="0" w:line="33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0239"/>
          </w:cols>
          <w:pgMar w:left="220" w:top="307" w:right="1440" w:bottom="1440" w:gutter="0" w:footer="0" w:header="0"/>
        </w:sectPr>
      </w:pPr>
    </w:p>
    <w:bookmarkStart w:id="35" w:name="page36"/>
    <w:bookmarkEnd w:id="35"/>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First Quarter 2007 Form 10-Q</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LOGO]</w:t>
      </w:r>
    </w:p>
    <w:p>
      <w:pPr>
        <w:sectPr>
          <w:pgSz w:w="11900" w:h="16838" w:orient="portrait"/>
          <w:cols w:equalWidth="0" w:num="1">
            <w:col w:w="10239"/>
          </w:cols>
          <w:pgMar w:left="220" w:top="307" w:right="1440" w:bottom="1440" w:gutter="0" w:footer="0" w:header="0"/>
        </w:sectPr>
      </w:pP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For Release: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4, 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Eric Olson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eolson@allete.com</w:t>
      </w:r>
    </w:p>
    <w:p>
      <w:pPr>
        <w:spacing w:after="0" w:line="173" w:lineRule="exact"/>
        <w:rPr>
          <w:sz w:val="20"/>
          <w:szCs w:val="20"/>
          <w:color w:val="auto"/>
        </w:rPr>
      </w:pPr>
    </w:p>
    <w:p>
      <w:pPr>
        <w:sectPr>
          <w:pgSz w:w="11900" w:h="16838" w:orient="portrait"/>
          <w:cols w:equalWidth="0" w:num="2">
            <w:col w:w="4840" w:space="600"/>
            <w:col w:w="4799"/>
          </w:cols>
          <w:pgMar w:left="220" w:top="307"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4"/>
          <w:szCs w:val="14"/>
          <w:color w:val="auto"/>
        </w:rPr>
        <w:t>INVESTOR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Tim Thorp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tthorp@allete.com</w:t>
      </w:r>
    </w:p>
    <w:p>
      <w:pPr>
        <w:spacing w:after="0" w:line="7" w:lineRule="exact"/>
        <w:rPr>
          <w:sz w:val="20"/>
          <w:szCs w:val="20"/>
          <w:color w:val="auto"/>
        </w:rPr>
      </w:pPr>
    </w:p>
    <w:p>
      <w:pPr>
        <w:sectPr>
          <w:pgSz w:w="11900" w:h="16838" w:orient="portrait"/>
          <w:cols w:equalWidth="0" w:num="2">
            <w:col w:w="4720" w:space="720"/>
            <w:col w:w="4799"/>
          </w:cols>
          <w:pgMar w:left="220" w:top="3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NEWS</w:t>
      </w:r>
    </w:p>
    <w:p>
      <w:pPr>
        <w:sectPr>
          <w:pgSz w:w="11900" w:h="16838" w:orient="portrait"/>
          <w:cols w:equalWidth="0" w:num="1">
            <w:col w:w="10239"/>
          </w:cols>
          <w:pgMar w:left="220" w:top="307" w:right="1440" w:bottom="1440" w:gutter="0" w:footer="0" w:header="0"/>
          <w:type w:val="continuous"/>
        </w:sectPr>
      </w:pP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ALLETE'S EPS CLIMBS 37% OVER FIRST QUARTER 2006</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ALLETE, Inc. (NYSE: ALE) today reported first quarter 2007 earnings of 93 cents per share, a 37 percent increase over the 68 cents per share recorded in the first quarter of 2006.</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ALLETE's net income in the first quarter of 2007 was $26.3 million on operating revenue of $205.3 million, compared to net income of $18.8 million on operating revenue of $192.5 million in the first quarter of 2006.</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"We're pleased to begin the year on such a positive note," said Don Shippar, ALLETE's Chairman, President and Chief Executive Officer. "These results provide a solid foundation for what we expect will be another strong year financially. They're in line with our expectation of earning between $2.95 and $3.05 per share in 2007."</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ALLETE's Regulated Utility net income climbed from $13.0 million in the first quarter of 2006 to $18.8 million in 2007. The increase was due, in part, to a ten percent jump in heating degree days from 2006 to 2007, which increased electricity sales to residential, commercial and municipal customers. Sales to industrial customers remained strong.</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Nonregulated Energy Operations net income of $2.2 million in the first quarter of 2007 included a $1.2 million gain from a sale of property in northeastern Minnesota.</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income from ALLETE's investment in ATC, which commenced in May of 2006, continued to grow, to $1.8 million during the first quarter of 2007. As of March 31, 2007, ALLETE had an investment balance of $63.7 million in ATC.</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ALLETE's Real Estate segment recorded net income of $3.1 million during the quarter. The timing of real estate closings varies from quarter to quarter. As of March 31, 2007, ALLETE Properties had $111.1 million in sales under contract.</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ALLETE's corporate headquarters are located in Duluth, Minnesota. ALLETE provides energy services in the upper Midwest and has significant real estate holdings in Florida. More information about the company is available on ALLETE's Web site at www.allete.com.</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7" w:right="1440" w:bottom="1440" w:gutter="0" w:footer="0" w:header="0"/>
          <w:type w:val="continuous"/>
        </w:sectPr>
      </w:pPr>
    </w:p>
    <w:bookmarkStart w:id="36" w:name="page37"/>
    <w:bookmarkEnd w:id="36"/>
    <w:p>
      <w:pPr>
        <w:spacing w:after="0"/>
        <w:tabs>
          <w:tab w:leader="none" w:pos="6360" w:val="left"/>
        </w:tabs>
        <w:rPr>
          <w:sz w:val="20"/>
          <w:szCs w:val="20"/>
          <w:color w:val="auto"/>
        </w:rPr>
      </w:pPr>
      <w:r>
        <w:rPr>
          <w:rFonts w:ascii="Courier New" w:cs="Courier New" w:eastAsia="Courier New" w:hAnsi="Courier New"/>
          <w:sz w:val="14"/>
          <w:szCs w:val="14"/>
          <w:color w:val="auto"/>
        </w:rPr>
        <w:t>ALLETE NEWS RELEASE</w:t>
      </w:r>
      <w:r>
        <w:rPr>
          <w:sz w:val="20"/>
          <w:szCs w:val="20"/>
          <w:color w:val="auto"/>
        </w:rPr>
        <w:tab/>
      </w:r>
      <w:r>
        <w:rPr>
          <w:rFonts w:ascii="Courier New" w:cs="Courier New" w:eastAsia="Courier New" w:hAnsi="Courier New"/>
          <w:sz w:val="14"/>
          <w:szCs w:val="14"/>
          <w:color w:val="auto"/>
        </w:rPr>
        <w:t>PAGE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FOR THE PERIODS ENDED MARCH 31, 2007 AND 2006</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p>
      <w:pPr>
        <w:jc w:val="center"/>
        <w:ind w:left="914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left="9560"/>
        <w:spacing w:after="0"/>
        <w:tabs>
          <w:tab w:leader="none" w:pos="94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4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$205.3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$192.5</w:t>
            </w:r>
          </w:p>
        </w:tc>
      </w:tr>
    </w:tbl>
    <w:p>
      <w:pPr>
        <w:spacing w:after="0" w:line="4"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64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43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69.4</w:t>
            </w: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43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74.5</w:t>
            </w:r>
          </w:p>
        </w:tc>
      </w:tr>
      <w:tr>
        <w:trPr>
          <w:trHeight w:val="166"/>
        </w:trPr>
        <w:tc>
          <w:tcPr>
            <w:tcW w:w="56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43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tabs>
          <w:tab w:leader="none" w:pos="9460" w:val="left"/>
          <w:tab w:leader="none" w:pos="10760" w:val="left"/>
        </w:tabs>
        <w:rPr>
          <w:sz w:val="20"/>
          <w:szCs w:val="20"/>
          <w:color w:val="auto"/>
        </w:rPr>
      </w:pPr>
      <w:r>
        <w:rPr>
          <w:rFonts w:ascii="Courier New" w:cs="Courier New" w:eastAsia="Courier New" w:hAnsi="Courier New"/>
          <w:sz w:val="14"/>
          <w:szCs w:val="14"/>
          <w:color w:val="auto"/>
        </w:rPr>
        <w:t>Total Operating Expenses</w:t>
      </w:r>
      <w:r>
        <w:rPr>
          <w:sz w:val="20"/>
          <w:szCs w:val="20"/>
          <w:color w:val="auto"/>
        </w:rPr>
        <w:tab/>
      </w:r>
      <w:r>
        <w:rPr>
          <w:rFonts w:ascii="Courier New" w:cs="Courier New" w:eastAsia="Courier New" w:hAnsi="Courier New"/>
          <w:sz w:val="14"/>
          <w:szCs w:val="14"/>
          <w:color w:val="auto"/>
        </w:rPr>
        <w:t>164.0</w:t>
      </w:r>
      <w:r>
        <w:rPr>
          <w:sz w:val="20"/>
          <w:szCs w:val="20"/>
          <w:color w:val="auto"/>
        </w:rPr>
        <w:tab/>
      </w:r>
      <w:r>
        <w:rPr>
          <w:rFonts w:ascii="Courier New" w:cs="Courier New" w:eastAsia="Courier New" w:hAnsi="Courier New"/>
          <w:sz w:val="14"/>
          <w:szCs w:val="14"/>
          <w:color w:val="auto"/>
        </w:rPr>
        <w:t>156.1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540" w:val="left"/>
          <w:tab w:leader="none" w:pos="10840" w:val="left"/>
        </w:tabs>
        <w:rPr>
          <w:sz w:val="20"/>
          <w:szCs w:val="20"/>
          <w:color w:val="auto"/>
        </w:rPr>
      </w:pPr>
      <w:r>
        <w:rPr>
          <w:rFonts w:ascii="Courier New" w:cs="Courier New" w:eastAsia="Courier New" w:hAnsi="Courier New"/>
          <w:sz w:val="14"/>
          <w:szCs w:val="14"/>
          <w:color w:val="auto"/>
        </w:rPr>
        <w:t>OPERATING INCOME FROM CONTINUING OPERATIONS</w:t>
      </w:r>
      <w:r>
        <w:rPr>
          <w:sz w:val="20"/>
          <w:szCs w:val="20"/>
          <w:color w:val="auto"/>
        </w:rPr>
        <w:tab/>
      </w:r>
      <w:r>
        <w:rPr>
          <w:rFonts w:ascii="Courier New" w:cs="Courier New" w:eastAsia="Courier New" w:hAnsi="Courier New"/>
          <w:sz w:val="14"/>
          <w:szCs w:val="14"/>
          <w:color w:val="auto"/>
        </w:rPr>
        <w:t>41.3</w:t>
      </w:r>
      <w:r>
        <w:rPr>
          <w:sz w:val="20"/>
          <w:szCs w:val="20"/>
          <w:color w:val="auto"/>
        </w:rPr>
        <w:tab/>
      </w:r>
      <w:r>
        <w:rPr>
          <w:rFonts w:ascii="Courier New" w:cs="Courier New" w:eastAsia="Courier New" w:hAnsi="Courier New"/>
          <w:sz w:val="14"/>
          <w:szCs w:val="14"/>
          <w:color w:val="auto"/>
        </w:rPr>
        <w:t>36.4</w:t>
      </w:r>
    </w:p>
    <w:p>
      <w:pPr>
        <w:spacing w:after="0" w:line="7"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5640" w:type="dxa"/>
            <w:vAlign w:val="bottom"/>
          </w:tcPr>
          <w:p>
            <w:pPr>
              <w:spacing w:after="0"/>
              <w:rPr>
                <w:sz w:val="20"/>
                <w:szCs w:val="20"/>
                <w:color w:val="auto"/>
              </w:rPr>
            </w:pPr>
            <w:r>
              <w:rPr>
                <w:rFonts w:ascii="Courier New" w:cs="Courier New" w:eastAsia="Courier New" w:hAnsi="Courier New"/>
                <w:sz w:val="14"/>
                <w:szCs w:val="14"/>
                <w:color w:val="auto"/>
              </w:rPr>
              <w:t>Total Other Income (Expense)</w:t>
            </w:r>
          </w:p>
        </w:tc>
        <w:tc>
          <w:tcPr>
            <w:tcW w:w="39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 MINORITY INTEREST AND INCOME TAXES</w:t>
            </w:r>
          </w:p>
        </w:tc>
        <w:tc>
          <w:tcPr>
            <w:tcW w:w="2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r>
      <w:tr>
        <w:trPr>
          <w:trHeight w:val="166"/>
        </w:trPr>
        <w:tc>
          <w:tcPr>
            <w:tcW w:w="80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6520" w:type="dxa"/>
            <w:vAlign w:val="bottom"/>
          </w:tcPr>
          <w:p>
            <w:pPr>
              <w:ind w:left="60"/>
              <w:spacing w:after="0"/>
              <w:rPr>
                <w:sz w:val="20"/>
                <w:szCs w:val="20"/>
                <w:color w:val="auto"/>
              </w:rPr>
            </w:pPr>
            <w:r>
              <w:rPr>
                <w:rFonts w:ascii="Courier New" w:cs="Courier New" w:eastAsia="Courier New" w:hAnsi="Courier New"/>
                <w:sz w:val="14"/>
                <w:szCs w:val="14"/>
                <w:color w:val="auto"/>
              </w:rPr>
              <w:t>FROM CONTINUING OPERATIONS BEFORE INCOME TAXES</w:t>
            </w:r>
          </w:p>
        </w:tc>
        <w:tc>
          <w:tcPr>
            <w:tcW w:w="33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6520" w:type="dxa"/>
            <w:vAlign w:val="bottom"/>
          </w:tcPr>
          <w:p>
            <w:pPr>
              <w:ind w:left="60"/>
              <w:spacing w:after="0"/>
              <w:rPr>
                <w:sz w:val="20"/>
                <w:szCs w:val="20"/>
                <w:color w:val="auto"/>
              </w:rPr>
            </w:pPr>
            <w:r>
              <w:rPr>
                <w:rFonts w:ascii="Courier New" w:cs="Courier New" w:eastAsia="Courier New" w:hAnsi="Courier New"/>
                <w:sz w:val="14"/>
                <w:szCs w:val="14"/>
                <w:color w:val="auto"/>
              </w:rPr>
              <w:t>TAX EXPENSE</w:t>
            </w:r>
          </w:p>
        </w:tc>
        <w:tc>
          <w:tcPr>
            <w:tcW w:w="33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gridSpan w:val="2"/>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3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w:t>
            </w:r>
          </w:p>
        </w:tc>
      </w:tr>
      <w:tr>
        <w:trPr>
          <w:trHeight w:val="166"/>
        </w:trPr>
        <w:tc>
          <w:tcPr>
            <w:tcW w:w="6760" w:type="dxa"/>
            <w:vAlign w:val="bottom"/>
            <w:gridSpan w:val="2"/>
          </w:tcPr>
          <w:p>
            <w:pPr>
              <w:spacing w:after="0"/>
              <w:rPr>
                <w:sz w:val="20"/>
                <w:szCs w:val="20"/>
                <w:color w:val="auto"/>
              </w:rPr>
            </w:pPr>
            <w:r>
              <w:rPr>
                <w:rFonts w:ascii="Courier New" w:cs="Courier New" w:eastAsia="Courier New" w:hAnsi="Courier New"/>
                <w:sz w:val="14"/>
                <w:szCs w:val="14"/>
                <w:color w:val="auto"/>
              </w:rPr>
              <w:t>INCOME FROM DISCONTINUED OPERATIONS - NET OF TAX</w:t>
            </w:r>
          </w:p>
        </w:tc>
        <w:tc>
          <w:tcPr>
            <w:tcW w:w="3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3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$ 26.3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$ 18.8</w:t>
            </w:r>
          </w:p>
        </w:tc>
      </w:tr>
    </w:tbl>
    <w:p>
      <w:pPr>
        <w:spacing w:after="0" w:line="4"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 SHARES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86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5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r>
        <w:trPr>
          <w:trHeight w:val="166"/>
        </w:trPr>
        <w:tc>
          <w:tcPr>
            <w:tcW w:w="486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5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27.7</w:t>
            </w:r>
          </w:p>
        </w:tc>
      </w:tr>
    </w:tbl>
    <w:p>
      <w:pPr>
        <w:spacing w:after="0" w:line="4"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BASIC AND DILUTED EARNINGS PER SHARE OF COMMON STOCK</w:t>
      </w:r>
    </w:p>
    <w:p>
      <w:pPr>
        <w:spacing w:after="0" w:line="7" w:lineRule="exact"/>
        <w:rPr>
          <w:sz w:val="20"/>
          <w:szCs w:val="20"/>
          <w:color w:val="auto"/>
        </w:rPr>
      </w:pPr>
    </w:p>
    <w:p>
      <w:pPr>
        <w:jc w:val="both"/>
        <w:ind w:left="440" w:right="340"/>
        <w:spacing w:after="0" w:line="247" w:lineRule="auto"/>
        <w:rPr>
          <w:sz w:val="20"/>
          <w:szCs w:val="20"/>
          <w:color w:val="auto"/>
        </w:rPr>
      </w:pPr>
      <w:r>
        <w:rPr>
          <w:rFonts w:ascii="Courier New" w:cs="Courier New" w:eastAsia="Courier New" w:hAnsi="Courier New"/>
          <w:sz w:val="14"/>
          <w:szCs w:val="14"/>
          <w:color w:val="auto"/>
        </w:rPr>
        <w:t>Continuing Operations $0.93 $0.68 Discontinued Operations - -</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9480"/>
        <w:spacing w:after="0"/>
        <w:tabs>
          <w:tab w:leader="none" w:pos="10760" w:val="left"/>
        </w:tabs>
        <w:rPr>
          <w:sz w:val="20"/>
          <w:szCs w:val="20"/>
          <w:color w:val="auto"/>
        </w:rPr>
      </w:pPr>
      <w:r>
        <w:rPr>
          <w:rFonts w:ascii="Courier New" w:cs="Courier New" w:eastAsia="Courier New" w:hAnsi="Courier New"/>
          <w:sz w:val="14"/>
          <w:szCs w:val="14"/>
          <w:color w:val="auto"/>
        </w:rPr>
        <w:t>$0.93</w:t>
      </w:r>
      <w:r>
        <w:rPr>
          <w:sz w:val="20"/>
          <w:szCs w:val="20"/>
          <w:color w:val="auto"/>
        </w:rPr>
        <w:tab/>
      </w:r>
      <w:r>
        <w:rPr>
          <w:rFonts w:ascii="Courier New" w:cs="Courier New" w:eastAsia="Courier New" w:hAnsi="Courier New"/>
          <w:sz w:val="14"/>
          <w:szCs w:val="14"/>
          <w:color w:val="auto"/>
        </w:rPr>
        <w:t>$0.68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300" w:val="left"/>
          <w:tab w:leader="none" w:pos="1058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$0.4100</w:t>
      </w:r>
      <w:r>
        <w:rPr>
          <w:sz w:val="20"/>
          <w:szCs w:val="20"/>
          <w:color w:val="auto"/>
        </w:rPr>
        <w:tab/>
      </w:r>
      <w:r>
        <w:rPr>
          <w:rFonts w:ascii="Courier New" w:cs="Courier New" w:eastAsia="Courier New" w:hAnsi="Courier New"/>
          <w:sz w:val="14"/>
          <w:szCs w:val="14"/>
          <w:color w:val="auto"/>
        </w:rPr>
        <w:t>$0.3625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center"/>
        <w:ind w:right="532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5320"/>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jc w:val="center"/>
        <w:ind w:right="1360"/>
        <w:spacing w:after="0"/>
        <w:tabs>
          <w:tab w:leader="none" w:pos="480" w:val="left"/>
        </w:tabs>
        <w:rPr>
          <w:sz w:val="20"/>
          <w:szCs w:val="20"/>
          <w:color w:val="auto"/>
        </w:rPr>
      </w:pPr>
      <w:r>
        <w:rPr>
          <w:rFonts w:ascii="Courier New" w:cs="Courier New" w:eastAsia="Courier New" w:hAnsi="Courier New"/>
          <w:sz w:val="14"/>
          <w:szCs w:val="14"/>
          <w:color w:val="auto"/>
        </w:rPr>
        <w:t>MAR. 31,</w:t>
      </w:r>
      <w:r>
        <w:rPr>
          <w:sz w:val="20"/>
          <w:szCs w:val="20"/>
          <w:color w:val="auto"/>
        </w:rPr>
        <w:tab/>
      </w:r>
      <w:r>
        <w:rPr>
          <w:rFonts w:ascii="Courier New" w:cs="Courier New" w:eastAsia="Courier New" w:hAnsi="Courier New"/>
          <w:sz w:val="14"/>
          <w:szCs w:val="14"/>
          <w:color w:val="auto"/>
        </w:rPr>
        <w:t>DEC. 31,</w:t>
      </w:r>
    </w:p>
    <w:p>
      <w:pPr>
        <w:spacing w:after="0" w:line="7" w:lineRule="exact"/>
        <w:rPr>
          <w:sz w:val="20"/>
          <w:szCs w:val="20"/>
          <w:color w:val="auto"/>
        </w:rPr>
      </w:pPr>
    </w:p>
    <w:p>
      <w:pPr>
        <w:jc w:val="center"/>
        <w:ind w:left="3040"/>
        <w:spacing w:after="0"/>
        <w:tabs>
          <w:tab w:leader="none" w:pos="84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Cash and Short-Term Investments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128.5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149.3</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138.4</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921.6</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189.1</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$1,533.4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145.4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143.5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359.8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364.3</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687.7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665.8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32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$1,560.1</w:t>
      </w:r>
      <w:r>
        <w:rPr>
          <w:sz w:val="20"/>
          <w:szCs w:val="20"/>
          <w:color w:val="auto"/>
        </w:rPr>
        <w:tab/>
      </w:r>
      <w:r>
        <w:rPr>
          <w:rFonts w:ascii="Courier New" w:cs="Courier New" w:eastAsia="Courier New" w:hAnsi="Courier New"/>
          <w:sz w:val="14"/>
          <w:szCs w:val="14"/>
          <w:color w:val="auto"/>
        </w:rPr>
        <w:t>$1,533.4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1440" w:gutter="0" w:footer="0" w:header="0"/>
        </w:sectPr>
      </w:pPr>
    </w:p>
    <w:bookmarkStart w:id="37" w:name="page38"/>
    <w:bookmarkEnd w:id="37"/>
    <w:p>
      <w:pPr>
        <w:spacing w:after="0"/>
        <w:tabs>
          <w:tab w:leader="none" w:pos="6360" w:val="left"/>
        </w:tabs>
        <w:rPr>
          <w:sz w:val="20"/>
          <w:szCs w:val="20"/>
          <w:color w:val="auto"/>
        </w:rPr>
      </w:pPr>
      <w:r>
        <w:rPr>
          <w:rFonts w:ascii="Courier New" w:cs="Courier New" w:eastAsia="Courier New" w:hAnsi="Courier New"/>
          <w:sz w:val="14"/>
          <w:szCs w:val="14"/>
          <w:color w:val="auto"/>
        </w:rPr>
        <w:t>ALLETE NEWS RELEASE</w:t>
      </w:r>
      <w:r>
        <w:rPr>
          <w:sz w:val="20"/>
          <w:szCs w:val="20"/>
          <w:color w:val="auto"/>
        </w:rPr>
        <w:tab/>
      </w:r>
      <w:r>
        <w:rPr>
          <w:rFonts w:ascii="Courier New" w:cs="Courier New" w:eastAsia="Courier New" w:hAnsi="Courier New"/>
          <w:sz w:val="14"/>
          <w:szCs w:val="14"/>
          <w:color w:val="auto"/>
        </w:rPr>
        <w:t>PAGE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974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1000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spacing w:after="0"/>
        <w:tabs>
          <w:tab w:leader="none" w:pos="9460" w:val="left"/>
          <w:tab w:leader="none" w:pos="10760" w:val="left"/>
        </w:tabs>
        <w:rPr>
          <w:sz w:val="20"/>
          <w:szCs w:val="20"/>
          <w:color w:val="auto"/>
        </w:rPr>
      </w:pPr>
      <w:r>
        <w:rPr>
          <w:rFonts w:ascii="Courier New" w:cs="Courier New" w:eastAsia="Courier New" w:hAnsi="Courier New"/>
          <w:sz w:val="14"/>
          <w:szCs w:val="14"/>
          <w:color w:val="auto"/>
        </w:rPr>
        <w:t>ALLETE, INC.</w:t>
      </w:r>
      <w:r>
        <w:rPr>
          <w:sz w:val="20"/>
          <w:szCs w:val="20"/>
          <w:color w:val="auto"/>
        </w:rPr>
        <w:tab/>
      </w: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4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4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ATC</w:t>
            </w:r>
          </w:p>
        </w:tc>
        <w:tc>
          <w:tcPr>
            <w:tcW w:w="4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4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9540" w:val="left"/>
          <w:tab w:leader="none" w:pos="10840" w:val="left"/>
        </w:tabs>
        <w:rPr>
          <w:sz w:val="20"/>
          <w:szCs w:val="20"/>
          <w:color w:val="auto"/>
        </w:rPr>
      </w:pPr>
      <w:r>
        <w:rPr>
          <w:rFonts w:ascii="Courier New" w:cs="Courier New" w:eastAsia="Courier New" w:hAnsi="Courier New"/>
          <w:sz w:val="14"/>
          <w:szCs w:val="14"/>
          <w:color w:val="auto"/>
        </w:rPr>
        <w:t>Income from Continuing Operations</w:t>
      </w:r>
      <w:r>
        <w:rPr>
          <w:sz w:val="20"/>
          <w:szCs w:val="20"/>
          <w:color w:val="auto"/>
        </w:rPr>
        <w:tab/>
      </w:r>
      <w:r>
        <w:rPr>
          <w:rFonts w:ascii="Courier New" w:cs="Courier New" w:eastAsia="Courier New" w:hAnsi="Courier New"/>
          <w:sz w:val="14"/>
          <w:szCs w:val="14"/>
          <w:color w:val="auto"/>
        </w:rPr>
        <w:t>26.3</w:t>
      </w:r>
      <w:r>
        <w:rPr>
          <w:sz w:val="20"/>
          <w:szCs w:val="20"/>
          <w:color w:val="auto"/>
        </w:rPr>
        <w:tab/>
      </w:r>
      <w:r>
        <w:rPr>
          <w:rFonts w:ascii="Courier New" w:cs="Courier New" w:eastAsia="Courier New" w:hAnsi="Courier New"/>
          <w:sz w:val="14"/>
          <w:szCs w:val="14"/>
          <w:color w:val="auto"/>
        </w:rPr>
        <w:t>18.8</w:t>
      </w:r>
    </w:p>
    <w:p>
      <w:pPr>
        <w:spacing w:after="0" w:line="7" w:lineRule="exact"/>
        <w:rPr>
          <w:sz w:val="20"/>
          <w:szCs w:val="20"/>
          <w:color w:val="auto"/>
        </w:rPr>
      </w:pPr>
    </w:p>
    <w:p>
      <w:pPr>
        <w:ind w:left="260"/>
        <w:spacing w:after="0"/>
        <w:tabs>
          <w:tab w:leader="none" w:pos="9800" w:val="left"/>
          <w:tab w:leader="none" w:pos="11100" w:val="left"/>
        </w:tabs>
        <w:rPr>
          <w:sz w:val="20"/>
          <w:szCs w:val="20"/>
          <w:color w:val="auto"/>
        </w:rPr>
      </w:pPr>
      <w:r>
        <w:rPr>
          <w:rFonts w:ascii="Courier New" w:cs="Courier New" w:eastAsia="Courier New" w:hAnsi="Courier New"/>
          <w:sz w:val="14"/>
          <w:szCs w:val="14"/>
          <w:color w:val="auto"/>
        </w:rPr>
        <w:t>Income from Discontinued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9460" w:val="left"/>
          <w:tab w:leader="none" w:pos="1076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$26.3</w:t>
      </w:r>
      <w:r>
        <w:rPr>
          <w:sz w:val="20"/>
          <w:szCs w:val="20"/>
          <w:color w:val="auto"/>
        </w:rPr>
        <w:tab/>
      </w:r>
      <w:r>
        <w:rPr>
          <w:rFonts w:ascii="Courier New" w:cs="Courier New" w:eastAsia="Courier New" w:hAnsi="Courier New"/>
          <w:sz w:val="14"/>
          <w:szCs w:val="14"/>
          <w:color w:val="auto"/>
        </w:rPr>
        <w:t>$18.8</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PER SHARE</w:t>
      </w:r>
    </w:p>
    <w:p>
      <w:pPr>
        <w:spacing w:after="0" w:line="7" w:lineRule="exact"/>
        <w:rPr>
          <w:sz w:val="20"/>
          <w:szCs w:val="20"/>
          <w:color w:val="auto"/>
        </w:rPr>
      </w:pPr>
    </w:p>
    <w:p>
      <w:pPr>
        <w:jc w:val="both"/>
        <w:ind w:left="260" w:right="340"/>
        <w:spacing w:after="0" w:line="247" w:lineRule="auto"/>
        <w:rPr>
          <w:sz w:val="20"/>
          <w:szCs w:val="20"/>
          <w:color w:val="auto"/>
        </w:rPr>
      </w:pPr>
      <w:r>
        <w:rPr>
          <w:rFonts w:ascii="Courier New" w:cs="Courier New" w:eastAsia="Courier New" w:hAnsi="Courier New"/>
          <w:sz w:val="14"/>
          <w:szCs w:val="14"/>
          <w:color w:val="auto"/>
        </w:rPr>
        <w:t>Continuing Operations $0.93 $0.68 Discontinued Operations - -</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9480"/>
        <w:spacing w:after="0"/>
        <w:tabs>
          <w:tab w:leader="none" w:pos="10760" w:val="left"/>
        </w:tabs>
        <w:rPr>
          <w:sz w:val="20"/>
          <w:szCs w:val="20"/>
          <w:color w:val="auto"/>
        </w:rPr>
      </w:pPr>
      <w:r>
        <w:rPr>
          <w:rFonts w:ascii="Courier New" w:cs="Courier New" w:eastAsia="Courier New" w:hAnsi="Courier New"/>
          <w:sz w:val="14"/>
          <w:szCs w:val="14"/>
          <w:color w:val="auto"/>
        </w:rPr>
        <w:t>$0.93</w:t>
      </w:r>
      <w:r>
        <w:rPr>
          <w:sz w:val="20"/>
          <w:szCs w:val="20"/>
          <w:color w:val="auto"/>
        </w:rPr>
        <w:tab/>
      </w:r>
      <w:r>
        <w:rPr>
          <w:rFonts w:ascii="Courier New" w:cs="Courier New" w:eastAsia="Courier New" w:hAnsi="Courier New"/>
          <w:sz w:val="14"/>
          <w:szCs w:val="14"/>
          <w:color w:val="auto"/>
        </w:rPr>
        <w:t>$0.68</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STATISTICAL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High</w:t>
            </w:r>
          </w:p>
        </w:tc>
        <w:tc>
          <w:tcPr>
            <w:tcW w:w="4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$49.69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$47.81</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Low</w:t>
            </w:r>
          </w:p>
        </w:tc>
        <w:tc>
          <w:tcPr>
            <w:tcW w:w="4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$44.93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$42.99</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Close</w:t>
            </w:r>
          </w:p>
        </w:tc>
        <w:tc>
          <w:tcPr>
            <w:tcW w:w="4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$46.62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$46.60</w:t>
            </w: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4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$20.48</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4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Millions</w:t>
            </w: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Regulated Utility</w:t>
            </w:r>
          </w:p>
        </w:tc>
        <w:tc>
          <w:tcPr>
            <w:tcW w:w="4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Retail and Municipals</w:t>
            </w: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Residential</w:t>
            </w:r>
          </w:p>
        </w:tc>
        <w:tc>
          <w:tcPr>
            <w:tcW w:w="4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308.0</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Commercial</w:t>
            </w:r>
          </w:p>
        </w:tc>
        <w:tc>
          <w:tcPr>
            <w:tcW w:w="4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352.2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328.7</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Municipals</w:t>
            </w:r>
          </w:p>
        </w:tc>
        <w:tc>
          <w:tcPr>
            <w:tcW w:w="4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219.3</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Industrial</w:t>
            </w:r>
          </w:p>
        </w:tc>
        <w:tc>
          <w:tcPr>
            <w:tcW w:w="4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1,705.4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1,822.3</w:t>
            </w:r>
          </w:p>
        </w:tc>
      </w:tr>
      <w:tr>
        <w:trPr>
          <w:trHeight w:val="166"/>
        </w:trPr>
        <w:tc>
          <w:tcPr>
            <w:tcW w:w="5860" w:type="dxa"/>
            <w:vAlign w:val="bottom"/>
          </w:tcPr>
          <w:p>
            <w:pPr>
              <w:ind w:left="960"/>
              <w:spacing w:after="0"/>
              <w:rPr>
                <w:sz w:val="20"/>
                <w:szCs w:val="20"/>
                <w:color w:val="auto"/>
              </w:rPr>
            </w:pPr>
            <w:r>
              <w:rPr>
                <w:rFonts w:ascii="Courier New" w:cs="Courier New" w:eastAsia="Courier New" w:hAnsi="Courier New"/>
                <w:sz w:val="14"/>
                <w:szCs w:val="14"/>
                <w:color w:val="auto"/>
              </w:rPr>
              <w:t>Other</w:t>
            </w:r>
          </w:p>
        </w:tc>
        <w:tc>
          <w:tcPr>
            <w:tcW w:w="4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Total Retail</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and Municipal</w:t>
            </w:r>
          </w:p>
        </w:tc>
        <w:tc>
          <w:tcPr>
            <w:tcW w:w="3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2,687.8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2,698.3</w:t>
            </w:r>
          </w:p>
        </w:tc>
      </w:tr>
      <w:tr>
        <w:trPr>
          <w:trHeight w:val="166"/>
        </w:trPr>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Other Power Suppliers</w:t>
            </w:r>
          </w:p>
        </w:tc>
        <w:tc>
          <w:tcPr>
            <w:tcW w:w="4000" w:type="dxa"/>
            <w:vAlign w:val="bottom"/>
          </w:tcPr>
          <w:p>
            <w:pPr>
              <w:spacing w:after="0"/>
              <w:rPr>
                <w:sz w:val="14"/>
                <w:szCs w:val="14"/>
                <w:color w:val="auto"/>
              </w:rPr>
            </w:pPr>
          </w:p>
        </w:tc>
        <w:tc>
          <w:tcPr>
            <w:tcW w:w="3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505.1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6240" w:type="dxa"/>
            <w:vAlign w:val="bottom"/>
          </w:tcPr>
          <w:p>
            <w:pPr>
              <w:ind w:left="1240"/>
              <w:spacing w:after="0"/>
              <w:rPr>
                <w:sz w:val="20"/>
                <w:szCs w:val="20"/>
                <w:color w:val="auto"/>
              </w:rPr>
            </w:pPr>
            <w:r>
              <w:rPr>
                <w:rFonts w:ascii="Courier New" w:cs="Courier New" w:eastAsia="Courier New" w:hAnsi="Courier New"/>
                <w:sz w:val="14"/>
                <w:szCs w:val="14"/>
                <w:color w:val="auto"/>
              </w:rPr>
              <w:t>Total Regulated Utility</w:t>
            </w:r>
          </w:p>
        </w:tc>
        <w:tc>
          <w:tcPr>
            <w:tcW w:w="3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3,211.8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3,203.4</w:t>
            </w:r>
          </w:p>
        </w:tc>
      </w:tr>
      <w:tr>
        <w:trPr>
          <w:trHeight w:val="166"/>
        </w:trPr>
        <w:tc>
          <w:tcPr>
            <w:tcW w:w="140" w:type="dxa"/>
            <w:vAlign w:val="bottom"/>
          </w:tcPr>
          <w:p>
            <w:pPr>
              <w:spacing w:after="0"/>
              <w:rPr>
                <w:sz w:val="14"/>
                <w:szCs w:val="14"/>
                <w:color w:val="auto"/>
              </w:rPr>
            </w:pPr>
          </w:p>
        </w:tc>
        <w:tc>
          <w:tcPr>
            <w:tcW w:w="6240" w:type="dxa"/>
            <w:vAlign w:val="bottom"/>
          </w:tcPr>
          <w:p>
            <w:pPr>
              <w:ind w:left="120"/>
              <w:spacing w:after="0"/>
              <w:rPr>
                <w:sz w:val="20"/>
                <w:szCs w:val="20"/>
                <w:color w:val="auto"/>
              </w:rPr>
            </w:pPr>
            <w:r>
              <w:rPr>
                <w:rFonts w:ascii="Courier New" w:cs="Courier New" w:eastAsia="Courier New" w:hAnsi="Courier New"/>
                <w:sz w:val="14"/>
                <w:szCs w:val="14"/>
                <w:color w:val="auto"/>
              </w:rPr>
              <w:t>Nonregulated Energy Operations</w:t>
            </w:r>
          </w:p>
        </w:tc>
        <w:tc>
          <w:tcPr>
            <w:tcW w:w="3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6240" w:type="dxa"/>
            <w:vAlign w:val="bottom"/>
          </w:tcPr>
          <w:p>
            <w:pPr>
              <w:ind w:left="1240"/>
              <w:spacing w:after="0"/>
              <w:rPr>
                <w:sz w:val="20"/>
                <w:szCs w:val="20"/>
                <w:color w:val="auto"/>
              </w:rPr>
            </w:pPr>
            <w:r>
              <w:rPr>
                <w:rFonts w:ascii="Courier New" w:cs="Courier New" w:eastAsia="Courier New" w:hAnsi="Courier New"/>
                <w:sz w:val="14"/>
                <w:szCs w:val="14"/>
                <w:color w:val="auto"/>
              </w:rPr>
              <w:t>Total Kilowatthours Sold</w:t>
            </w:r>
          </w:p>
        </w:tc>
        <w:tc>
          <w:tcPr>
            <w:tcW w:w="3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3,275.5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3,269.0</w:t>
            </w:r>
          </w:p>
        </w:tc>
      </w:tr>
    </w:tbl>
    <w:p>
      <w:pPr>
        <w:spacing w:after="0" w:line="4"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Town Center Development Project</w:t>
            </w:r>
          </w:p>
        </w:tc>
        <w:tc>
          <w:tcPr>
            <w:tcW w:w="3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200" w:type="dxa"/>
            <w:vAlign w:val="bottom"/>
          </w:tcPr>
          <w:p>
            <w:pPr>
              <w:ind w:left="360"/>
              <w:spacing w:after="0"/>
              <w:rPr>
                <w:sz w:val="20"/>
                <w:szCs w:val="20"/>
                <w:color w:val="auto"/>
              </w:rPr>
            </w:pPr>
            <w:r>
              <w:rPr>
                <w:rFonts w:ascii="Courier New" w:cs="Courier New" w:eastAsia="Courier New" w:hAnsi="Courier New"/>
                <w:sz w:val="14"/>
                <w:szCs w:val="14"/>
                <w:color w:val="auto"/>
              </w:rPr>
              <w:t>Commercial Square Footage Sold</w:t>
            </w:r>
          </w:p>
        </w:tc>
        <w:tc>
          <w:tcPr>
            <w:tcW w:w="3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80,000</w:t>
            </w:r>
          </w:p>
        </w:tc>
      </w:tr>
      <w:tr>
        <w:trPr>
          <w:trHeight w:val="166"/>
        </w:trPr>
        <w:tc>
          <w:tcPr>
            <w:tcW w:w="620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3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Palm Coast Park Development Project</w:t>
            </w:r>
          </w:p>
        </w:tc>
        <w:tc>
          <w:tcPr>
            <w:tcW w:w="3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20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3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3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200" w:type="dxa"/>
            <w:vAlign w:val="bottom"/>
          </w:tcPr>
          <w:p>
            <w:pPr>
              <w:ind w:left="360"/>
              <w:spacing w:after="0"/>
              <w:rPr>
                <w:sz w:val="20"/>
                <w:szCs w:val="20"/>
                <w:color w:val="auto"/>
              </w:rPr>
            </w:pPr>
            <w:r>
              <w:rPr>
                <w:rFonts w:ascii="Courier New" w:cs="Courier New" w:eastAsia="Courier New" w:hAnsi="Courier New"/>
                <w:sz w:val="14"/>
                <w:szCs w:val="14"/>
                <w:color w:val="auto"/>
              </w:rPr>
              <w:t>Acres Sold</w:t>
            </w:r>
          </w:p>
        </w:tc>
        <w:tc>
          <w:tcPr>
            <w:tcW w:w="3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456</w:t>
            </w:r>
          </w:p>
        </w:tc>
      </w:tr>
      <w:tr>
        <w:trPr>
          <w:trHeight w:val="166"/>
        </w:trPr>
        <w:tc>
          <w:tcPr>
            <w:tcW w:w="6200" w:type="dxa"/>
            <w:vAlign w:val="bottom"/>
          </w:tcPr>
          <w:p>
            <w:pPr>
              <w:ind w:left="360"/>
              <w:spacing w:after="0"/>
              <w:rPr>
                <w:sz w:val="20"/>
                <w:szCs w:val="20"/>
                <w:color w:val="auto"/>
              </w:rPr>
            </w:pPr>
            <w:r>
              <w:rPr>
                <w:rFonts w:ascii="Courier New" w:cs="Courier New" w:eastAsia="Courier New" w:hAnsi="Courier New"/>
                <w:sz w:val="14"/>
                <w:szCs w:val="14"/>
                <w:color w:val="auto"/>
              </w:rPr>
              <w:t>Lots Sold</w:t>
            </w:r>
          </w:p>
        </w:tc>
        <w:tc>
          <w:tcPr>
            <w:tcW w:w="3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gridSpan w:val="3"/>
          </w:tcPr>
          <w:p>
            <w:pPr>
              <w:spacing w:after="0"/>
              <w:rPr>
                <w:sz w:val="20"/>
                <w:szCs w:val="20"/>
                <w:color w:val="auto"/>
              </w:rPr>
            </w:pPr>
            <w:r>
              <w:rPr>
                <w:rFonts w:ascii="Courier New" w:cs="Courier New" w:eastAsia="Courier New" w:hAnsi="Courier New"/>
                <w:sz w:val="14"/>
                <w:szCs w:val="14"/>
                <w:color w:val="auto"/>
              </w:rPr>
              <w:t>[THIS EXHIBIT HAS BEEN FURNISHED</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AND SHALL NOT BE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DEEMED</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"FILED"</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FOR PURPOSES OF</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SECTION 18</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SECURITIES</w:t>
            </w:r>
          </w:p>
        </w:tc>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EXCHANGE  ACT OF 1934,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NOR SHALL</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IT BE  DEEMED</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INCORPORATED BY REFERENCE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IN ANY</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FILING UNDER THE</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SECURITIES ACT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OF 1933, EXCEPT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AS SHALL BE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EXPRESSLY SET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BY SPECIFIC REFERENCE IN</w:t>
            </w:r>
          </w:p>
        </w:tc>
        <w:tc>
          <w:tcPr>
            <w:tcW w:w="20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SUCH FILING.]</w:t>
            </w:r>
          </w:p>
        </w:tc>
      </w:tr>
    </w:tbl>
    <w:p>
      <w:pPr>
        <w:sectPr>
          <w:pgSz w:w="11900" w:h="16838" w:orient="portrait"/>
          <w:cols w:equalWidth="0" w:num="1">
            <w:col w:w="11540"/>
          </w:cols>
          <w:pgMar w:left="220" w:top="616" w:right="139" w:bottom="1440" w:gutter="0" w:footer="0" w:header="0"/>
        </w:sectPr>
      </w:pPr>
    </w:p>
    <w:bookmarkStart w:id="38" w:name="page39"/>
    <w:bookmarkEnd w:id="38"/>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32"/>
    </w:lvl>
  </w:abstractNum>
  <w:abstractNum w:abstractNumId="28">
    <w:nsid w:val="614FD4A1"/>
    <w:multiLevelType w:val="hybridMultilevel"/>
    <w:lvl w:ilvl="0">
      <w:lvlJc w:val="left"/>
      <w:lvlText w:val="%1"/>
      <w:numFmt w:val="decimal"/>
      <w:start w:val="99"/>
    </w:lvl>
  </w:abstractNum>
  <w:abstractNum w:abstractNumId="29">
    <w:nsid w:val="419AC241"/>
    <w:multiLevelType w:val="hybridMultilevel"/>
    <w:lvl w:ilvl="0">
      <w:lvlJc w:val="left"/>
      <w:lvlText w:val="%1."/>
      <w:numFmt w:val="decimal"/>
      <w:start w:val="1"/>
    </w:lvl>
    <w:lvl w:ilvl="1">
      <w:lvlJc w:val="left"/>
      <w:lvlText w:val="%2."/>
      <w:numFmt w:val="lowerLetter"/>
      <w:start w:val="1"/>
    </w:lvl>
  </w:abstractNum>
  <w:abstractNum w:abstractNumId="30">
    <w:nsid w:val="5577F8E1"/>
    <w:multiLevelType w:val="hybridMultilevel"/>
    <w:lvl w:ilvl="0">
      <w:lvlJc w:val="left"/>
      <w:lvlText w:val="%1."/>
      <w:numFmt w:val="decimal"/>
      <w:start w:val="1"/>
    </w:lvl>
    <w:lvl w:ilvl="1">
      <w:lvlJc w:val="left"/>
      <w:lvlText w:val="%2."/>
      <w:numFmt w:val="lowerLetter"/>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2019-12-13T04:37:10Z</dcterms:created>
  <dcterms:modified xsi:type="dcterms:W3CDTF">2019-12-13T04:37:10Z</dcterms:modified>
</cp:coreProperties>
</file>