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6"/>
          <w:szCs w:val="16"/>
          <w:color w:val="auto"/>
        </w:rPr>
        <w:t>(Mark One)</w:t>
      </w:r>
    </w:p>
    <w:p>
      <w:pPr>
        <w:spacing w:after="0" w:line="86" w:lineRule="exact"/>
        <w:rPr>
          <w:sz w:val="24"/>
          <w:szCs w:val="24"/>
          <w:color w:val="auto"/>
        </w:rPr>
      </w:pPr>
    </w:p>
    <w:p>
      <w:pPr>
        <w:ind w:left="1360" w:right="4440" w:hanging="825"/>
        <w:spacing w:after="0" w:line="363" w:lineRule="auto"/>
        <w:tabs>
          <w:tab w:leader="none" w:pos="1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Annual Report Pursuant to Section 13 or 15(d) of the Securities Exchange Act of 1934 For the fiscal year ended </w:t>
      </w:r>
      <w:r>
        <w:rPr>
          <w:rFonts w:ascii="Arial" w:cs="Arial" w:eastAsia="Arial" w:hAnsi="Arial"/>
          <w:sz w:val="16"/>
          <w:szCs w:val="16"/>
          <w:b w:val="1"/>
          <w:bCs w:val="1"/>
          <w:color w:val="auto"/>
        </w:rPr>
        <w:t>December 31, 2016</w:t>
      </w:r>
    </w:p>
    <w:p>
      <w:pPr>
        <w:spacing w:after="0" w:line="159" w:lineRule="exact"/>
        <w:rPr>
          <w:sz w:val="24"/>
          <w:szCs w:val="24"/>
          <w:color w:val="auto"/>
        </w:rPr>
      </w:pPr>
    </w:p>
    <w:p>
      <w:pPr>
        <w:ind w:left="1360" w:right="4260" w:hanging="825"/>
        <w:spacing w:after="0" w:line="381" w:lineRule="auto"/>
        <w:tabs>
          <w:tab w:leader="none" w:pos="1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______________ to ______________</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1-3548</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ALLETE,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818" w:right="239" w:bottom="1440" w:gutter="0" w:footer="0" w:header="0"/>
        </w:sectPr>
      </w:pPr>
    </w:p>
    <w:p>
      <w:pPr>
        <w:spacing w:after="0" w:line="240"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Minnesota</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41-0418150</w:t>
      </w:r>
    </w:p>
    <w:p>
      <w:pPr>
        <w:spacing w:after="0" w:line="100" w:lineRule="exact"/>
        <w:rPr>
          <w:sz w:val="24"/>
          <w:szCs w:val="24"/>
          <w:color w:val="auto"/>
        </w:rPr>
      </w:pPr>
    </w:p>
    <w:p>
      <w:pPr>
        <w:sectPr>
          <w:pgSz w:w="11900" w:h="16838" w:orient="portrait"/>
          <w:cols w:equalWidth="0" w:num="2">
            <w:col w:w="7900" w:space="720"/>
            <w:col w:w="2800"/>
          </w:cols>
          <w:pgMar w:left="240" w:top="818" w:right="239" w:bottom="1440" w:gutter="0" w:footer="0" w:header="0"/>
          <w:type w:val="continuous"/>
        </w:sectPr>
      </w:pPr>
    </w:p>
    <w:p>
      <w:pPr>
        <w:ind w:left="7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7100" w:space="720"/>
            <w:col w:w="3600"/>
          </w:cols>
          <w:pgMar w:left="240" w:top="818" w:right="239" w:bottom="1440" w:gutter="0" w:footer="0" w:header="0"/>
          <w:type w:val="continuous"/>
        </w:sectPr>
      </w:pP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30 West Superior Street, Duluth, Minnesota 55802-2093</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(218) 279-5000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20"/>
          </w:cols>
          <w:pgMar w:left="240" w:top="818" w:right="239" w:bottom="1440" w:gutter="0" w:footer="0" w:header="0"/>
          <w:type w:val="continuous"/>
        </w:sectPr>
      </w:pPr>
    </w:p>
    <w:p>
      <w:pPr>
        <w:spacing w:after="0" w:line="248"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96" w:lineRule="exact"/>
        <w:rPr>
          <w:sz w:val="24"/>
          <w:szCs w:val="24"/>
          <w:color w:val="auto"/>
        </w:rPr>
      </w:pPr>
    </w:p>
    <w:p>
      <w:pPr>
        <w:sectPr>
          <w:pgSz w:w="11900" w:h="16838" w:orient="portrait"/>
          <w:cols w:equalWidth="0" w:num="2">
            <w:col w:w="6840" w:space="720"/>
            <w:col w:w="3860"/>
          </w:cols>
          <w:pgMar w:left="240" w:top="818" w:right="239" w:bottom="1440" w:gutter="0" w:footer="0" w:header="0"/>
          <w:type w:val="continuous"/>
        </w:sectPr>
      </w:pPr>
    </w:p>
    <w:p>
      <w:pPr>
        <w:ind w:left="1340"/>
        <w:spacing w:after="0"/>
        <w:rPr>
          <w:sz w:val="20"/>
          <w:szCs w:val="20"/>
          <w:color w:val="auto"/>
        </w:rPr>
      </w:pPr>
      <w:r>
        <w:rPr>
          <w:rFonts w:ascii="Arial" w:cs="Arial" w:eastAsia="Arial" w:hAnsi="Arial"/>
          <w:sz w:val="14"/>
          <w:szCs w:val="14"/>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00" w:lineRule="exact"/>
        <w:rPr>
          <w:sz w:val="24"/>
          <w:szCs w:val="24"/>
          <w:color w:val="auto"/>
        </w:rPr>
      </w:pPr>
    </w:p>
    <w:p>
      <w:pPr>
        <w:sectPr>
          <w:pgSz w:w="11900" w:h="16838" w:orient="portrait"/>
          <w:cols w:equalWidth="0" w:num="2">
            <w:col w:w="7400" w:space="720"/>
            <w:col w:w="3300"/>
          </w:cols>
          <w:pgMar w:left="240" w:top="818" w:right="239" w:bottom="1440" w:gutter="0" w:footer="0" w:header="0"/>
          <w:type w:val="continuous"/>
        </w:sectPr>
      </w:pP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20"/>
          </w:cols>
          <w:pgMar w:left="240" w:top="818" w:right="239" w:bottom="1440" w:gutter="0" w:footer="0" w:header="0"/>
          <w:type w:val="continuous"/>
        </w:sectPr>
      </w:pP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Yes </w:t>
      </w: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3">
            <w:col w:w="7620" w:space="200"/>
            <w:col w:w="360" w:space="200"/>
            <w:col w:w="3040"/>
          </w:cols>
          <w:pgMar w:left="240" w:top="818" w:right="239" w:bottom="1440" w:gutter="0" w:footer="0" w:header="0"/>
          <w:type w:val="continuous"/>
        </w:sectPr>
      </w:pPr>
    </w:p>
    <w:p>
      <w:pPr>
        <w:spacing w:after="0" w:line="184"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No </w:t>
      </w:r>
      <w:r>
        <w:rPr>
          <w:rFonts w:ascii="Arial" w:cs="Arial" w:eastAsia="Arial" w:hAnsi="Arial"/>
          <w:sz w:val="17"/>
          <w:szCs w:val="17"/>
          <w:color w:val="auto"/>
        </w:rPr>
        <w:t>x</w:t>
      </w:r>
    </w:p>
    <w:p>
      <w:pPr>
        <w:spacing w:after="0" w:line="200" w:lineRule="exact"/>
        <w:rPr>
          <w:sz w:val="24"/>
          <w:szCs w:val="24"/>
          <w:color w:val="auto"/>
        </w:rPr>
      </w:pPr>
    </w:p>
    <w:p>
      <w:pPr>
        <w:sectPr>
          <w:pgSz w:w="11900" w:h="16838" w:orient="portrait"/>
          <w:cols w:equalWidth="0" w:num="2">
            <w:col w:w="8240" w:space="200"/>
            <w:col w:w="2980"/>
          </w:cols>
          <w:pgMar w:left="240" w:top="818" w:right="239" w:bottom="1440" w:gutter="0" w:footer="0" w:header="0"/>
          <w:type w:val="continuous"/>
        </w:sectPr>
      </w:pPr>
    </w:p>
    <w:p>
      <w:pPr>
        <w:spacing w:after="0" w:line="28" w:lineRule="exact"/>
        <w:rPr>
          <w:sz w:val="24"/>
          <w:szCs w:val="24"/>
          <w:color w:val="auto"/>
        </w:rPr>
      </w:pPr>
    </w:p>
    <w:p>
      <w:pPr>
        <w:spacing w:after="0" w:line="276" w:lineRule="auto"/>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p>
    <w:p>
      <w:pPr>
        <w:ind w:left="180"/>
        <w:spacing w:after="0" w:line="207"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8"/>
          <w:szCs w:val="18"/>
          <w:color w:val="auto"/>
        </w:rPr>
        <w:t>☐</w:t>
      </w:r>
    </w:p>
    <w:p>
      <w:pPr>
        <w:spacing w:after="0" w:line="207" w:lineRule="exact"/>
        <w:rPr>
          <w:sz w:val="24"/>
          <w:szCs w:val="24"/>
          <w:color w:val="auto"/>
        </w:rPr>
      </w:pPr>
    </w:p>
    <w:p>
      <w:pPr>
        <w:spacing w:after="0" w:line="314"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w:t>
      </w:r>
    </w:p>
    <w:p>
      <w:pPr>
        <w:spacing w:after="0" w:line="1" w:lineRule="exact"/>
        <w:rPr>
          <w:sz w:val="24"/>
          <w:szCs w:val="24"/>
          <w:color w:val="auto"/>
        </w:rPr>
      </w:pPr>
    </w:p>
    <w:p>
      <w:pPr>
        <w:ind w:left="300" w:hanging="292"/>
        <w:spacing w:after="0" w:line="207" w:lineRule="exact"/>
        <w:tabs>
          <w:tab w:leader="none" w:pos="300" w:val="left"/>
        </w:tabs>
        <w:numPr>
          <w:ilvl w:val="0"/>
          <w:numId w:val="3"/>
        </w:numPr>
        <w:rPr>
          <w:rFonts w:ascii="Arial" w:cs="Arial" w:eastAsia="Arial" w:hAnsi="Arial"/>
          <w:sz w:val="18"/>
          <w:szCs w:val="18"/>
          <w:color w:val="auto"/>
        </w:rPr>
      </w:pPr>
      <w:r>
        <w:rPr>
          <w:rFonts w:ascii="Arial" w:cs="Arial" w:eastAsia="Arial" w:hAnsi="Arial"/>
          <w:sz w:val="16"/>
          <w:szCs w:val="16"/>
          <w:color w:val="auto"/>
        </w:rPr>
        <w:t xml:space="preserve">No </w:t>
      </w:r>
      <w:r>
        <w:rPr>
          <w:rFonts w:ascii="MS PGothic" w:cs="MS PGothic" w:eastAsia="MS PGothic" w:hAnsi="MS PGothic"/>
          <w:sz w:val="18"/>
          <w:szCs w:val="18"/>
          <w:color w:val="auto"/>
        </w:rPr>
        <w:t>☐</w:t>
      </w:r>
    </w:p>
    <w:p>
      <w:pPr>
        <w:spacing w:after="0" w:line="208" w:lineRule="exact"/>
        <w:rPr>
          <w:sz w:val="24"/>
          <w:szCs w:val="24"/>
          <w:color w:val="auto"/>
        </w:rPr>
      </w:pPr>
    </w:p>
    <w:p>
      <w:pPr>
        <w:ind w:right="20"/>
        <w:spacing w:after="0" w:line="314" w:lineRule="auto"/>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7"/>
          <w:szCs w:val="17"/>
          <w:color w:val="auto"/>
        </w:rPr>
        <w:t>x</w:t>
      </w:r>
    </w:p>
    <w:p>
      <w:pPr>
        <w:spacing w:after="0" w:line="126" w:lineRule="exact"/>
        <w:rPr>
          <w:sz w:val="24"/>
          <w:szCs w:val="24"/>
          <w:color w:val="auto"/>
        </w:rPr>
      </w:pPr>
    </w:p>
    <w:p>
      <w:pPr>
        <w:spacing w:after="0" w:line="24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jc w:val="center"/>
        <w:ind w:right="2880"/>
        <w:spacing w:after="0" w:line="207" w:lineRule="exact"/>
        <w:tabs>
          <w:tab w:leader="none" w:pos="140" w:val="left"/>
          <w:tab w:leader="none" w:pos="160" w:val="left"/>
          <w:tab w:leader="none" w:pos="16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x</w:t>
      </w:r>
      <w:r>
        <w:rPr>
          <w:rFonts w:ascii="Arial" w:cs="Arial" w:eastAsia="Arial" w:hAnsi="Arial"/>
          <w:sz w:val="16"/>
          <w:szCs w:val="16"/>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6"/>
          <w:szCs w:val="16"/>
          <w:color w:val="auto"/>
        </w:rPr>
        <w:t>☐</w:t>
      </w:r>
    </w:p>
    <w:p>
      <w:pPr>
        <w:spacing w:after="0" w:line="156" w:lineRule="exact"/>
        <w:rPr>
          <w:sz w:val="24"/>
          <w:szCs w:val="24"/>
          <w:color w:val="auto"/>
        </w:rPr>
      </w:pPr>
    </w:p>
    <w:p>
      <w:pPr>
        <w:jc w:val="center"/>
        <w:ind w:right="2880"/>
        <w:spacing w:after="0" w:line="207" w:lineRule="exact"/>
        <w:tabs>
          <w:tab w:leader="none" w:pos="160" w:val="left"/>
          <w:tab w:leader="none" w:pos="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Arial" w:cs="Arial" w:eastAsia="Arial" w:hAnsi="Arial"/>
          <w:sz w:val="18"/>
          <w:szCs w:val="18"/>
          <w:color w:val="auto"/>
        </w:rPr>
        <w:t>x</w:t>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voting stock held by nonaffiliates on June 30, 2016, was $3,178,250,707.</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 2017, there were 50,049,020 shares of ALLETE Common Stock, without par value, outstanding.</w:t>
      </w:r>
    </w:p>
    <w:p>
      <w:pPr>
        <w:spacing w:after="0" w:line="190"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Proxy Statement for the 2017 Annual Meeting of Shareholders are incorporated by reference in Part III.</w:t>
      </w:r>
    </w:p>
    <w:p>
      <w:pPr>
        <w:sectPr>
          <w:pgSz w:w="11900" w:h="16838" w:orient="portrait"/>
          <w:cols w:equalWidth="0" w:num="1">
            <w:col w:w="11420"/>
          </w:cols>
          <w:pgMar w:left="240" w:top="81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80" w:type="dxa"/>
            <w:vAlign w:val="bottom"/>
            <w:gridSpan w:val="3"/>
            <w:shd w:val="clear" w:color="auto" w:fill="CCEEFF"/>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Definitions</w:t>
              </w:r>
            </w:hyperlink>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ind w:left="12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260" w:type="dxa"/>
            <w:vAlign w:val="bottom"/>
            <w:shd w:val="clear" w:color="auto" w:fill="CCEEFF"/>
          </w:tcPr>
          <w:p>
            <w:pPr>
              <w:spacing w:after="0"/>
              <w:rPr>
                <w:sz w:val="22"/>
                <w:szCs w:val="22"/>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440" w:type="dxa"/>
            <w:vAlign w:val="bottom"/>
            <w:tcBorders>
              <w:top w:val="single" w:sz="8" w:color="CCEEFF"/>
            </w:tcBorders>
            <w:gridSpan w:val="2"/>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50"/>
        </w:trPr>
        <w:tc>
          <w:tcPr>
            <w:tcW w:w="8760" w:type="dxa"/>
            <w:vAlign w:val="bottom"/>
            <w:gridSpan w:val="46"/>
            <w:shd w:val="clear" w:color="auto" w:fill="CCEEFF"/>
          </w:tcPr>
          <w:p>
            <w:pPr>
              <w:ind w:left="40"/>
              <w:spacing w:after="0" w:line="20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Forward-Looking Statements</w:t>
              </w:r>
            </w:hyperlink>
          </w:p>
        </w:tc>
        <w:tc>
          <w:tcPr>
            <w:tcW w:w="1400" w:type="dxa"/>
            <w:vAlign w:val="bottom"/>
            <w:gridSpan w:val="3"/>
            <w:shd w:val="clear" w:color="auto" w:fill="CCEEFF"/>
          </w:tcPr>
          <w:p>
            <w:pPr>
              <w:ind w:left="12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126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50"/>
        </w:trPr>
        <w:tc>
          <w:tcPr>
            <w:tcW w:w="1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w:t>
            </w:r>
          </w:p>
        </w:tc>
        <w:tc>
          <w:tcPr>
            <w:tcW w:w="7680" w:type="dxa"/>
            <w:vAlign w:val="bottom"/>
            <w:gridSpan w:val="43"/>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Business</w:t>
              </w:r>
            </w:hyperlink>
          </w:p>
        </w:tc>
        <w:tc>
          <w:tcPr>
            <w:tcW w:w="1400" w:type="dxa"/>
            <w:vAlign w:val="bottom"/>
            <w:gridSpan w:val="3"/>
          </w:tcPr>
          <w:p>
            <w:pPr>
              <w:ind w:left="12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gridSpan w:val="13"/>
            <w:shd w:val="clear" w:color="auto" w:fill="CCEEFF"/>
          </w:tcPr>
          <w:p>
            <w:pPr>
              <w:spacing w:after="0" w:line="202"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Regulated Operations</w:t>
              </w:r>
            </w:hyperlink>
          </w:p>
        </w:tc>
        <w:tc>
          <w:tcPr>
            <w:tcW w:w="6120" w:type="dxa"/>
            <w:vAlign w:val="bottom"/>
            <w:gridSpan w:val="30"/>
            <w:shd w:val="clear" w:color="auto" w:fill="CCEEFF"/>
          </w:tcPr>
          <w:p>
            <w:pPr>
              <w:spacing w:after="0"/>
              <w:rPr>
                <w:sz w:val="17"/>
                <w:szCs w:val="17"/>
                <w:color w:val="auto"/>
              </w:rPr>
            </w:pPr>
          </w:p>
        </w:tc>
        <w:tc>
          <w:tcPr>
            <w:tcW w:w="1400" w:type="dxa"/>
            <w:vAlign w:val="bottom"/>
            <w:gridSpan w:val="3"/>
            <w:shd w:val="clear" w:color="auto" w:fill="CCEEFF"/>
          </w:tcPr>
          <w:p>
            <w:pPr>
              <w:ind w:left="12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gridSpan w:val="37"/>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Electric Sales / Customers</w:t>
              </w:r>
            </w:hyperlink>
          </w:p>
        </w:tc>
        <w:tc>
          <w:tcPr>
            <w:tcW w:w="1400" w:type="dxa"/>
            <w:vAlign w:val="bottom"/>
            <w:gridSpan w:val="3"/>
          </w:tcPr>
          <w:p>
            <w:pPr>
              <w:ind w:left="12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9"/>
            <w:shd w:val="clear" w:color="auto" w:fill="CCEEFF"/>
          </w:tcPr>
          <w:p>
            <w:pPr>
              <w:spacing w:after="0" w:line="202"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Seasonality</w:t>
              </w:r>
            </w:hyperlink>
          </w:p>
        </w:tc>
        <w:tc>
          <w:tcPr>
            <w:tcW w:w="6040" w:type="dxa"/>
            <w:vAlign w:val="bottom"/>
            <w:gridSpan w:val="28"/>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gridSpan w:val="37"/>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Power Supply</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80" w:type="dxa"/>
            <w:vAlign w:val="bottom"/>
            <w:gridSpan w:val="37"/>
            <w:shd w:val="clear" w:color="auto" w:fill="CCEEFF"/>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Transmission and Distribution</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gridSpan w:val="29"/>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Investment in ATC</w:t>
              </w:r>
            </w:hyperlink>
          </w:p>
        </w:tc>
        <w:tc>
          <w:tcPr>
            <w:tcW w:w="4700" w:type="dxa"/>
            <w:vAlign w:val="bottom"/>
            <w:gridSpan w:val="8"/>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6"/>
            <w:shd w:val="clear" w:color="auto" w:fill="CCEEFF"/>
          </w:tcPr>
          <w:p>
            <w:pPr>
              <w:spacing w:after="0" w:line="202"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Properties</w:t>
              </w:r>
            </w:hyperlink>
          </w:p>
        </w:tc>
        <w:tc>
          <w:tcPr>
            <w:tcW w:w="6140" w:type="dxa"/>
            <w:vAlign w:val="bottom"/>
            <w:gridSpan w:val="31"/>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gridSpan w:val="37"/>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Regulatory Matters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80" w:type="dxa"/>
            <w:vAlign w:val="bottom"/>
            <w:gridSpan w:val="37"/>
            <w:shd w:val="clear" w:color="auto" w:fill="CCEEFF"/>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Regional Organizations</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3"/>
          </w:tcPr>
          <w:p>
            <w:pPr>
              <w:spacing w:after="0" w:line="202"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Minnesota Legislation</w:t>
              </w:r>
            </w:hyperlink>
          </w:p>
        </w:tc>
        <w:tc>
          <w:tcPr>
            <w:tcW w:w="5180" w:type="dxa"/>
            <w:vAlign w:val="bottom"/>
            <w:gridSpan w:val="14"/>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80" w:type="dxa"/>
            <w:vAlign w:val="bottom"/>
            <w:gridSpan w:val="37"/>
            <w:shd w:val="clear" w:color="auto" w:fill="CCEEFF"/>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Competition</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12"/>
          </w:tcPr>
          <w:p>
            <w:pPr>
              <w:spacing w:after="0" w:line="20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Franchises</w:t>
              </w:r>
            </w:hyperlink>
          </w:p>
        </w:tc>
        <w:tc>
          <w:tcPr>
            <w:tcW w:w="5980" w:type="dxa"/>
            <w:vAlign w:val="bottom"/>
            <w:gridSpan w:val="25"/>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100" w:type="dxa"/>
            <w:vAlign w:val="bottom"/>
            <w:gridSpan w:val="36"/>
            <w:shd w:val="clear" w:color="auto" w:fill="CCEEFF"/>
          </w:tcPr>
          <w:p>
            <w:pPr>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Energy Infrastructure and Related Services</w:t>
              </w:r>
            </w:hyperlink>
          </w:p>
        </w:tc>
        <w:tc>
          <w:tcPr>
            <w:tcW w:w="4580" w:type="dxa"/>
            <w:vAlign w:val="bottom"/>
            <w:gridSpan w:val="7"/>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30"/>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ALLETE Clean Energy</w:t>
              </w:r>
            </w:hyperlink>
          </w:p>
        </w:tc>
        <w:tc>
          <w:tcPr>
            <w:tcW w:w="4580" w:type="dxa"/>
            <w:vAlign w:val="bottom"/>
            <w:gridSpan w:val="7"/>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gridSpan w:val="20"/>
            <w:shd w:val="clear" w:color="auto" w:fill="CCEEFF"/>
          </w:tcPr>
          <w:p>
            <w:pPr>
              <w:spacing w:after="0" w:line="202"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U.S. Water Services</w:t>
              </w:r>
            </w:hyperlink>
          </w:p>
        </w:tc>
        <w:tc>
          <w:tcPr>
            <w:tcW w:w="5420" w:type="dxa"/>
            <w:vAlign w:val="bottom"/>
            <w:gridSpan w:val="17"/>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3"/>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Corporate and Other</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11"/>
            <w:shd w:val="clear" w:color="auto" w:fill="CCEEFF"/>
          </w:tcPr>
          <w:p>
            <w:pPr>
              <w:spacing w:after="0" w:line="202"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BNI Energy</w:t>
              </w:r>
            </w:hyperlink>
          </w:p>
        </w:tc>
        <w:tc>
          <w:tcPr>
            <w:tcW w:w="6000" w:type="dxa"/>
            <w:vAlign w:val="bottom"/>
            <w:gridSpan w:val="26"/>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gridSpan w:val="37"/>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ALLETE Properties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340" w:type="dxa"/>
            <w:vAlign w:val="bottom"/>
            <w:gridSpan w:val="32"/>
            <w:shd w:val="clear" w:color="auto" w:fill="CCEEFF"/>
          </w:tcPr>
          <w:p>
            <w:pPr>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Non-Rate Base Generation and Miscellaneous</w:t>
              </w:r>
            </w:hyperlink>
          </w:p>
        </w:tc>
        <w:tc>
          <w:tcPr>
            <w:tcW w:w="3540" w:type="dxa"/>
            <w:vAlign w:val="bottom"/>
            <w:gridSpan w:val="5"/>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3"/>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Environmental Matters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6"/>
            <w:shd w:val="clear" w:color="auto" w:fill="CCEEFF"/>
          </w:tcPr>
          <w:p>
            <w:pPr>
              <w:spacing w:after="0" w:line="202"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Employees</w:t>
              </w:r>
            </w:hyperlink>
          </w:p>
        </w:tc>
        <w:tc>
          <w:tcPr>
            <w:tcW w:w="6880" w:type="dxa"/>
            <w:vAlign w:val="bottom"/>
            <w:gridSpan w:val="37"/>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3"/>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Availability of Information</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0" w:type="dxa"/>
            <w:vAlign w:val="bottom"/>
            <w:gridSpan w:val="31"/>
            <w:shd w:val="clear" w:color="auto" w:fill="CCEEFF"/>
          </w:tcPr>
          <w:p>
            <w:pPr>
              <w:spacing w:after="0" w:line="202"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Executive Officers of the Registrant</w:t>
              </w:r>
            </w:hyperlink>
          </w:p>
        </w:tc>
        <w:tc>
          <w:tcPr>
            <w:tcW w:w="5080" w:type="dxa"/>
            <w:vAlign w:val="bottom"/>
            <w:gridSpan w:val="12"/>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1A.</w:t>
            </w:r>
          </w:p>
        </w:tc>
        <w:tc>
          <w:tcPr>
            <w:tcW w:w="2600" w:type="dxa"/>
            <w:vAlign w:val="bottom"/>
            <w:gridSpan w:val="31"/>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080" w:type="dxa"/>
            <w:vAlign w:val="bottom"/>
            <w:gridSpan w:val="12"/>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7680" w:type="dxa"/>
            <w:vAlign w:val="bottom"/>
            <w:gridSpan w:val="43"/>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gridSpan w:val="23"/>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5640" w:type="dxa"/>
            <w:vAlign w:val="bottom"/>
            <w:gridSpan w:val="20"/>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7680" w:type="dxa"/>
            <w:vAlign w:val="bottom"/>
            <w:gridSpan w:val="43"/>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4.</w:t>
            </w:r>
          </w:p>
        </w:tc>
        <w:tc>
          <w:tcPr>
            <w:tcW w:w="7680" w:type="dxa"/>
            <w:vAlign w:val="bottom"/>
            <w:gridSpan w:val="43"/>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1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Part II</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5.</w:t>
            </w:r>
          </w:p>
        </w:tc>
        <w:tc>
          <w:tcPr>
            <w:tcW w:w="5360" w:type="dxa"/>
            <w:vAlign w:val="bottom"/>
            <w:tcBorders>
              <w:bottom w:val="single" w:sz="8" w:color="0000EE"/>
            </w:tcBorders>
            <w:gridSpan w:val="40"/>
          </w:tcPr>
          <w:p>
            <w:pPr>
              <w:spacing w:after="0" w:line="202"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Market for Registrant’s Common Equity, Related Stockholder Matters and</w:t>
              </w:r>
            </w:hyperlink>
          </w:p>
        </w:tc>
        <w:tc>
          <w:tcPr>
            <w:tcW w:w="232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3"/>
          </w:tcPr>
          <w:p>
            <w:pPr>
              <w:ind w:left="24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Issuer Purchases of Equity Securities</w:t>
              </w:r>
            </w:hyperlink>
          </w:p>
        </w:tc>
        <w:tc>
          <w:tcPr>
            <w:tcW w:w="2660" w:type="dxa"/>
            <w:vAlign w:val="bottom"/>
            <w:gridSpan w:val="4"/>
          </w:tcPr>
          <w:p>
            <w:pPr>
              <w:ind w:left="122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7680" w:type="dxa"/>
            <w:vAlign w:val="bottom"/>
            <w:gridSpan w:val="43"/>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7.</w:t>
            </w:r>
          </w:p>
        </w:tc>
        <w:tc>
          <w:tcPr>
            <w:tcW w:w="7680" w:type="dxa"/>
            <w:vAlign w:val="bottom"/>
            <w:gridSpan w:val="43"/>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80" w:type="dxa"/>
            <w:vAlign w:val="bottom"/>
            <w:gridSpan w:val="43"/>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Overview</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3"/>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2016 Compared to 2015</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gridSpan w:val="19"/>
            <w:shd w:val="clear" w:color="auto" w:fill="CCEEFF"/>
          </w:tcPr>
          <w:p>
            <w:pPr>
              <w:spacing w:after="0" w:line="202"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2015 Compared to 2014</w:t>
              </w:r>
            </w:hyperlink>
          </w:p>
        </w:tc>
        <w:tc>
          <w:tcPr>
            <w:tcW w:w="5940" w:type="dxa"/>
            <w:vAlign w:val="bottom"/>
            <w:gridSpan w:val="24"/>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3"/>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Critical Accounting Policies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80" w:type="dxa"/>
            <w:vAlign w:val="bottom"/>
            <w:gridSpan w:val="43"/>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Outlook</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3"/>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Liquidity and Capital Resources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gridSpan w:val="13"/>
            <w:shd w:val="clear" w:color="auto" w:fill="CCEEFF"/>
          </w:tcPr>
          <w:p>
            <w:pPr>
              <w:spacing w:after="0" w:line="202"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Capital Requirements</w:t>
              </w:r>
            </w:hyperlink>
          </w:p>
        </w:tc>
        <w:tc>
          <w:tcPr>
            <w:tcW w:w="6120" w:type="dxa"/>
            <w:vAlign w:val="bottom"/>
            <w:gridSpan w:val="30"/>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3"/>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Environmental and Other Matters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80" w:type="dxa"/>
            <w:vAlign w:val="bottom"/>
            <w:gridSpan w:val="43"/>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Market Risk</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3"/>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Recently Adopted Accounting Standards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7680" w:type="dxa"/>
            <w:vAlign w:val="bottom"/>
            <w:gridSpan w:val="43"/>
            <w:shd w:val="clear" w:color="auto" w:fill="CCEEFF"/>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8.</w:t>
            </w:r>
          </w:p>
        </w:tc>
        <w:tc>
          <w:tcPr>
            <w:tcW w:w="4300" w:type="dxa"/>
            <w:vAlign w:val="bottom"/>
            <w:gridSpan w:val="39"/>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3380" w:type="dxa"/>
            <w:vAlign w:val="bottom"/>
            <w:gridSpan w:val="4"/>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7680" w:type="dxa"/>
            <w:vAlign w:val="bottom"/>
            <w:gridSpan w:val="43"/>
            <w:shd w:val="clear" w:color="auto" w:fill="CCEEFF"/>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Changes in and Disagreements with Accountants on Accounting and Financial Disclosure</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02" w:right="239" w:bottom="328"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Item 9A.</w:t>
            </w:r>
          </w:p>
        </w:tc>
        <w:tc>
          <w:tcPr>
            <w:tcW w:w="7180" w:type="dxa"/>
            <w:vAlign w:val="bottom"/>
            <w:gridSpan w:val="13"/>
            <w:shd w:val="clear" w:color="auto" w:fill="CCEEFF"/>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3160" w:type="dxa"/>
            <w:vAlign w:val="bottom"/>
            <w:gridSpan w:val="3"/>
            <w:shd w:val="clear" w:color="auto" w:fill="CCEEFF"/>
          </w:tcPr>
          <w:p>
            <w:pPr>
              <w:jc w:val="right"/>
              <w:ind w:right="126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9B.</w:t>
            </w:r>
          </w:p>
        </w:tc>
        <w:tc>
          <w:tcPr>
            <w:tcW w:w="1760" w:type="dxa"/>
            <w:vAlign w:val="bottom"/>
            <w:gridSpan w:val="5"/>
          </w:tcPr>
          <w:p>
            <w:pPr>
              <w:spacing w:after="0" w:line="202" w:lineRule="exact"/>
              <w:rPr>
                <w:sz w:val="20"/>
                <w:szCs w:val="20"/>
                <w:color w:val="auto"/>
              </w:rPr>
            </w:pPr>
            <w:r>
              <w:rPr>
                <w:rFonts w:ascii="Arial" w:cs="Arial" w:eastAsia="Arial" w:hAnsi="Arial"/>
                <w:sz w:val="18"/>
                <w:szCs w:val="18"/>
                <w:color w:val="0000EE"/>
              </w:rPr>
              <w:t>Other Information</w:t>
            </w:r>
          </w:p>
        </w:tc>
        <w:tc>
          <w:tcPr>
            <w:tcW w:w="5420" w:type="dxa"/>
            <w:vAlign w:val="bottom"/>
            <w:gridSpan w:val="8"/>
          </w:tcPr>
          <w:p>
            <w:pPr>
              <w:spacing w:after="0"/>
              <w:rPr>
                <w:sz w:val="17"/>
                <w:szCs w:val="17"/>
                <w:color w:val="auto"/>
              </w:rPr>
            </w:pPr>
          </w:p>
        </w:tc>
        <w:tc>
          <w:tcPr>
            <w:tcW w:w="3160" w:type="dxa"/>
            <w:vAlign w:val="bottom"/>
            <w:gridSpan w:val="3"/>
          </w:tcPr>
          <w:p>
            <w:pPr>
              <w:jc w:val="right"/>
              <w:ind w:right="126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1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Part III</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10.</w:t>
            </w:r>
          </w:p>
        </w:tc>
        <w:tc>
          <w:tcPr>
            <w:tcW w:w="7180" w:type="dxa"/>
            <w:vAlign w:val="bottom"/>
            <w:gridSpan w:val="13"/>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Directors, Executive Officers and Corporate Governance</w:t>
              </w:r>
            </w:hyperlink>
          </w:p>
        </w:tc>
        <w:tc>
          <w:tcPr>
            <w:tcW w:w="3160" w:type="dxa"/>
            <w:vAlign w:val="bottom"/>
            <w:gridSpan w:val="3"/>
          </w:tcPr>
          <w:p>
            <w:pPr>
              <w:jc w:val="right"/>
              <w:ind w:right="126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11.</w:t>
            </w:r>
          </w:p>
        </w:tc>
        <w:tc>
          <w:tcPr>
            <w:tcW w:w="1800" w:type="dxa"/>
            <w:vAlign w:val="bottom"/>
            <w:gridSpan w:val="6"/>
            <w:shd w:val="clear" w:color="auto" w:fill="CCEEFF"/>
          </w:tcPr>
          <w:p>
            <w:pPr>
              <w:spacing w:after="0" w:line="20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Executive Compensation</w:t>
              </w:r>
            </w:hyperlink>
          </w:p>
        </w:tc>
        <w:tc>
          <w:tcPr>
            <w:tcW w:w="5380" w:type="dxa"/>
            <w:vAlign w:val="bottom"/>
            <w:gridSpan w:val="7"/>
            <w:shd w:val="clear" w:color="auto" w:fill="CCEEFF"/>
          </w:tcPr>
          <w:p>
            <w:pPr>
              <w:spacing w:after="0"/>
              <w:rPr>
                <w:sz w:val="17"/>
                <w:szCs w:val="17"/>
                <w:color w:val="auto"/>
              </w:rPr>
            </w:pPr>
          </w:p>
        </w:tc>
        <w:tc>
          <w:tcPr>
            <w:tcW w:w="3160" w:type="dxa"/>
            <w:vAlign w:val="bottom"/>
            <w:gridSpan w:val="3"/>
            <w:shd w:val="clear" w:color="auto" w:fill="CCEEFF"/>
          </w:tcPr>
          <w:p>
            <w:pPr>
              <w:jc w:val="right"/>
              <w:ind w:right="126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12.</w:t>
            </w:r>
          </w:p>
        </w:tc>
        <w:tc>
          <w:tcPr>
            <w:tcW w:w="7180" w:type="dxa"/>
            <w:vAlign w:val="bottom"/>
            <w:gridSpan w:val="13"/>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Security Ownership of Certain Beneficial Owners and Management and</w:t>
              </w:r>
            </w:hyperlink>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Borders>
              <w:top w:val="single" w:sz="8" w:color="0000EE"/>
            </w:tcBorders>
            <w:gridSpan w:val="11"/>
          </w:tcPr>
          <w:p>
            <w:pPr>
              <w:ind w:left="240"/>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Related Stockholder Matters</w:t>
              </w:r>
            </w:hyperlink>
          </w:p>
        </w:tc>
        <w:tc>
          <w:tcPr>
            <w:tcW w:w="2000" w:type="dxa"/>
            <w:vAlign w:val="bottom"/>
            <w:gridSpan w:val="2"/>
          </w:tcPr>
          <w:p>
            <w:pPr>
              <w:spacing w:after="0"/>
              <w:rPr>
                <w:sz w:val="17"/>
                <w:szCs w:val="17"/>
                <w:color w:val="auto"/>
              </w:rPr>
            </w:pPr>
          </w:p>
        </w:tc>
        <w:tc>
          <w:tcPr>
            <w:tcW w:w="3160" w:type="dxa"/>
            <w:vAlign w:val="bottom"/>
            <w:gridSpan w:val="3"/>
          </w:tcPr>
          <w:p>
            <w:pPr>
              <w:jc w:val="right"/>
              <w:ind w:right="1260"/>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13.</w:t>
            </w:r>
          </w:p>
        </w:tc>
        <w:tc>
          <w:tcPr>
            <w:tcW w:w="7180" w:type="dxa"/>
            <w:vAlign w:val="bottom"/>
            <w:gridSpan w:val="13"/>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Certain Relationships and Related Transactions, and Director Independence</w:t>
              </w:r>
            </w:hyperlink>
          </w:p>
        </w:tc>
        <w:tc>
          <w:tcPr>
            <w:tcW w:w="3160" w:type="dxa"/>
            <w:vAlign w:val="bottom"/>
            <w:gridSpan w:val="3"/>
            <w:shd w:val="clear" w:color="auto" w:fill="CCEEFF"/>
          </w:tcPr>
          <w:p>
            <w:pPr>
              <w:jc w:val="right"/>
              <w:ind w:right="126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14.</w:t>
            </w:r>
          </w:p>
        </w:tc>
        <w:tc>
          <w:tcPr>
            <w:tcW w:w="5440" w:type="dxa"/>
            <w:vAlign w:val="bottom"/>
            <w:gridSpan w:val="12"/>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Principal Accounting Fees and Services</w:t>
              </w:r>
            </w:hyperlink>
          </w:p>
        </w:tc>
        <w:tc>
          <w:tcPr>
            <w:tcW w:w="1740" w:type="dxa"/>
            <w:vAlign w:val="bottom"/>
          </w:tcPr>
          <w:p>
            <w:pPr>
              <w:spacing w:after="0"/>
              <w:rPr>
                <w:sz w:val="17"/>
                <w:szCs w:val="17"/>
                <w:color w:val="auto"/>
              </w:rPr>
            </w:pPr>
          </w:p>
        </w:tc>
        <w:tc>
          <w:tcPr>
            <w:tcW w:w="3160" w:type="dxa"/>
            <w:vAlign w:val="bottom"/>
            <w:gridSpan w:val="3"/>
          </w:tcPr>
          <w:p>
            <w:pPr>
              <w:jc w:val="right"/>
              <w:ind w:right="126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1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Part IV</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15.</w:t>
            </w:r>
          </w:p>
        </w:tc>
        <w:tc>
          <w:tcPr>
            <w:tcW w:w="7180" w:type="dxa"/>
            <w:vAlign w:val="bottom"/>
            <w:gridSpan w:val="13"/>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Exhibits and Financial Statement Schedules</w:t>
              </w:r>
            </w:hyperlink>
          </w:p>
        </w:tc>
        <w:tc>
          <w:tcPr>
            <w:tcW w:w="3160" w:type="dxa"/>
            <w:vAlign w:val="bottom"/>
            <w:gridSpan w:val="3"/>
          </w:tcPr>
          <w:p>
            <w:pPr>
              <w:jc w:val="right"/>
              <w:ind w:right="126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16.</w:t>
            </w:r>
          </w:p>
        </w:tc>
        <w:tc>
          <w:tcPr>
            <w:tcW w:w="7180" w:type="dxa"/>
            <w:vAlign w:val="bottom"/>
            <w:gridSpan w:val="13"/>
            <w:shd w:val="clear" w:color="auto" w:fill="CCEEFF"/>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Form 10-K Summary</w:t>
              </w:r>
            </w:hyperlink>
          </w:p>
        </w:tc>
        <w:tc>
          <w:tcPr>
            <w:tcW w:w="3160" w:type="dxa"/>
            <w:vAlign w:val="bottom"/>
            <w:gridSpan w:val="3"/>
            <w:shd w:val="clear" w:color="auto" w:fill="CCEEFF"/>
          </w:tcPr>
          <w:p>
            <w:pPr>
              <w:jc w:val="right"/>
              <w:ind w:right="126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70"/>
        </w:trPr>
        <w:tc>
          <w:tcPr>
            <w:tcW w:w="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0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1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3"/>
            <w:shd w:val="clear" w:color="auto" w:fill="CCEEFF"/>
          </w:tcPr>
          <w:p>
            <w:pPr>
              <w:ind w:left="40"/>
              <w:spacing w:after="0" w:line="202"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Signatures</w:t>
              </w:r>
            </w:hyperlink>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3160" w:type="dxa"/>
            <w:vAlign w:val="bottom"/>
            <w:gridSpan w:val="3"/>
            <w:shd w:val="clear" w:color="auto" w:fill="CCEEFF"/>
          </w:tcPr>
          <w:p>
            <w:pPr>
              <w:jc w:val="right"/>
              <w:ind w:right="126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70"/>
        </w:trPr>
        <w:tc>
          <w:tcPr>
            <w:tcW w:w="40" w:type="dxa"/>
            <w:vAlign w:val="bottom"/>
            <w:tcBorders>
              <w:top w:val="single" w:sz="8" w:color="CCEEFF"/>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60" w:type="dxa"/>
            <w:vAlign w:val="bottom"/>
            <w:tcBorders>
              <w:top w:val="single" w:sz="8" w:color="CCEEFF"/>
            </w:tcBorders>
            <w:gridSpan w:val="2"/>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1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03"/>
        </w:trPr>
        <w:tc>
          <w:tcPr>
            <w:tcW w:w="8260" w:type="dxa"/>
            <w:vAlign w:val="bottom"/>
            <w:gridSpan w:val="16"/>
            <w:shd w:val="clear" w:color="auto" w:fill="CCEEFF"/>
          </w:tcPr>
          <w:p>
            <w:pPr>
              <w:ind w:left="40"/>
              <w:spacing w:after="0" w:line="202"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Consolidated Financial Statements</w:t>
              </w:r>
            </w:hyperlink>
          </w:p>
        </w:tc>
        <w:tc>
          <w:tcPr>
            <w:tcW w:w="3160" w:type="dxa"/>
            <w:vAlign w:val="bottom"/>
            <w:gridSpan w:val="3"/>
            <w:shd w:val="clear" w:color="auto" w:fill="CCEEFF"/>
          </w:tcPr>
          <w:p>
            <w:pPr>
              <w:jc w:val="right"/>
              <w:ind w:right="126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0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Allowance for Funds Used During Construction - the cost of both debt and equity funds used to finance utility</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ArcelorMittal</w:t>
            </w:r>
          </w:p>
        </w:tc>
        <w:tc>
          <w:tcPr>
            <w:tcW w:w="8180" w:type="dxa"/>
            <w:vAlign w:val="bottom"/>
            <w:gridSpan w:val="2"/>
          </w:tcPr>
          <w:p>
            <w:pPr>
              <w:spacing w:after="0"/>
              <w:rPr>
                <w:sz w:val="20"/>
                <w:szCs w:val="20"/>
                <w:color w:val="auto"/>
              </w:rPr>
            </w:pPr>
            <w:r>
              <w:rPr>
                <w:rFonts w:ascii="Arial" w:cs="Arial" w:eastAsia="Arial" w:hAnsi="Arial"/>
                <w:sz w:val="18"/>
                <w:szCs w:val="18"/>
                <w:color w:val="auto"/>
              </w:rPr>
              <w:t>ArcelorMittal USA,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Basin</w:t>
            </w:r>
          </w:p>
        </w:tc>
        <w:tc>
          <w:tcPr>
            <w:tcW w:w="8180" w:type="dxa"/>
            <w:vAlign w:val="bottom"/>
            <w:gridSpan w:val="2"/>
          </w:tcPr>
          <w:p>
            <w:pPr>
              <w:spacing w:after="0"/>
              <w:rPr>
                <w:sz w:val="20"/>
                <w:szCs w:val="20"/>
                <w:color w:val="auto"/>
              </w:rPr>
            </w:pPr>
            <w:r>
              <w:rPr>
                <w:rFonts w:ascii="Arial" w:cs="Arial" w:eastAsia="Arial" w:hAnsi="Arial"/>
                <w:sz w:val="18"/>
                <w:szCs w:val="18"/>
                <w:color w:val="auto"/>
              </w:rPr>
              <w:t>Basin Electric Power Cooperative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gridSpan w:val="2"/>
          </w:tcPr>
          <w:p>
            <w:pPr>
              <w:spacing w:after="0"/>
              <w:rPr>
                <w:sz w:val="20"/>
                <w:szCs w:val="20"/>
                <w:color w:val="auto"/>
              </w:rPr>
            </w:pPr>
            <w:r>
              <w:rPr>
                <w:rFonts w:ascii="Arial" w:cs="Arial" w:eastAsia="Arial" w:hAnsi="Arial"/>
                <w:sz w:val="18"/>
                <w:szCs w:val="18"/>
                <w:color w:val="auto"/>
              </w:rPr>
              <w:t>BNI Energy, Inc. and its subsidiary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Camp Ripley</w:t>
            </w:r>
          </w:p>
        </w:tc>
        <w:tc>
          <w:tcPr>
            <w:tcW w:w="8180" w:type="dxa"/>
            <w:vAlign w:val="bottom"/>
            <w:gridSpan w:val="2"/>
          </w:tcPr>
          <w:p>
            <w:pPr>
              <w:spacing w:after="0"/>
              <w:rPr>
                <w:sz w:val="20"/>
                <w:szCs w:val="20"/>
                <w:color w:val="auto"/>
              </w:rPr>
            </w:pPr>
            <w:r>
              <w:rPr>
                <w:rFonts w:ascii="Arial" w:cs="Arial" w:eastAsia="Arial" w:hAnsi="Arial"/>
                <w:sz w:val="18"/>
                <w:szCs w:val="18"/>
                <w:color w:val="auto"/>
              </w:rPr>
              <w:t>Camp Ripley Solar Array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Cliffs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Cliffs Natural Resources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CSAPR</w:t>
            </w:r>
          </w:p>
        </w:tc>
        <w:tc>
          <w:tcPr>
            <w:tcW w:w="818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EIS</w:t>
            </w:r>
          </w:p>
        </w:tc>
        <w:tc>
          <w:tcPr>
            <w:tcW w:w="8180" w:type="dxa"/>
            <w:vAlign w:val="bottom"/>
            <w:gridSpan w:val="2"/>
          </w:tcPr>
          <w:p>
            <w:pPr>
              <w:spacing w:after="0"/>
              <w:rPr>
                <w:sz w:val="20"/>
                <w:szCs w:val="20"/>
                <w:color w:val="auto"/>
              </w:rPr>
            </w:pPr>
            <w:r>
              <w:rPr>
                <w:rFonts w:ascii="Arial" w:cs="Arial" w:eastAsia="Arial" w:hAnsi="Arial"/>
                <w:sz w:val="18"/>
                <w:szCs w:val="18"/>
                <w:color w:val="auto"/>
              </w:rPr>
              <w:t>Environmental Impact Statement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ESOP</w:t>
            </w:r>
          </w:p>
        </w:tc>
        <w:tc>
          <w:tcPr>
            <w:tcW w:w="818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FERC</w:t>
            </w:r>
          </w:p>
        </w:tc>
        <w:tc>
          <w:tcPr>
            <w:tcW w:w="818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8-K</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Current Report on Form 8-K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18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GNTL</w:t>
            </w:r>
          </w:p>
        </w:tc>
        <w:tc>
          <w:tcPr>
            <w:tcW w:w="818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IBEW</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 Brotherhood of Electrical Workers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IRP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Integrated Resource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gridSpan w:val="2"/>
          </w:tcPr>
          <w:p>
            <w:pPr>
              <w:spacing w:after="0"/>
              <w:rPr>
                <w:sz w:val="20"/>
                <w:szCs w:val="20"/>
                <w:color w:val="auto"/>
              </w:rPr>
            </w:pPr>
            <w:r>
              <w:rPr>
                <w:rFonts w:ascii="Arial" w:cs="Arial" w:eastAsia="Arial" w:hAnsi="Arial"/>
                <w:sz w:val="18"/>
                <w:szCs w:val="18"/>
                <w:color w:val="auto"/>
              </w:rPr>
              <w:t>Item ___ of this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Kilovolt(s)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Kilowatt(s) / Kilowatt-hour(s)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MACT</w:t>
            </w:r>
          </w:p>
        </w:tc>
        <w:tc>
          <w:tcPr>
            <w:tcW w:w="8180" w:type="dxa"/>
            <w:vAlign w:val="bottom"/>
            <w:gridSpan w:val="2"/>
          </w:tcPr>
          <w:p>
            <w:pPr>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Magnetation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Magnetation,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MATS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Mercury and Air Toxics Standards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MBtu</w:t>
            </w:r>
          </w:p>
        </w:tc>
        <w:tc>
          <w:tcPr>
            <w:tcW w:w="8180" w:type="dxa"/>
            <w:vAlign w:val="bottom"/>
            <w:gridSpan w:val="2"/>
          </w:tcPr>
          <w:p>
            <w:pPr>
              <w:spacing w:after="0"/>
              <w:rPr>
                <w:sz w:val="20"/>
                <w:szCs w:val="20"/>
                <w:color w:val="auto"/>
              </w:rPr>
            </w:pPr>
            <w:r>
              <w:rPr>
                <w:rFonts w:ascii="Arial" w:cs="Arial" w:eastAsia="Arial" w:hAnsi="Arial"/>
                <w:sz w:val="18"/>
                <w:szCs w:val="18"/>
                <w:color w:val="auto"/>
              </w:rPr>
              <w:t>Million British thermal units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Mesabi Metallics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Mesabi Metallics Company LLC (formerly Essar Steel Minnesota LLC)</w:t>
            </w:r>
          </w:p>
        </w:tc>
      </w:tr>
      <w:tr>
        <w:trPr>
          <w:trHeight w:val="445"/>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920"/>
              <w:spacing w:after="0"/>
              <w:rPr>
                <w:sz w:val="20"/>
                <w:szCs w:val="20"/>
                <w:color w:val="auto"/>
              </w:rPr>
            </w:pPr>
            <w:r>
              <w:rPr>
                <w:rFonts w:ascii="Arial" w:cs="Arial" w:eastAsia="Arial" w:hAnsi="Arial"/>
                <w:sz w:val="18"/>
                <w:szCs w:val="18"/>
                <w:color w:val="auto"/>
              </w:rPr>
              <w:t>ALLETE, Inc. 2016 Form 10-K</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80" w:type="dxa"/>
            <w:vAlign w:val="bottom"/>
            <w:gridSpan w:val="2"/>
          </w:tcPr>
          <w:p>
            <w:pPr>
              <w:ind w:left="24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702"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780" w:type="dxa"/>
            <w:vAlign w:val="bottom"/>
          </w:tcPr>
          <w:p>
            <w:pPr>
              <w:jc w:val="center"/>
              <w:ind w:right="3530"/>
              <w:spacing w:after="0"/>
              <w:rPr>
                <w:sz w:val="20"/>
                <w:szCs w:val="20"/>
                <w:color w:val="auto"/>
              </w:rPr>
            </w:pPr>
            <w:r>
              <w:rPr>
                <w:rFonts w:ascii="Arial" w:cs="Arial" w:eastAsia="Arial" w:hAnsi="Arial"/>
                <w:sz w:val="18"/>
                <w:szCs w:val="18"/>
                <w:b w:val="1"/>
                <w:bCs w:val="1"/>
                <w:color w:val="auto"/>
                <w:w w:val="89"/>
              </w:rPr>
              <w:t>Definitions (continued)</w:t>
            </w:r>
          </w:p>
        </w:tc>
      </w:tr>
      <w:tr>
        <w:trPr>
          <w:trHeight w:val="554"/>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Moody’s Investors Service,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MPCA</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NERC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American Electric Reliability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NOL</w:t>
            </w:r>
          </w:p>
        </w:tc>
        <w:tc>
          <w:tcPr>
            <w:tcW w:w="8180" w:type="dxa"/>
            <w:vAlign w:val="bottom"/>
            <w:gridSpan w:val="2"/>
          </w:tcPr>
          <w:p>
            <w:pPr>
              <w:spacing w:after="0"/>
              <w:rPr>
                <w:sz w:val="20"/>
                <w:szCs w:val="20"/>
                <w:color w:val="auto"/>
              </w:rPr>
            </w:pPr>
            <w:r>
              <w:rPr>
                <w:rFonts w:ascii="Arial" w:cs="Arial" w:eastAsia="Arial" w:hAnsi="Arial"/>
                <w:sz w:val="18"/>
                <w:szCs w:val="18"/>
                <w:color w:val="auto"/>
              </w:rPr>
              <w:t>Net Operating Loss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Retail and non-retail commercial, office, industrial, warehouse, storage and institutional</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Northshore Mining</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NPDES</w:t>
            </w:r>
          </w:p>
        </w:tc>
        <w:tc>
          <w:tcPr>
            <w:tcW w:w="818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NYSE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New York Stock Exchange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 Mining Corp.</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 / PSA</w:t>
            </w:r>
          </w:p>
        </w:tc>
        <w:tc>
          <w:tcPr>
            <w:tcW w:w="8180" w:type="dxa"/>
            <w:vAlign w:val="bottom"/>
            <w:gridSpan w:val="2"/>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PSCW</w:t>
            </w:r>
          </w:p>
        </w:tc>
        <w:tc>
          <w:tcPr>
            <w:tcW w:w="818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Retirement Savings and Stock Ownership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18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Shell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Shell Energy North America (US), L.P.</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Silver Bay Power Company,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Implementation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Standard &amp; Poor’s</w:t>
            </w:r>
          </w:p>
        </w:tc>
        <w:tc>
          <w:tcPr>
            <w:tcW w:w="8180" w:type="dxa"/>
            <w:vAlign w:val="bottom"/>
            <w:gridSpan w:val="2"/>
          </w:tcPr>
          <w:p>
            <w:pPr>
              <w:spacing w:after="0"/>
              <w:rPr>
                <w:sz w:val="20"/>
                <w:szCs w:val="20"/>
                <w:color w:val="auto"/>
              </w:rPr>
            </w:pPr>
            <w:r>
              <w:rPr>
                <w:rFonts w:ascii="Arial" w:cs="Arial" w:eastAsia="Arial" w:hAnsi="Arial"/>
                <w:sz w:val="18"/>
                <w:szCs w:val="18"/>
                <w:color w:val="auto"/>
              </w:rPr>
              <w:t>Standard &amp; Poor’s Ratings Services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Ridge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Ridge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Thomson</w:t>
            </w:r>
          </w:p>
        </w:tc>
        <w:tc>
          <w:tcPr>
            <w:tcW w:w="8180" w:type="dxa"/>
            <w:vAlign w:val="bottom"/>
            <w:gridSpan w:val="2"/>
          </w:tcPr>
          <w:p>
            <w:pPr>
              <w:spacing w:after="0"/>
              <w:rPr>
                <w:sz w:val="20"/>
                <w:szCs w:val="20"/>
                <w:color w:val="auto"/>
              </w:rPr>
            </w:pPr>
            <w:r>
              <w:rPr>
                <w:rFonts w:ascii="Arial" w:cs="Arial" w:eastAsia="Arial" w:hAnsi="Arial"/>
                <w:sz w:val="18"/>
                <w:szCs w:val="18"/>
                <w:color w:val="auto"/>
              </w:rPr>
              <w:t>Thomson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TransAlta</w:t>
            </w:r>
          </w:p>
        </w:tc>
        <w:tc>
          <w:tcPr>
            <w:tcW w:w="8180" w:type="dxa"/>
            <w:vAlign w:val="bottom"/>
            <w:gridSpan w:val="2"/>
          </w:tcPr>
          <w:p>
            <w:pPr>
              <w:spacing w:after="0"/>
              <w:rPr>
                <w:sz w:val="20"/>
                <w:szCs w:val="20"/>
                <w:color w:val="auto"/>
              </w:rPr>
            </w:pPr>
            <w:r>
              <w:rPr>
                <w:rFonts w:ascii="Arial" w:cs="Arial" w:eastAsia="Arial" w:hAnsi="Arial"/>
                <w:sz w:val="18"/>
                <w:szCs w:val="18"/>
                <w:color w:val="auto"/>
              </w:rPr>
              <w:t>TransAlta Energy Marketing (U.S.)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Taconite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Taconite LLC, a wholly-owned subsidiary of Cliffs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USS Corporation</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Wind Turbine Generator</w:t>
            </w:r>
          </w:p>
        </w:tc>
      </w:tr>
      <w:tr>
        <w:trPr>
          <w:trHeight w:val="445"/>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jc w:val="center"/>
              <w:ind w:right="3550"/>
              <w:spacing w:after="0"/>
              <w:rPr>
                <w:sz w:val="20"/>
                <w:szCs w:val="20"/>
                <w:color w:val="auto"/>
              </w:rPr>
            </w:pPr>
            <w:r>
              <w:rPr>
                <w:rFonts w:ascii="Arial" w:cs="Arial" w:eastAsia="Arial" w:hAnsi="Arial"/>
                <w:sz w:val="18"/>
                <w:szCs w:val="18"/>
                <w:color w:val="auto"/>
                <w:w w:val="95"/>
              </w:rPr>
              <w:t>ALLETE, Inc. 2016 Form 10-K</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80" w:type="dxa"/>
            <w:vAlign w:val="bottom"/>
            <w:gridSpan w:val="2"/>
          </w:tcPr>
          <w:p>
            <w:pPr>
              <w:jc w:val="center"/>
              <w:ind w:right="3150"/>
              <w:spacing w:after="0"/>
              <w:rPr>
                <w:sz w:val="20"/>
                <w:szCs w:val="20"/>
                <w:color w:val="auto"/>
              </w:rPr>
            </w:pPr>
            <w:r>
              <w:rPr>
                <w:rFonts w:ascii="Arial" w:cs="Arial" w:eastAsia="Arial" w:hAnsi="Arial"/>
                <w:sz w:val="18"/>
                <w:szCs w:val="18"/>
                <w:color w:val="auto"/>
                <w:w w:val="99"/>
              </w:rPr>
              <w:t>5</w:t>
            </w:r>
          </w:p>
        </w:tc>
      </w:tr>
    </w:tbl>
    <w:p>
      <w:pPr>
        <w:sectPr>
          <w:pgSz w:w="11900" w:h="16838" w:orient="portrait"/>
          <w:cols w:equalWidth="0" w:num="1">
            <w:col w:w="11420"/>
          </w:cols>
          <w:pgMar w:left="240" w:top="70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sales price increases at our Energy Infrastructure and Related Services businesses;</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greenhouse gases;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success of efforts to realize value from, invest in, and develop new opportunities in, our Energy Infrastructure and Related Services businesses; and</w:t>
      </w:r>
    </w:p>
    <w:p>
      <w:pPr>
        <w:spacing w:after="0" w:line="3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our Energy Infrastructure and Related Services businesses, including fluctuations in the volume of customer orders,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2"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Forward Looking Statements (Continued)</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Item 1A under the heading “Risk Factors” beginning on page 25 of this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10-K and in other reports filed with the SEC that attempt to identify the risks and uncertainties that may affect ALLETE’s business.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0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parts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4. Regulatory Matters.)</w:t>
      </w:r>
    </w:p>
    <w:p>
      <w:pPr>
        <w:spacing w:after="0" w:line="15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four states, approximately 535 MW of nameplate capacity wind energy generation that is from PSAs under various durations. In addition, ALLETE Clean Energy constructed and sold a 107 MW wind energy facility in 2015. On January 3, 2017, ALLETE Clean Energy announced that it will develop another wind energy facility of up to 50 MW after securing a 25</w:t>
      </w:r>
      <w:r>
        <w:rPr>
          <w:rFonts w:ascii="MS PGothic" w:cs="MS PGothic" w:eastAsia="MS PGothic" w:hAnsi="MS PGothic"/>
          <w:sz w:val="18"/>
          <w:szCs w:val="18"/>
          <w:color w:val="auto"/>
        </w:rPr>
        <w:t>‑</w:t>
      </w:r>
      <w:r>
        <w:rPr>
          <w:rFonts w:ascii="Arial" w:cs="Arial" w:eastAsia="Arial" w:hAnsi="Arial"/>
          <w:sz w:val="18"/>
          <w:szCs w:val="18"/>
          <w:color w:val="auto"/>
        </w:rPr>
        <w:t>year PSA. The PSA includes an option for the counterparty to purchase the facility upon development completion; construction is expected to begin in 2018.</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other business development and corporate expenditures, unallocated interest expense, a small amount of non-rate base generation, approximately 5,000 acres of land in Minnesota, and earnings on cash and investments.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2016, unless otherwise indicated. All subsidiaries are wholly-owned unless otherwise specifically indicated. References in this report to “we,” “us” and “our” are to ALLETE and its subsidiaries, collectively.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640" w:type="dxa"/>
            <w:vAlign w:val="bottom"/>
          </w:tcPr>
          <w:p>
            <w:pPr>
              <w:jc w:val="right"/>
              <w:ind w:right="49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6"/>
                <w:szCs w:val="16"/>
                <w:i w:val="1"/>
                <w:iCs w:val="1"/>
                <w:color w:val="auto"/>
              </w:rPr>
              <w:t>(a)</w:t>
            </w: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r>
      <w:tr>
        <w:trPr>
          <w:trHeight w:val="27"/>
        </w:trPr>
        <w:tc>
          <w:tcPr>
            <w:tcW w:w="5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532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Consolidated Operating Revenue – Millions</w:t>
            </w:r>
          </w:p>
        </w:tc>
        <w:tc>
          <w:tcPr>
            <w:tcW w:w="3080" w:type="dxa"/>
            <w:vAlign w:val="bottom"/>
          </w:tcPr>
          <w:p>
            <w:pPr>
              <w:jc w:val="right"/>
              <w:ind w:right="490"/>
              <w:spacing w:after="0"/>
              <w:rPr>
                <w:sz w:val="20"/>
                <w:szCs w:val="20"/>
                <w:color w:val="auto"/>
              </w:rPr>
            </w:pPr>
            <w:r>
              <w:rPr>
                <w:rFonts w:ascii="Arial" w:cs="Arial" w:eastAsia="Arial" w:hAnsi="Arial"/>
                <w:sz w:val="18"/>
                <w:szCs w:val="18"/>
                <w:color w:val="auto"/>
              </w:rPr>
              <w:t>$1,339.7</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$1,486.4</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$1,136.8</w:t>
            </w:r>
          </w:p>
        </w:tc>
      </w:tr>
      <w:tr>
        <w:trPr>
          <w:trHeight w:val="27"/>
        </w:trPr>
        <w:tc>
          <w:tcPr>
            <w:tcW w:w="5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91"/>
        </w:trPr>
        <w:tc>
          <w:tcPr>
            <w:tcW w:w="532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Percentage of Consolidated Operating Revenue</w:t>
            </w:r>
          </w:p>
        </w:tc>
        <w:tc>
          <w:tcPr>
            <w:tcW w:w="30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Operations</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75%</w:t>
            </w:r>
          </w:p>
        </w:tc>
        <w:tc>
          <w:tcPr>
            <w:tcW w:w="1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67%</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ALLETE Clean Energy</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5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Water Services</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w:t>
            </w:r>
          </w:p>
        </w:tc>
        <w:tc>
          <w:tcPr>
            <w:tcW w:w="1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w:t>
            </w: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5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0"/>
        </w:trPr>
        <w:tc>
          <w:tcPr>
            <w:tcW w:w="532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construction and sale of a wind energy facility by ALLETE Clean Energy to Montana-Dakota Utilities for $197.7 million in 2015. U.S. Water Services was acquired in February 2015. (See Note 6. Acquisitions.)</w:t>
      </w:r>
    </w:p>
    <w:p>
      <w:pPr>
        <w:spacing w:after="0" w:line="17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17. Business Segments.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02"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REGULATED OPERATIONS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b w:val="1"/>
                <w:bCs w:val="1"/>
                <w:color w:val="auto"/>
              </w:rPr>
              <w:t>Electric Sales / Customers</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9"/>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Regulated Utility Kilowatt-hours Sold</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7"/>
        </w:trPr>
        <w:tc>
          <w:tcPr>
            <w:tcW w:w="4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Municipal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280"/>
              <w:spacing w:after="0"/>
              <w:rPr>
                <w:sz w:val="20"/>
                <w:szCs w:val="20"/>
                <w:color w:val="auto"/>
              </w:rPr>
            </w:pPr>
            <w:r>
              <w:rPr>
                <w:rFonts w:ascii="Arial" w:cs="Arial" w:eastAsia="Arial" w:hAnsi="Arial"/>
                <w:sz w:val="18"/>
                <w:szCs w:val="18"/>
                <w:color w:val="auto"/>
              </w:rPr>
              <w:t>Residential</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1,102</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8</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1,113</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1,204</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9</w:t>
            </w: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1,442</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1,462</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1,468</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r>
      <w:tr>
        <w:trPr>
          <w:trHeight w:val="243"/>
        </w:trPr>
        <w:tc>
          <w:tcPr>
            <w:tcW w:w="4040" w:type="dxa"/>
            <w:vAlign w:val="bottom"/>
          </w:tcPr>
          <w:p>
            <w:pPr>
              <w:ind w:left="280"/>
              <w:spacing w:after="0"/>
              <w:rPr>
                <w:sz w:val="20"/>
                <w:szCs w:val="20"/>
                <w:color w:val="auto"/>
              </w:rPr>
            </w:pPr>
            <w:r>
              <w:rPr>
                <w:rFonts w:ascii="Arial" w:cs="Arial" w:eastAsia="Arial" w:hAnsi="Arial"/>
                <w:sz w:val="18"/>
                <w:szCs w:val="18"/>
                <w:color w:val="auto"/>
              </w:rPr>
              <w:t>Industrial</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6,456</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45</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6,635</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46</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7,487</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54</w:t>
            </w: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816</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833</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864</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r>
      <w:tr>
        <w:trPr>
          <w:trHeight w:val="237"/>
        </w:trPr>
        <w:tc>
          <w:tcPr>
            <w:tcW w:w="40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Retail and Municipal</w:t>
            </w:r>
          </w:p>
        </w:tc>
        <w:tc>
          <w:tcPr>
            <w:tcW w:w="1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9,816</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69</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10,043</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70</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11,023</w:t>
            </w:r>
          </w:p>
        </w:tc>
        <w:tc>
          <w:tcPr>
            <w:tcW w:w="9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79</w:t>
            </w: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Power Suppliers</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4,316</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31</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4,310</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30</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2,904</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r>
      <w:tr>
        <w:trPr>
          <w:trHeight w:val="237"/>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Regulated Utility Kilowatt-hours Sold</w:t>
            </w:r>
          </w:p>
        </w:tc>
        <w:tc>
          <w:tcPr>
            <w:tcW w:w="1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14,132</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100</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14,353</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13,927</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r>
      <w:tr>
        <w:trPr>
          <w:trHeight w:val="27"/>
        </w:trPr>
        <w:tc>
          <w:tcPr>
            <w:tcW w:w="4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Industrial Customers</w:t>
      </w:r>
      <w:r>
        <w:rPr>
          <w:rFonts w:ascii="Arial" w:cs="Arial" w:eastAsia="Arial" w:hAnsi="Arial"/>
          <w:sz w:val="18"/>
          <w:szCs w:val="18"/>
          <w:color w:val="auto"/>
        </w:rPr>
        <w:t>. In 2016, industrial customers represented 45 percent of total regulated utility kWh sales. Our industrial customers are primarily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taconite mining, iron concentrate, paper, pulp and secondary wood products, and pipeline industries.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Industrial Customer Kilowatt-hours Sold</w:t>
            </w: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Taconite/Iron Concentrate</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3,906</w:t>
            </w: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61</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4,000</w:t>
            </w: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60</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4,880</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65</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Paper, Pulp and Secondary Wood Products</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1,303</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1,456</w:t>
            </w: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22</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1,499</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20</w:t>
            </w:r>
          </w:p>
        </w:tc>
      </w:tr>
      <w:tr>
        <w:trPr>
          <w:trHeight w:val="27"/>
        </w:trPr>
        <w:tc>
          <w:tcPr>
            <w:tcW w:w="4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Pipelines and Other Industrial</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1,247</w:t>
            </w: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19</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1,179</w:t>
            </w: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18</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1,108</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r>
      <w:tr>
        <w:trPr>
          <w:trHeight w:val="237"/>
        </w:trPr>
        <w:tc>
          <w:tcPr>
            <w:tcW w:w="44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Industrial Customer Kilowatt-hours Sold</w:t>
            </w:r>
          </w:p>
        </w:tc>
        <w:tc>
          <w:tcPr>
            <w:tcW w:w="15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6,456</w:t>
            </w: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6,635</w:t>
            </w: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7,487</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r>
      <w:tr>
        <w:trPr>
          <w:trHeight w:val="27"/>
        </w:trPr>
        <w:tc>
          <w:tcPr>
            <w:tcW w:w="4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Six taconite facilities served by Minnesota Power make up approximately 79 percent of iron ore pellet capacity in the U.S. according to the 2014 Skillings North American Mining Directory. Sales to taconite customers and iron concentrate customers represented 3,906 million kWh, or 61 percent, of total industrial customer kWh sales in 2016. Taconite, an iron-bearing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 Iron concentrate reclamation facilities also use large quantities of electricity to extract and process iron-bearing tailings left from previous mining operations to produce iron ore concentrate.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 Minnesota Power also provides electric service to three iron concentrate facilities capable of producing up to approximately 4 million tons of iron concentrate per year. Iron concentrate is used in the production of taconite pellets. These iron concentrate facilities are owned in whole, or in part, by Magnetation and are not currently operating. (See Item 7. Management’s Discussion and Analysis – Outlook – Industrial Customers and Prospective Additional Load.)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0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71 percent of capacity in 2016 (71 percent in 2015; 77 percent in 2014). Many steel producers reduced production in 2015, citing higher levels of imports and lower prices. Some Minnesota taconite and iron concentrate producers reduced production in 2015 in response to declining U.S. steel production. There is a natural lag between U.S. steel consumption and Minnesota taconite production. The high level of imports and lower prices in 2015 continued to impact Minnesota taconite production in 2016. In 2015, petitions regarding unfairly traded cold rolled, hot rolled and corrosion-resistant steel products were filed by domestic steel producers with the U.S. Department of Commerce and the U.S. International Trade Commission resulting in countervailing duty and antidumping investigations. In 2016, the U.S. Department of Commerce and the U.S. International Trade Commission made final affirmative determinations concluding the investigations. As a result of the affirmative determinations, cash deposits are collected on these products when imported from certain countries. According to the U.S. Census Bureau, 2016 annual imports for consumption of steel products were down approximately 15 percent compared to 2015 annual imports.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Minnesota Power’s taconite customers’ production levels for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152400</wp:posOffset>
            </wp:positionV>
            <wp:extent cx="4888230" cy="2418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8230" cy="2418080"/>
                    </a:xfrm>
                    <a:prstGeom prst="rect">
                      <a:avLst/>
                    </a:prstGeom>
                    <a:noFill/>
                  </pic:spPr>
                </pic:pic>
              </a:graphicData>
            </a:graphic>
          </wp:anchor>
        </w:drawing>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592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Minnesota Power Taconite Customer Production</w:t>
            </w:r>
          </w:p>
        </w:tc>
      </w:tr>
      <w:tr>
        <w:trPr>
          <w:trHeight w:val="291"/>
        </w:trPr>
        <w:tc>
          <w:tcPr>
            <w:tcW w:w="1760" w:type="dxa"/>
            <w:vAlign w:val="bottom"/>
          </w:tcPr>
          <w:p>
            <w:pPr>
              <w:ind w:left="112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196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Tons (Millions)</w:t>
            </w:r>
          </w:p>
        </w:tc>
      </w:tr>
      <w:tr>
        <w:trPr>
          <w:trHeight w:val="27"/>
        </w:trPr>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1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2016</w:t>
            </w:r>
            <w:r>
              <w:rPr>
                <w:rFonts w:ascii="Arial" w:cs="Arial" w:eastAsia="Arial" w:hAnsi="Arial"/>
                <w:sz w:val="16"/>
                <w:szCs w:val="16"/>
                <w:color w:val="auto"/>
              </w:rPr>
              <w:t>*</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28</w:t>
            </w:r>
          </w:p>
        </w:tc>
      </w:tr>
      <w:tr>
        <w:trPr>
          <w:trHeight w:val="243"/>
        </w:trPr>
        <w:tc>
          <w:tcPr>
            <w:tcW w:w="1760" w:type="dxa"/>
            <w:vAlign w:val="bottom"/>
          </w:tcPr>
          <w:p>
            <w:pPr>
              <w:ind w:left="1120"/>
              <w:spacing w:after="0"/>
              <w:rPr>
                <w:sz w:val="20"/>
                <w:szCs w:val="20"/>
                <w:color w:val="auto"/>
              </w:rPr>
            </w:pPr>
            <w:r>
              <w:rPr>
                <w:rFonts w:ascii="Arial" w:cs="Arial" w:eastAsia="Arial" w:hAnsi="Arial"/>
                <w:sz w:val="18"/>
                <w:szCs w:val="18"/>
                <w:color w:val="auto"/>
              </w:rPr>
              <w:t>2015</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31</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2014</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39</w:t>
            </w:r>
          </w:p>
        </w:tc>
      </w:tr>
      <w:tr>
        <w:trPr>
          <w:trHeight w:val="243"/>
        </w:trPr>
        <w:tc>
          <w:tcPr>
            <w:tcW w:w="1760" w:type="dxa"/>
            <w:vAlign w:val="bottom"/>
          </w:tcPr>
          <w:p>
            <w:pPr>
              <w:ind w:left="1120"/>
              <w:spacing w:after="0"/>
              <w:rPr>
                <w:sz w:val="20"/>
                <w:szCs w:val="20"/>
                <w:color w:val="auto"/>
              </w:rPr>
            </w:pPr>
            <w:r>
              <w:rPr>
                <w:rFonts w:ascii="Arial" w:cs="Arial" w:eastAsia="Arial" w:hAnsi="Arial"/>
                <w:sz w:val="18"/>
                <w:szCs w:val="18"/>
                <w:color w:val="auto"/>
              </w:rPr>
              <w:t>2013</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37</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2012</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39</w:t>
            </w:r>
          </w:p>
        </w:tc>
      </w:tr>
      <w:tr>
        <w:trPr>
          <w:trHeight w:val="243"/>
        </w:trPr>
        <w:tc>
          <w:tcPr>
            <w:tcW w:w="1760" w:type="dxa"/>
            <w:vAlign w:val="bottom"/>
          </w:tcPr>
          <w:p>
            <w:pPr>
              <w:ind w:left="1140"/>
              <w:spacing w:after="0"/>
              <w:rPr>
                <w:sz w:val="20"/>
                <w:szCs w:val="20"/>
                <w:color w:val="auto"/>
              </w:rPr>
            </w:pPr>
            <w:r>
              <w:rPr>
                <w:rFonts w:ascii="Arial" w:cs="Arial" w:eastAsia="Arial" w:hAnsi="Arial"/>
                <w:sz w:val="18"/>
                <w:szCs w:val="18"/>
                <w:color w:val="auto"/>
              </w:rPr>
              <w:t>2011</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39</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2010</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35</w:t>
            </w:r>
          </w:p>
        </w:tc>
      </w:tr>
      <w:tr>
        <w:trPr>
          <w:trHeight w:val="243"/>
        </w:trPr>
        <w:tc>
          <w:tcPr>
            <w:tcW w:w="1760" w:type="dxa"/>
            <w:vAlign w:val="bottom"/>
          </w:tcPr>
          <w:p>
            <w:pPr>
              <w:ind w:left="1120"/>
              <w:spacing w:after="0"/>
              <w:rPr>
                <w:sz w:val="20"/>
                <w:szCs w:val="20"/>
                <w:color w:val="auto"/>
              </w:rPr>
            </w:pPr>
            <w:r>
              <w:rPr>
                <w:rFonts w:ascii="Arial" w:cs="Arial" w:eastAsia="Arial" w:hAnsi="Arial"/>
                <w:sz w:val="18"/>
                <w:szCs w:val="18"/>
                <w:color w:val="auto"/>
              </w:rPr>
              <w:t>2009</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17</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2008</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39</w:t>
            </w:r>
          </w:p>
        </w:tc>
      </w:tr>
      <w:tr>
        <w:trPr>
          <w:trHeight w:val="243"/>
        </w:trPr>
        <w:tc>
          <w:tcPr>
            <w:tcW w:w="1760" w:type="dxa"/>
            <w:vAlign w:val="bottom"/>
          </w:tcPr>
          <w:p>
            <w:pPr>
              <w:ind w:left="1120"/>
              <w:spacing w:after="0"/>
              <w:rPr>
                <w:sz w:val="20"/>
                <w:szCs w:val="20"/>
                <w:color w:val="auto"/>
              </w:rPr>
            </w:pPr>
            <w:r>
              <w:rPr>
                <w:rFonts w:ascii="Arial" w:cs="Arial" w:eastAsia="Arial" w:hAnsi="Arial"/>
                <w:sz w:val="18"/>
                <w:szCs w:val="18"/>
                <w:color w:val="auto"/>
              </w:rPr>
              <w:t>2007</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38</w:t>
            </w:r>
          </w:p>
        </w:tc>
      </w:tr>
    </w:tbl>
    <w:p>
      <w:pPr>
        <w:spacing w:after="0" w:line="58" w:lineRule="exact"/>
        <w:rPr>
          <w:sz w:val="20"/>
          <w:szCs w:val="20"/>
          <w:color w:val="auto"/>
        </w:rPr>
      </w:pPr>
    </w:p>
    <w:p>
      <w:pPr>
        <w:ind w:left="1920"/>
        <w:spacing w:after="0"/>
        <w:rPr>
          <w:sz w:val="20"/>
          <w:szCs w:val="20"/>
          <w:color w:val="auto"/>
        </w:rPr>
      </w:pPr>
      <w:r>
        <w:rPr>
          <w:rFonts w:ascii="Arial" w:cs="Arial" w:eastAsia="Arial" w:hAnsi="Arial"/>
          <w:sz w:val="16"/>
          <w:szCs w:val="16"/>
          <w:i w:val="1"/>
          <w:iCs w:val="1"/>
          <w:color w:val="auto"/>
        </w:rPr>
        <w:t>Source: Minnesota Department of Revenue 2016 Mining Tax Guide for years 2007 - 2015.</w:t>
      </w:r>
    </w:p>
    <w:p>
      <w:pPr>
        <w:spacing w:after="0" w:line="73" w:lineRule="exact"/>
        <w:rPr>
          <w:sz w:val="20"/>
          <w:szCs w:val="20"/>
          <w:color w:val="auto"/>
        </w:rPr>
      </w:pPr>
    </w:p>
    <w:p>
      <w:pPr>
        <w:ind w:left="1920"/>
        <w:spacing w:after="0"/>
        <w:rPr>
          <w:sz w:val="20"/>
          <w:szCs w:val="20"/>
          <w:color w:val="auto"/>
        </w:rPr>
      </w:pPr>
      <w:r>
        <w:rPr>
          <w:rFonts w:ascii="Arial" w:cs="Arial" w:eastAsia="Arial" w:hAnsi="Arial"/>
          <w:sz w:val="16"/>
          <w:szCs w:val="16"/>
          <w:i w:val="1"/>
          <w:iCs w:val="1"/>
          <w:color w:val="auto"/>
        </w:rPr>
        <w:t>* Preliminary data from the Minnesota Department of Revenue.</w:t>
      </w: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$0.03,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serving the taconite industry, Minnesota Power serves a number of customers in the paper, pulp and secondary wood products industry, which represented 1,303 million kWh, or 20 percent, of total industrial customer kWh sales in 2016. The four major paper and pulp mills we serve reported operating at, or near, full capacity in 2016. Minnesota Power also has agreements to provide steam for two of its paper and pulp customers for use in the customers’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0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Large Power Customer Contracts. </w:t>
      </w:r>
      <w:r>
        <w:rPr>
          <w:rFonts w:ascii="Arial" w:cs="Arial" w:eastAsia="Arial" w:hAnsi="Arial"/>
          <w:sz w:val="18"/>
          <w:szCs w:val="18"/>
          <w:color w:val="auto"/>
        </w:rPr>
        <w:t>Minnesota Power has 9 Large Power Customer contracts, each serving requirements of 10 MW or more of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load. The customers consist of six taconite facilities, two concentrate reclamation facilities and four paper and pulp mills. Certain facilities have common ownership and are served under combined contracts.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four-month basis and require that a portion of their megawatt needs be committed on a take-or-pay basis for at least a portion of the term of the agreement. In addition to the demand charge, each Large Power Customer is billed an energy charge for each kWh used that recovers the variable costs incurred in generating electricity. Four of the Large Power Customer contracts have interruptible service which provides a discounted demand rate in exchange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contracts with Large Power Customers continue past the contract termination date unless the required advance notice of cancellation has been given. The required advance notice of cancellation varies from one to four years. Such contracts minimize the impact on earnings that otherwise would result from significant reductions in kWh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Item 1. Business – Regulated Operations – Regulatory Matters – Electric Rates.)</w:t>
      </w:r>
    </w:p>
    <w:p>
      <w:pPr>
        <w:spacing w:after="0" w:line="19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Minnesota Power, as permitted by the MPUC, requires its taconite-producing Large Power Customers to pay weekly for electric usage based on monthly energy usage estimates. These customers receive estimated bills based on Minnesota Power’s estimate of the customer’s energy usage, forecasted energy prices and fuel clause adjustment estimates. Minnesota Power’s taconite</w:t>
      </w:r>
      <w:r>
        <w:rPr>
          <w:rFonts w:ascii="MS PGothic" w:cs="MS PGothic" w:eastAsia="MS PGothic" w:hAnsi="MS PGothic"/>
          <w:sz w:val="18"/>
          <w:szCs w:val="18"/>
          <w:color w:val="auto"/>
        </w:rPr>
        <w:t>‑</w:t>
      </w:r>
      <w:r>
        <w:rPr>
          <w:rFonts w:ascii="Arial" w:cs="Arial" w:eastAsia="Arial" w:hAnsi="Arial"/>
          <w:sz w:val="18"/>
          <w:szCs w:val="18"/>
          <w:color w:val="auto"/>
        </w:rPr>
        <w:t>producing Large Power Customers have generally predictable energy usage on a week-to-week basis and any differences that occur are trued-up the following month.</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0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 Power Customer Contracts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Status for Minnesota Power Large Power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February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tcPr>
          <w:p>
            <w:pPr>
              <w:jc w:val="right"/>
              <w:ind w:right="570"/>
              <w:spacing w:after="0"/>
              <w:rPr>
                <w:sz w:val="20"/>
                <w:szCs w:val="20"/>
                <w:color w:val="auto"/>
              </w:rPr>
            </w:pPr>
            <w:r>
              <w:rPr>
                <w:rFonts w:ascii="Arial" w:cs="Arial" w:eastAsia="Arial" w:hAnsi="Arial"/>
                <w:sz w:val="18"/>
                <w:szCs w:val="18"/>
                <w:b w:val="1"/>
                <w:bCs w:val="1"/>
                <w:color w:val="auto"/>
              </w:rPr>
              <w:t>Earliest</w:t>
            </w:r>
          </w:p>
        </w:tc>
      </w:tr>
      <w:tr>
        <w:trPr>
          <w:trHeight w:val="234"/>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Customer</w:t>
            </w:r>
          </w:p>
        </w:tc>
        <w:tc>
          <w:tcPr>
            <w:tcW w:w="1460" w:type="dxa"/>
            <w:vAlign w:val="bottom"/>
          </w:tcPr>
          <w:p>
            <w:pPr>
              <w:ind w:left="280"/>
              <w:spacing w:after="0"/>
              <w:rPr>
                <w:sz w:val="20"/>
                <w:szCs w:val="20"/>
                <w:color w:val="auto"/>
              </w:rPr>
            </w:pPr>
            <w:r>
              <w:rPr>
                <w:rFonts w:ascii="Arial" w:cs="Arial" w:eastAsia="Arial" w:hAnsi="Arial"/>
                <w:sz w:val="18"/>
                <w:szCs w:val="18"/>
                <w:b w:val="1"/>
                <w:bCs w:val="1"/>
                <w:color w:val="auto"/>
              </w:rPr>
              <w:t>Industry</w:t>
            </w:r>
          </w:p>
        </w:tc>
        <w:tc>
          <w:tcPr>
            <w:tcW w:w="2060" w:type="dxa"/>
            <w:vAlign w:val="bottom"/>
          </w:tcPr>
          <w:p>
            <w:pPr>
              <w:ind w:left="80"/>
              <w:spacing w:after="0"/>
              <w:rPr>
                <w:sz w:val="20"/>
                <w:szCs w:val="20"/>
                <w:color w:val="auto"/>
              </w:rPr>
            </w:pPr>
            <w:r>
              <w:rPr>
                <w:rFonts w:ascii="Arial" w:cs="Arial" w:eastAsia="Arial" w:hAnsi="Arial"/>
                <w:sz w:val="18"/>
                <w:szCs w:val="18"/>
                <w:b w:val="1"/>
                <w:bCs w:val="1"/>
                <w:color w:val="auto"/>
              </w:rPr>
              <w:t>Location</w:t>
            </w:r>
          </w:p>
        </w:tc>
        <w:tc>
          <w:tcPr>
            <w:tcW w:w="3160" w:type="dxa"/>
            <w:vAlign w:val="bottom"/>
          </w:tcPr>
          <w:p>
            <w:pPr>
              <w:ind w:left="60"/>
              <w:spacing w:after="0"/>
              <w:rPr>
                <w:sz w:val="20"/>
                <w:szCs w:val="20"/>
                <w:color w:val="auto"/>
              </w:rPr>
            </w:pPr>
            <w:r>
              <w:rPr>
                <w:rFonts w:ascii="Arial" w:cs="Arial" w:eastAsia="Arial" w:hAnsi="Arial"/>
                <w:sz w:val="18"/>
                <w:szCs w:val="18"/>
                <w:b w:val="1"/>
                <w:bCs w:val="1"/>
                <w:color w:val="auto"/>
              </w:rPr>
              <w:t>Ownership</w:t>
            </w:r>
          </w:p>
        </w:tc>
        <w:tc>
          <w:tcPr>
            <w:tcW w:w="2120" w:type="dxa"/>
            <w:vAlign w:val="bottom"/>
          </w:tcPr>
          <w:p>
            <w:pPr>
              <w:jc w:val="right"/>
              <w:ind w:right="190"/>
              <w:spacing w:after="0"/>
              <w:rPr>
                <w:sz w:val="20"/>
                <w:szCs w:val="20"/>
                <w:color w:val="auto"/>
              </w:rPr>
            </w:pPr>
            <w:r>
              <w:rPr>
                <w:rFonts w:ascii="Arial" w:cs="Arial" w:eastAsia="Arial" w:hAnsi="Arial"/>
                <w:sz w:val="18"/>
                <w:szCs w:val="18"/>
                <w:b w:val="1"/>
                <w:bCs w:val="1"/>
                <w:color w:val="auto"/>
              </w:rPr>
              <w:t>Termination Date</w:t>
            </w:r>
          </w:p>
        </w:tc>
      </w:tr>
      <w:tr>
        <w:trPr>
          <w:trHeight w:val="27"/>
        </w:trPr>
        <w:tc>
          <w:tcPr>
            <w:tcW w:w="2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ArcelorMittal – Minorca Mine</w:t>
            </w: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Taconite</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Virginia, MN</w:t>
            </w:r>
          </w:p>
        </w:tc>
        <w:tc>
          <w:tcPr>
            <w:tcW w:w="3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ArcelorMittal S.A.</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31, 2025</w:t>
            </w:r>
          </w:p>
        </w:tc>
      </w:tr>
      <w:tr>
        <w:trPr>
          <w:trHeight w:val="229"/>
        </w:trPr>
        <w:tc>
          <w:tcPr>
            <w:tcW w:w="2620" w:type="dxa"/>
            <w:vAlign w:val="bottom"/>
          </w:tcPr>
          <w:p>
            <w:pPr>
              <w:ind w:left="40"/>
              <w:spacing w:after="0"/>
              <w:rPr>
                <w:sz w:val="20"/>
                <w:szCs w:val="20"/>
                <w:color w:val="auto"/>
              </w:rPr>
            </w:pPr>
            <w:r>
              <w:rPr>
                <w:rFonts w:ascii="Arial" w:cs="Arial" w:eastAsia="Arial" w:hAnsi="Arial"/>
                <w:sz w:val="18"/>
                <w:szCs w:val="18"/>
                <w:color w:val="auto"/>
              </w:rPr>
              <w:t xml:space="preserve">Hibbing Taconite Co. </w:t>
            </w:r>
            <w:r>
              <w:rPr>
                <w:rFonts w:ascii="Arial" w:cs="Arial" w:eastAsia="Arial" w:hAnsi="Arial"/>
                <w:sz w:val="16"/>
                <w:szCs w:val="16"/>
                <w:i w:val="1"/>
                <w:iCs w:val="1"/>
                <w:color w:val="auto"/>
              </w:rPr>
              <w:t>(a)</w:t>
            </w:r>
          </w:p>
        </w:tc>
        <w:tc>
          <w:tcPr>
            <w:tcW w:w="1460" w:type="dxa"/>
            <w:vAlign w:val="bottom"/>
          </w:tcPr>
          <w:p>
            <w:pPr>
              <w:ind w:left="280"/>
              <w:spacing w:after="0"/>
              <w:rPr>
                <w:sz w:val="20"/>
                <w:szCs w:val="20"/>
                <w:color w:val="auto"/>
              </w:rPr>
            </w:pPr>
            <w:r>
              <w:rPr>
                <w:rFonts w:ascii="Arial" w:cs="Arial" w:eastAsia="Arial" w:hAnsi="Arial"/>
                <w:sz w:val="18"/>
                <w:szCs w:val="18"/>
                <w:color w:val="auto"/>
              </w:rPr>
              <w:t>Taconite</w:t>
            </w:r>
          </w:p>
        </w:tc>
        <w:tc>
          <w:tcPr>
            <w:tcW w:w="2060" w:type="dxa"/>
            <w:vAlign w:val="bottom"/>
          </w:tcPr>
          <w:p>
            <w:pPr>
              <w:ind w:left="80"/>
              <w:spacing w:after="0"/>
              <w:rPr>
                <w:sz w:val="20"/>
                <w:szCs w:val="20"/>
                <w:color w:val="auto"/>
              </w:rPr>
            </w:pPr>
            <w:r>
              <w:rPr>
                <w:rFonts w:ascii="Arial" w:cs="Arial" w:eastAsia="Arial" w:hAnsi="Arial"/>
                <w:sz w:val="18"/>
                <w:szCs w:val="18"/>
                <w:color w:val="auto"/>
              </w:rPr>
              <w:t>Hibbing, MN</w:t>
            </w:r>
          </w:p>
        </w:tc>
        <w:tc>
          <w:tcPr>
            <w:tcW w:w="3160" w:type="dxa"/>
            <w:vAlign w:val="bottom"/>
          </w:tcPr>
          <w:p>
            <w:pPr>
              <w:ind w:left="60"/>
              <w:spacing w:after="0"/>
              <w:rPr>
                <w:sz w:val="20"/>
                <w:szCs w:val="20"/>
                <w:color w:val="auto"/>
              </w:rPr>
            </w:pPr>
            <w:r>
              <w:rPr>
                <w:rFonts w:ascii="Arial" w:cs="Arial" w:eastAsia="Arial" w:hAnsi="Arial"/>
                <w:sz w:val="18"/>
                <w:szCs w:val="18"/>
                <w:color w:val="auto"/>
              </w:rPr>
              <w:t>62.3% ArcelorMittal S.A.</w:t>
            </w:r>
          </w:p>
        </w:tc>
        <w:tc>
          <w:tcPr>
            <w:tcW w:w="2120" w:type="dxa"/>
            <w:vAlign w:val="bottom"/>
          </w:tcPr>
          <w:p>
            <w:pPr>
              <w:jc w:val="right"/>
              <w:spacing w:after="0"/>
              <w:rPr>
                <w:sz w:val="20"/>
                <w:szCs w:val="20"/>
                <w:color w:val="auto"/>
              </w:rPr>
            </w:pPr>
            <w:r>
              <w:rPr>
                <w:rFonts w:ascii="Arial" w:cs="Arial" w:eastAsia="Arial" w:hAnsi="Arial"/>
                <w:sz w:val="18"/>
                <w:szCs w:val="18"/>
                <w:color w:val="auto"/>
              </w:rPr>
              <w:t>January 31, 2021</w:t>
            </w:r>
          </w:p>
        </w:tc>
      </w:tr>
      <w:tr>
        <w:trPr>
          <w:trHeight w:val="216"/>
        </w:trPr>
        <w:tc>
          <w:tcPr>
            <w:tcW w:w="2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23.0% Cliffs Natural Resources Inc.</w:t>
            </w:r>
          </w:p>
        </w:tc>
        <w:tc>
          <w:tcPr>
            <w:tcW w:w="212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14.7% USS Corporation</w:t>
            </w:r>
          </w:p>
        </w:tc>
        <w:tc>
          <w:tcPr>
            <w:tcW w:w="212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Taconite and Northshore</w:t>
            </w:r>
          </w:p>
        </w:tc>
        <w:tc>
          <w:tcPr>
            <w:tcW w:w="1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Taconite</w:t>
            </w:r>
          </w:p>
        </w:tc>
        <w:tc>
          <w:tcPr>
            <w:tcW w:w="20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Eveleth, MN and Babbitt,</w:t>
            </w:r>
          </w:p>
        </w:tc>
        <w:tc>
          <w:tcPr>
            <w:tcW w:w="3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Cliffs Natural Resources Inc.</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2026</w:t>
            </w:r>
          </w:p>
        </w:tc>
      </w:tr>
      <w:tr>
        <w:trPr>
          <w:trHeight w:val="23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Mining </w:t>
            </w:r>
            <w:r>
              <w:rPr>
                <w:rFonts w:ascii="Arial" w:cs="Arial" w:eastAsia="Arial" w:hAnsi="Arial"/>
                <w:sz w:val="16"/>
                <w:szCs w:val="16"/>
                <w:i w:val="1"/>
                <w:iCs w:val="1"/>
                <w:color w:val="auto"/>
              </w:rPr>
              <w:t>(b)</w:t>
            </w:r>
          </w:p>
        </w:tc>
        <w:tc>
          <w:tcPr>
            <w:tcW w:w="146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MN</w:t>
            </w:r>
          </w:p>
        </w:tc>
        <w:tc>
          <w:tcPr>
            <w:tcW w:w="316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2620" w:type="dxa"/>
            <w:vAlign w:val="bottom"/>
          </w:tcPr>
          <w:p>
            <w:pPr>
              <w:ind w:left="40"/>
              <w:spacing w:after="0"/>
              <w:rPr>
                <w:sz w:val="20"/>
                <w:szCs w:val="20"/>
                <w:color w:val="auto"/>
              </w:rPr>
            </w:pPr>
            <w:r>
              <w:rPr>
                <w:rFonts w:ascii="Arial" w:cs="Arial" w:eastAsia="Arial" w:hAnsi="Arial"/>
                <w:sz w:val="18"/>
                <w:szCs w:val="18"/>
                <w:color w:val="auto"/>
              </w:rPr>
              <w:t>USS Corporation</w:t>
            </w:r>
          </w:p>
        </w:tc>
        <w:tc>
          <w:tcPr>
            <w:tcW w:w="1460" w:type="dxa"/>
            <w:vAlign w:val="bottom"/>
          </w:tcPr>
          <w:p>
            <w:pPr>
              <w:ind w:left="280"/>
              <w:spacing w:after="0"/>
              <w:rPr>
                <w:sz w:val="20"/>
                <w:szCs w:val="20"/>
                <w:color w:val="auto"/>
              </w:rPr>
            </w:pPr>
            <w:r>
              <w:rPr>
                <w:rFonts w:ascii="Arial" w:cs="Arial" w:eastAsia="Arial" w:hAnsi="Arial"/>
                <w:sz w:val="18"/>
                <w:szCs w:val="18"/>
                <w:color w:val="auto"/>
              </w:rPr>
              <w:t>Taconite</w:t>
            </w:r>
          </w:p>
        </w:tc>
        <w:tc>
          <w:tcPr>
            <w:tcW w:w="2060" w:type="dxa"/>
            <w:vAlign w:val="bottom"/>
          </w:tcPr>
          <w:p>
            <w:pPr>
              <w:ind w:left="80"/>
              <w:spacing w:after="0"/>
              <w:rPr>
                <w:sz w:val="20"/>
                <w:szCs w:val="20"/>
                <w:color w:val="auto"/>
              </w:rPr>
            </w:pPr>
            <w:r>
              <w:rPr>
                <w:rFonts w:ascii="Arial" w:cs="Arial" w:eastAsia="Arial" w:hAnsi="Arial"/>
                <w:sz w:val="18"/>
                <w:szCs w:val="18"/>
                <w:color w:val="auto"/>
              </w:rPr>
              <w:t>Mt. Iron, MN and</w:t>
            </w:r>
          </w:p>
        </w:tc>
        <w:tc>
          <w:tcPr>
            <w:tcW w:w="3160" w:type="dxa"/>
            <w:vAlign w:val="bottom"/>
          </w:tcPr>
          <w:p>
            <w:pPr>
              <w:ind w:left="60"/>
              <w:spacing w:after="0"/>
              <w:rPr>
                <w:sz w:val="20"/>
                <w:szCs w:val="20"/>
                <w:color w:val="auto"/>
              </w:rPr>
            </w:pPr>
            <w:r>
              <w:rPr>
                <w:rFonts w:ascii="Arial" w:cs="Arial" w:eastAsia="Arial" w:hAnsi="Arial"/>
                <w:sz w:val="18"/>
                <w:szCs w:val="18"/>
                <w:color w:val="auto"/>
              </w:rPr>
              <w:t>USS Corporation</w:t>
            </w:r>
          </w:p>
        </w:tc>
        <w:tc>
          <w:tcPr>
            <w:tcW w:w="2120" w:type="dxa"/>
            <w:vAlign w:val="bottom"/>
          </w:tcPr>
          <w:p>
            <w:pPr>
              <w:jc w:val="right"/>
              <w:spacing w:after="0"/>
              <w:rPr>
                <w:sz w:val="20"/>
                <w:szCs w:val="20"/>
                <w:color w:val="auto"/>
              </w:rPr>
            </w:pPr>
            <w:r>
              <w:rPr>
                <w:rFonts w:ascii="Arial" w:cs="Arial" w:eastAsia="Arial" w:hAnsi="Arial"/>
                <w:sz w:val="18"/>
                <w:szCs w:val="18"/>
                <w:color w:val="auto"/>
              </w:rPr>
              <w:t>December 31, 2021</w:t>
            </w:r>
          </w:p>
        </w:tc>
      </w:tr>
      <w:tr>
        <w:trPr>
          <w:trHeight w:val="230"/>
        </w:trPr>
        <w:tc>
          <w:tcPr>
            <w:tcW w:w="2620" w:type="dxa"/>
            <w:vAlign w:val="bottom"/>
          </w:tcPr>
          <w:p>
            <w:pPr>
              <w:ind w:left="40"/>
              <w:spacing w:after="0"/>
              <w:rPr>
                <w:sz w:val="20"/>
                <w:szCs w:val="20"/>
                <w:color w:val="auto"/>
              </w:rPr>
            </w:pPr>
            <w:r>
              <w:rPr>
                <w:rFonts w:ascii="Arial" w:cs="Arial" w:eastAsia="Arial" w:hAnsi="Arial"/>
                <w:sz w:val="18"/>
                <w:szCs w:val="18"/>
                <w:color w:val="auto"/>
              </w:rPr>
              <w:t xml:space="preserve">(USS – Minnesota Ore) </w:t>
            </w:r>
            <w:r>
              <w:rPr>
                <w:rFonts w:ascii="Arial" w:cs="Arial" w:eastAsia="Arial" w:hAnsi="Arial"/>
                <w:sz w:val="16"/>
                <w:szCs w:val="16"/>
                <w:i w:val="1"/>
                <w:iCs w:val="1"/>
                <w:color w:val="auto"/>
              </w:rPr>
              <w:t>(c)</w:t>
            </w:r>
          </w:p>
        </w:tc>
        <w:tc>
          <w:tcPr>
            <w:tcW w:w="1460" w:type="dxa"/>
            <w:vAlign w:val="bottom"/>
          </w:tcPr>
          <w:p>
            <w:pPr>
              <w:spacing w:after="0"/>
              <w:rPr>
                <w:sz w:val="20"/>
                <w:szCs w:val="20"/>
                <w:color w:val="auto"/>
              </w:rPr>
            </w:pPr>
          </w:p>
        </w:tc>
        <w:tc>
          <w:tcPr>
            <w:tcW w:w="2060" w:type="dxa"/>
            <w:vAlign w:val="bottom"/>
          </w:tcPr>
          <w:p>
            <w:pPr>
              <w:ind w:left="80"/>
              <w:spacing w:after="0"/>
              <w:rPr>
                <w:sz w:val="20"/>
                <w:szCs w:val="20"/>
                <w:color w:val="auto"/>
              </w:rPr>
            </w:pPr>
            <w:r>
              <w:rPr>
                <w:rFonts w:ascii="Arial" w:cs="Arial" w:eastAsia="Arial" w:hAnsi="Arial"/>
                <w:sz w:val="18"/>
                <w:szCs w:val="18"/>
                <w:color w:val="auto"/>
              </w:rPr>
              <w:t>Keewatin, MN</w:t>
            </w:r>
          </w:p>
        </w:tc>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Magnetation </w:t>
            </w:r>
            <w:r>
              <w:rPr>
                <w:rFonts w:ascii="Arial" w:cs="Arial" w:eastAsia="Arial" w:hAnsi="Arial"/>
                <w:sz w:val="16"/>
                <w:szCs w:val="16"/>
                <w:i w:val="1"/>
                <w:iCs w:val="1"/>
                <w:color w:val="auto"/>
              </w:rPr>
              <w:t>(d)</w:t>
            </w:r>
          </w:p>
        </w:tc>
        <w:tc>
          <w:tcPr>
            <w:tcW w:w="1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Iron</w:t>
            </w:r>
          </w:p>
        </w:tc>
        <w:tc>
          <w:tcPr>
            <w:tcW w:w="20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Coleraine, MN and Bovey,</w:t>
            </w:r>
          </w:p>
        </w:tc>
        <w:tc>
          <w:tcPr>
            <w:tcW w:w="3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ERP Iron Ore, LLC</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2025</w:t>
            </w: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Concentrate</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MN</w:t>
            </w:r>
          </w:p>
        </w:tc>
        <w:tc>
          <w:tcPr>
            <w:tcW w:w="316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Boise, Inc.</w:t>
            </w:r>
          </w:p>
        </w:tc>
        <w:tc>
          <w:tcPr>
            <w:tcW w:w="1460" w:type="dxa"/>
            <w:vAlign w:val="bottom"/>
          </w:tcPr>
          <w:p>
            <w:pPr>
              <w:ind w:left="280"/>
              <w:spacing w:after="0"/>
              <w:rPr>
                <w:sz w:val="20"/>
                <w:szCs w:val="20"/>
                <w:color w:val="auto"/>
              </w:rPr>
            </w:pPr>
            <w:r>
              <w:rPr>
                <w:rFonts w:ascii="Arial" w:cs="Arial" w:eastAsia="Arial" w:hAnsi="Arial"/>
                <w:sz w:val="18"/>
                <w:szCs w:val="18"/>
                <w:color w:val="auto"/>
              </w:rPr>
              <w:t>Paper</w:t>
            </w:r>
          </w:p>
        </w:tc>
        <w:tc>
          <w:tcPr>
            <w:tcW w:w="2060" w:type="dxa"/>
            <w:vAlign w:val="bottom"/>
          </w:tcPr>
          <w:p>
            <w:pPr>
              <w:ind w:left="80"/>
              <w:spacing w:after="0"/>
              <w:rPr>
                <w:sz w:val="20"/>
                <w:szCs w:val="20"/>
                <w:color w:val="auto"/>
              </w:rPr>
            </w:pPr>
            <w:r>
              <w:rPr>
                <w:rFonts w:ascii="Arial" w:cs="Arial" w:eastAsia="Arial" w:hAnsi="Arial"/>
                <w:sz w:val="18"/>
                <w:szCs w:val="18"/>
                <w:color w:val="auto"/>
              </w:rPr>
              <w:t>International Falls, MN</w:t>
            </w:r>
          </w:p>
        </w:tc>
        <w:tc>
          <w:tcPr>
            <w:tcW w:w="3160" w:type="dxa"/>
            <w:vAlign w:val="bottom"/>
          </w:tcPr>
          <w:p>
            <w:pPr>
              <w:ind w:left="60"/>
              <w:spacing w:after="0"/>
              <w:rPr>
                <w:sz w:val="20"/>
                <w:szCs w:val="20"/>
                <w:color w:val="auto"/>
              </w:rPr>
            </w:pPr>
            <w:r>
              <w:rPr>
                <w:rFonts w:ascii="Arial" w:cs="Arial" w:eastAsia="Arial" w:hAnsi="Arial"/>
                <w:sz w:val="18"/>
                <w:szCs w:val="18"/>
                <w:color w:val="auto"/>
              </w:rPr>
              <w:t>Packaging Corporation of America</w:t>
            </w:r>
          </w:p>
        </w:tc>
        <w:tc>
          <w:tcPr>
            <w:tcW w:w="2120" w:type="dxa"/>
            <w:vAlign w:val="bottom"/>
          </w:tcPr>
          <w:p>
            <w:pPr>
              <w:jc w:val="right"/>
              <w:spacing w:after="0"/>
              <w:rPr>
                <w:sz w:val="20"/>
                <w:szCs w:val="20"/>
                <w:color w:val="auto"/>
              </w:rPr>
            </w:pPr>
            <w:r>
              <w:rPr>
                <w:rFonts w:ascii="Arial" w:cs="Arial" w:eastAsia="Arial" w:hAnsi="Arial"/>
                <w:sz w:val="18"/>
                <w:szCs w:val="18"/>
                <w:color w:val="auto"/>
              </w:rPr>
              <w:t>December 31, 2023</w:t>
            </w: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UPM, Blandin Paper Mill </w:t>
            </w:r>
            <w:r>
              <w:rPr>
                <w:rFonts w:ascii="Arial" w:cs="Arial" w:eastAsia="Arial" w:hAnsi="Arial"/>
                <w:sz w:val="16"/>
                <w:szCs w:val="16"/>
                <w:i w:val="1"/>
                <w:iCs w:val="1"/>
                <w:color w:val="auto"/>
              </w:rPr>
              <w:t>(a)</w:t>
            </w: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Paper</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Grand Rapids, MN</w:t>
            </w:r>
          </w:p>
        </w:tc>
        <w:tc>
          <w:tcPr>
            <w:tcW w:w="3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UPM-Kymmene Corporation</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31, 2021</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NewPage Corporation</w:t>
            </w:r>
          </w:p>
        </w:tc>
        <w:tc>
          <w:tcPr>
            <w:tcW w:w="1460" w:type="dxa"/>
            <w:vAlign w:val="bottom"/>
          </w:tcPr>
          <w:p>
            <w:pPr>
              <w:ind w:left="280"/>
              <w:spacing w:after="0"/>
              <w:rPr>
                <w:sz w:val="20"/>
                <w:szCs w:val="20"/>
                <w:color w:val="auto"/>
              </w:rPr>
            </w:pPr>
            <w:r>
              <w:rPr>
                <w:rFonts w:ascii="Arial" w:cs="Arial" w:eastAsia="Arial" w:hAnsi="Arial"/>
                <w:sz w:val="18"/>
                <w:szCs w:val="18"/>
                <w:color w:val="auto"/>
                <w:w w:val="93"/>
              </w:rPr>
              <w:t>Paper and Pulp</w:t>
            </w:r>
          </w:p>
        </w:tc>
        <w:tc>
          <w:tcPr>
            <w:tcW w:w="2060" w:type="dxa"/>
            <w:vAlign w:val="bottom"/>
          </w:tcPr>
          <w:p>
            <w:pPr>
              <w:ind w:left="80"/>
              <w:spacing w:after="0"/>
              <w:rPr>
                <w:sz w:val="20"/>
                <w:szCs w:val="20"/>
                <w:color w:val="auto"/>
              </w:rPr>
            </w:pPr>
            <w:r>
              <w:rPr>
                <w:rFonts w:ascii="Arial" w:cs="Arial" w:eastAsia="Arial" w:hAnsi="Arial"/>
                <w:sz w:val="18"/>
                <w:szCs w:val="18"/>
                <w:color w:val="auto"/>
              </w:rPr>
              <w:t>Duluth, MN</w:t>
            </w:r>
          </w:p>
        </w:tc>
        <w:tc>
          <w:tcPr>
            <w:tcW w:w="3160" w:type="dxa"/>
            <w:vAlign w:val="bottom"/>
          </w:tcPr>
          <w:p>
            <w:pPr>
              <w:ind w:left="60"/>
              <w:spacing w:after="0"/>
              <w:rPr>
                <w:sz w:val="20"/>
                <w:szCs w:val="20"/>
                <w:color w:val="auto"/>
              </w:rPr>
            </w:pPr>
            <w:r>
              <w:rPr>
                <w:rFonts w:ascii="Arial" w:cs="Arial" w:eastAsia="Arial" w:hAnsi="Arial"/>
                <w:sz w:val="18"/>
                <w:szCs w:val="18"/>
                <w:color w:val="auto"/>
              </w:rPr>
              <w:t>Verso Corporation</w:t>
            </w:r>
          </w:p>
        </w:tc>
        <w:tc>
          <w:tcPr>
            <w:tcW w:w="2120" w:type="dxa"/>
            <w:vAlign w:val="bottom"/>
          </w:tcPr>
          <w:p>
            <w:pPr>
              <w:jc w:val="right"/>
              <w:spacing w:after="0"/>
              <w:rPr>
                <w:sz w:val="20"/>
                <w:szCs w:val="20"/>
                <w:color w:val="auto"/>
              </w:rPr>
            </w:pPr>
            <w:r>
              <w:rPr>
                <w:rFonts w:ascii="Arial" w:cs="Arial" w:eastAsia="Arial" w:hAnsi="Arial"/>
                <w:sz w:val="18"/>
                <w:szCs w:val="18"/>
                <w:color w:val="auto"/>
              </w:rPr>
              <w:t>December 31, 2022</w:t>
            </w: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Sappi Cloquet LLC </w:t>
            </w:r>
            <w:r>
              <w:rPr>
                <w:rFonts w:ascii="Arial" w:cs="Arial" w:eastAsia="Arial" w:hAnsi="Arial"/>
                <w:sz w:val="16"/>
                <w:szCs w:val="16"/>
                <w:i w:val="1"/>
                <w:iCs w:val="1"/>
                <w:color w:val="auto"/>
              </w:rPr>
              <w:t>(a)</w:t>
            </w: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Paper and Pulp</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Cloquet, MN</w:t>
            </w:r>
          </w:p>
        </w:tc>
        <w:tc>
          <w:tcPr>
            <w:tcW w:w="3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Sappi Limited</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31, 2021</w:t>
            </w:r>
          </w:p>
        </w:tc>
      </w:tr>
      <w:tr>
        <w:trPr>
          <w:trHeight w:val="20"/>
        </w:trPr>
        <w:tc>
          <w:tcPr>
            <w:tcW w:w="26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will terminate four years from the date of written notice from either Minnesota Power or the customer. No notice of contract cancellation has been given by either party. Thus, the earliest date of cancellation is January 31, 2021.</w:t>
      </w:r>
    </w:p>
    <w:p>
      <w:pPr>
        <w:ind w:left="340" w:hanging="332"/>
        <w:spacing w:after="0" w:line="246"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On May 23, 2016, Minnesota Power extended its electric service agreement with Cliffs for 10 years at Cliffs’ United Taconite and Babbitt facilities. The service agreement was approved by the MPUC in an order dated November 9, 2016.</w:t>
      </w:r>
    </w:p>
    <w:p>
      <w:pPr>
        <w:ind w:left="340" w:hanging="332"/>
        <w:spacing w:after="0" w:line="281" w:lineRule="auto"/>
        <w:tabs>
          <w:tab w:leader="none" w:pos="34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USS Corporation owns both the Minntac Plant in Mountain Iron, MN, and the Keewatin Taconite Plant in Keewatin, MN. On September 30, 2016, Minnesota Power extended its electric service agreement with USS Corporation through 2021. The service agreement was approved by the MPUC in an order dated December 29, 2016.</w:t>
      </w:r>
    </w:p>
    <w:p>
      <w:pPr>
        <w:spacing w:after="0" w:line="1" w:lineRule="exact"/>
        <w:rPr>
          <w:rFonts w:ascii="Arial" w:cs="Arial" w:eastAsia="Arial" w:hAnsi="Arial"/>
          <w:sz w:val="14"/>
          <w:szCs w:val="14"/>
          <w:i w:val="1"/>
          <w:iCs w:val="1"/>
          <w:color w:val="auto"/>
        </w:rPr>
      </w:pPr>
    </w:p>
    <w:p>
      <w:pPr>
        <w:ind w:left="340" w:hanging="332"/>
        <w:spacing w:after="0" w:line="257"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On January 30, 2017, ERP Iron Ore, LLC purchased substantially all of Magnetation’s assets pursuant to an asset purchase agreement approved by the bankruptcy court. (See Item 7. Management’s Discussion and Analysis – Outlook – Industrial Customers and Prospective Additional Load.)</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Residential and Commercial Customers. </w:t>
      </w:r>
      <w:r>
        <w:rPr>
          <w:rFonts w:ascii="Arial" w:cs="Arial" w:eastAsia="Arial" w:hAnsi="Arial"/>
          <w:sz w:val="18"/>
          <w:szCs w:val="18"/>
          <w:color w:val="auto"/>
        </w:rPr>
        <w:t>In 2016, residential and commercial customers represented 18 percent of total regulated utility kWh sales.</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provides regulated utility electric service in northeastern Minnesota to approximately 144,000 residential and commercial customers. SWL&amp;P provides regulated electric, natural gas and water service in northwestern Wisconsin to approximately 15,000 electric customers, 13,000 natural gas customers and 10,000 water customers.</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Municipal Customers. </w:t>
      </w:r>
      <w:r>
        <w:rPr>
          <w:rFonts w:ascii="Arial" w:cs="Arial" w:eastAsia="Arial" w:hAnsi="Arial"/>
          <w:sz w:val="17"/>
          <w:szCs w:val="17"/>
          <w:color w:val="auto"/>
        </w:rPr>
        <w:t>In 2016, municipal customers represented 6 percent of total regulated utility kWh sales. Minnesota Power has 16 non-affiliated</w:t>
      </w:r>
      <w:r>
        <w:rPr>
          <w:rFonts w:ascii="Arial" w:cs="Arial" w:eastAsia="Arial" w:hAnsi="Arial"/>
          <w:sz w:val="17"/>
          <w:szCs w:val="17"/>
          <w:b w:val="1"/>
          <w:bCs w:val="1"/>
          <w:color w:val="auto"/>
        </w:rPr>
        <w:t xml:space="preserve"> </w:t>
      </w:r>
      <w:r>
        <w:rPr>
          <w:rFonts w:ascii="Arial" w:cs="Arial" w:eastAsia="Arial" w:hAnsi="Arial"/>
          <w:sz w:val="17"/>
          <w:szCs w:val="17"/>
          <w:color w:val="auto"/>
        </w:rPr>
        <w:t>municipal customers in Minnesota. All of the municipal contracts include a termination clause requiring a three-year notice to terminate.</w:t>
      </w:r>
    </w:p>
    <w:p>
      <w:pPr>
        <w:spacing w:after="0" w:line="1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2015, Minnesota Power amended its formula-based wholesale electric sales contract with the Nashwauk Public Utilities Commission, extending the term through June 30, 2028. No termination notice may be given prior to June 30, 2025. The electric service agreement with one other municipal customer is effective through June 30, 2019. The other municipal customer provided termination notice for its contract on June 30, 2016. Minnesota Power currently provides approximately 29 MW of average monthly demand to this customer. The rates included in these two contracts are set each July 1 based on a cost-based formula methodology, using estimated costs and a rate of return that is equal to Minnesota Power’s authorized rate of return for Minnesota retail customers (currently 10.38 percent). The formula-based rate methodology also provides for a yearly true-up calculation for actual costs incurred.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0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Customers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September 2015, Minnesota Power amended its wholesale electric contracts with 14 municipal customers, extending the contract terms through December 31, 2024. No termination notices may be given prior to December 31, 2021. These contracts include fixed capacity charges through 2018; beginning in 2019, the capacity charge will not increase by more than two percent or decrease by more than one percent from the previous year’s capacity charge and will be determined using a cost-based formula methodology. The base energy charge for each year of the contract term will be set each January 1, subject to monthly adjustment, and will also be determined using a cost-based formula methodology.</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Other Power Suppliers. </w:t>
      </w:r>
      <w:r>
        <w:rPr>
          <w:rFonts w:ascii="Arial" w:cs="Arial" w:eastAsia="Arial" w:hAnsi="Arial"/>
          <w:sz w:val="18"/>
          <w:szCs w:val="18"/>
          <w:color w:val="auto"/>
        </w:rPr>
        <w:t>The Company also enters into off-system sales with Other Power Suppliers. These sales are sold at market-based prices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MISO market on a daily basis or through bilateral agreements of various durations.</w:t>
      </w:r>
    </w:p>
    <w:p>
      <w:pPr>
        <w:spacing w:after="0" w:line="16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Basin PSA. </w:t>
      </w:r>
      <w:r>
        <w:rPr>
          <w:rFonts w:ascii="Arial" w:cs="Arial" w:eastAsia="Arial" w:hAnsi="Arial"/>
          <w:sz w:val="18"/>
          <w:szCs w:val="18"/>
          <w:color w:val="auto"/>
        </w:rPr>
        <w:t>Minnesota Power has an agreement to sell 100 MW of capacity and energy to Basin for a ten</w:t>
      </w:r>
      <w:r>
        <w:rPr>
          <w:rFonts w:ascii="MS PGothic" w:cs="MS PGothic" w:eastAsia="MS PGothic" w:hAnsi="MS PGothic"/>
          <w:sz w:val="18"/>
          <w:szCs w:val="18"/>
          <w:color w:val="auto"/>
        </w:rPr>
        <w:t>‑</w:t>
      </w:r>
      <w:r>
        <w:rPr>
          <w:rFonts w:ascii="Arial" w:cs="Arial" w:eastAsia="Arial" w:hAnsi="Arial"/>
          <w:sz w:val="18"/>
          <w:szCs w:val="18"/>
          <w:color w:val="auto"/>
        </w:rPr>
        <w:t>year period which expires in April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charge is based on a fixed monthly schedule with a minimum annual escalation provision. The energy charge is based on a fixed monthly schedule and provides for annual escalation based on the cost of fuel. The agreement also allows Minnesota Power to recover a pro rata share of increased costs related to emissions that occur during the last five years of the contract. In July 2015, Minnesota Power entered into an additional agreement to sell 100 MW of capacity to Basin at fixed rates for a two-year period beginning in June 2016.</w:t>
      </w:r>
    </w:p>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Minnkota Power PSA. </w:t>
      </w:r>
      <w:r>
        <w:rPr>
          <w:rFonts w:ascii="Arial" w:cs="Arial" w:eastAsia="Arial" w:hAnsi="Arial"/>
          <w:sz w:val="16"/>
          <w:szCs w:val="16"/>
          <w:color w:val="auto"/>
        </w:rPr>
        <w:t>Minnesota Power has a PSA with Minnkota Power, which commenced in 2014. Under the PSA, Minnesota Power is selling a portion</w:t>
      </w:r>
      <w:r>
        <w:rPr>
          <w:rFonts w:ascii="Arial" w:cs="Arial" w:eastAsia="Arial" w:hAnsi="Arial"/>
          <w:sz w:val="16"/>
          <w:szCs w:val="16"/>
          <w:i w:val="1"/>
          <w:iCs w:val="1"/>
          <w:color w:val="auto"/>
        </w:rPr>
        <w:t xml:space="preserve"> </w:t>
      </w:r>
      <w:r>
        <w:rPr>
          <w:rFonts w:ascii="Arial" w:cs="Arial" w:eastAsia="Arial" w:hAnsi="Arial"/>
          <w:sz w:val="16"/>
          <w:szCs w:val="16"/>
          <w:color w:val="auto"/>
        </w:rPr>
        <w:t>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2016 (28 percent in 2015; 23 percent in 2014). (See Note 11. Commitments, Guarantees and Contingencies.)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Silver Bay Power PSA</w:t>
      </w:r>
      <w:r>
        <w:rPr>
          <w:rFonts w:ascii="Arial" w:cs="Arial" w:eastAsia="Arial" w:hAnsi="Arial"/>
          <w:sz w:val="17"/>
          <w:szCs w:val="17"/>
          <w:color w:val="auto"/>
        </w:rPr>
        <w:t>. On May 23, 2016, Minnesota Power and Silver Bay Power entered into a long-term PSA through 2031. Silver Bay Power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90 MW of load to Northshore Mining, an affiliate of Silver Bay Power, which has been served predominately through self-generation by Silver Bay Power. In the years 2016 through 2019, Minnesota Power will supply Silver Bay Power with at least 50 MW of energy and Silver Bay Power will have the option to purchase additional energy from Minnesota Power as it transitions away from self-generation. On December 31, 2019, Silver Bay Power will cease self-generation and Minnesota Power will supply the entire energy requirements for Silver Bay Power.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operations of our industrial customers, which make up a large portion of our electric sales, are not typically subject to significant seasonal variations. (See </w:t>
      </w:r>
      <w:r>
        <w:rPr>
          <w:rFonts w:ascii="Arial" w:cs="Arial" w:eastAsia="Arial" w:hAnsi="Arial"/>
          <w:sz w:val="16"/>
          <w:szCs w:val="16"/>
          <w:i w:val="1"/>
          <w:iCs w:val="1"/>
          <w:color w:val="auto"/>
        </w:rPr>
        <w:t>Electric Sales / Customers.</w:t>
      </w:r>
      <w:r>
        <w:rPr>
          <w:rFonts w:ascii="Arial" w:cs="Arial" w:eastAsia="Arial" w:hAnsi="Arial"/>
          <w:sz w:val="16"/>
          <w:szCs w:val="16"/>
          <w:color w:val="auto"/>
        </w:rPr>
        <w:t>) As a result, Minnesota Power is generally not subject to significant seasonal fluctuations in electric sales; however,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and SWL&amp;P electric and natural gas sales to other customers may be affected by seasonal differences in weather. In general, peak electric sales occur in the winter and summer months with fewer electric sales in the spring or fall. Peak sales of natural gas generally occur in the winter months. Additionally, our regulated utilities have historically generated fewer sales and less revenue when weather conditions are milder in the winter and summer.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order to meet its customers’ electric requirements, Minnesota Power utilizes a mix of its own generation and purchased power. As of December 31, 2016, Minnesota Power’s generating capability is primarily coal-fired, but also includes approximately 172 MW of natural gas-fired and biomass co-fired generation, 120 MW of hydroelectric generation, 522 MW of nameplate capacity wind energy generation and 10 MW of solar generation. Purchased power consists of long-term coal, wind and hydro PPAs as well as market purchases. The following table reflects Minnesota Power’s generating capabilities as of December 31, 2016, and total electrical supply for 2016. Minnesota Power had an annual net peak load of 1,520 MW on December 15, 2016.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0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Year Ended</w:t>
            </w:r>
          </w:p>
        </w:tc>
        <w:tc>
          <w:tcPr>
            <w:tcW w:w="840" w:type="dxa"/>
            <w:vAlign w:val="bottom"/>
          </w:tcPr>
          <w:p>
            <w:pPr>
              <w:spacing w:after="0"/>
              <w:rPr>
                <w:sz w:val="20"/>
                <w:szCs w:val="20"/>
                <w:color w:val="auto"/>
              </w:rPr>
            </w:pPr>
          </w:p>
        </w:tc>
      </w:tr>
      <w:tr>
        <w:trPr>
          <w:trHeight w:val="270"/>
        </w:trPr>
        <w:tc>
          <w:tcPr>
            <w:tcW w:w="496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Unit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Net</w:t>
            </w:r>
          </w:p>
        </w:tc>
        <w:tc>
          <w:tcPr>
            <w:tcW w:w="620" w:type="dxa"/>
            <w:vAlign w:val="bottom"/>
          </w:tcPr>
          <w:p>
            <w:pPr>
              <w:spacing w:after="0"/>
              <w:rPr>
                <w:sz w:val="23"/>
                <w:szCs w:val="23"/>
                <w:color w:val="auto"/>
              </w:rPr>
            </w:pPr>
          </w:p>
        </w:tc>
        <w:tc>
          <w:tcPr>
            <w:tcW w:w="254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December 31, 2016</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Regulated Utility Power Supply</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Installed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Capability</w:t>
            </w:r>
          </w:p>
        </w:tc>
        <w:tc>
          <w:tcPr>
            <w:tcW w:w="620" w:type="dxa"/>
            <w:vAlign w:val="bottom"/>
          </w:tcPr>
          <w:p>
            <w:pPr>
              <w:spacing w:after="0"/>
              <w:rPr>
                <w:sz w:val="23"/>
                <w:szCs w:val="23"/>
                <w:color w:val="auto"/>
              </w:rPr>
            </w:pPr>
          </w:p>
        </w:tc>
        <w:tc>
          <w:tcPr>
            <w:tcW w:w="25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Generation and Purchases</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MW</w:t>
            </w:r>
          </w:p>
        </w:tc>
        <w:tc>
          <w:tcPr>
            <w:tcW w:w="620" w:type="dxa"/>
            <w:vAlign w:val="bottom"/>
          </w:tcPr>
          <w:p>
            <w:pPr>
              <w:spacing w:after="0"/>
              <w:rPr>
                <w:sz w:val="20"/>
                <w:szCs w:val="20"/>
                <w:color w:val="auto"/>
              </w:rPr>
            </w:pPr>
          </w:p>
        </w:tc>
        <w:tc>
          <w:tcPr>
            <w:tcW w:w="1700" w:type="dxa"/>
            <w:vAlign w:val="bottom"/>
          </w:tcPr>
          <w:p>
            <w:pPr>
              <w:jc w:val="right"/>
              <w:ind w:right="890"/>
              <w:spacing w:after="0"/>
              <w:rPr>
                <w:sz w:val="20"/>
                <w:szCs w:val="20"/>
                <w:color w:val="auto"/>
              </w:rPr>
            </w:pPr>
            <w:r>
              <w:rPr>
                <w:rFonts w:ascii="Arial" w:cs="Arial" w:eastAsia="Arial" w:hAnsi="Arial"/>
                <w:sz w:val="18"/>
                <w:szCs w:val="18"/>
                <w:b w:val="1"/>
                <w:bCs w:val="1"/>
                <w:color w:val="auto"/>
              </w:rPr>
              <w:t>MWh</w:t>
            </w:r>
          </w:p>
        </w:tc>
        <w:tc>
          <w:tcPr>
            <w:tcW w:w="84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Coal-Fired</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Boswell Energy Center</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620" w:type="dxa"/>
            <w:vAlign w:val="bottom"/>
          </w:tcPr>
          <w:p>
            <w:pPr>
              <w:ind w:left="20"/>
              <w:spacing w:after="0"/>
              <w:rPr>
                <w:sz w:val="20"/>
                <w:szCs w:val="20"/>
                <w:color w:val="auto"/>
              </w:rPr>
            </w:pPr>
            <w:r>
              <w:rPr>
                <w:rFonts w:ascii="Arial" w:cs="Arial" w:eastAsia="Arial" w:hAnsi="Arial"/>
                <w:sz w:val="16"/>
                <w:szCs w:val="16"/>
                <w:i w:val="1"/>
                <w:iCs w:val="1"/>
                <w:color w:val="auto"/>
              </w:rPr>
              <w:t>(a)</w:t>
            </w: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 Cohasset, MN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1960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(a)</w:t>
            </w: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1973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1980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(b)</w:t>
            </w:r>
          </w:p>
        </w:tc>
        <w:tc>
          <w:tcPr>
            <w:tcW w:w="1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4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958</w:t>
            </w:r>
          </w:p>
        </w:tc>
        <w:tc>
          <w:tcPr>
            <w:tcW w:w="620" w:type="dxa"/>
            <w:vAlign w:val="bottom"/>
          </w:tcPr>
          <w:p>
            <w:pPr>
              <w:spacing w:after="0"/>
              <w:rPr>
                <w:sz w:val="20"/>
                <w:szCs w:val="20"/>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6,595,920</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45.2</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Taconite Harbor Energy Center</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500"/>
              <w:spacing w:after="0"/>
              <w:rPr>
                <w:sz w:val="20"/>
                <w:szCs w:val="20"/>
                <w:color w:val="auto"/>
              </w:rPr>
            </w:pPr>
            <w:r>
              <w:rPr>
                <w:rFonts w:ascii="Arial" w:cs="Arial" w:eastAsia="Arial" w:hAnsi="Arial"/>
                <w:sz w:val="18"/>
                <w:szCs w:val="18"/>
                <w:color w:val="auto"/>
              </w:rPr>
              <w:t>in Schroeder, MN</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i w:val="1"/>
                <w:iCs w:val="1"/>
                <w:color w:val="auto"/>
              </w:rPr>
              <w:t>(c)</w:t>
            </w: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512,716</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r>
      <w:tr>
        <w:trPr>
          <w:trHeight w:val="237"/>
        </w:trPr>
        <w:tc>
          <w:tcPr>
            <w:tcW w:w="4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Coal-Fired</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1,108</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7,108,636</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48.7</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Biomass Co-Fired/Biomass/Natural Gas</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Hibbard Renewable Energy Center in Duluth, MN</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 &amp; 4</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1949, 1951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7,467</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0.1</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Cloquet Energy Center in Cloquet, MN </w:t>
            </w:r>
            <w:r>
              <w:rPr>
                <w:rFonts w:ascii="Arial" w:cs="Arial" w:eastAsia="Arial" w:hAnsi="Arial"/>
                <w:sz w:val="16"/>
                <w:szCs w:val="16"/>
                <w:i w:val="1"/>
                <w:iCs w:val="1"/>
                <w:color w:val="auto"/>
              </w:rPr>
              <w:t>(d)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70,017</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Laskin Energy Center in Hoyt Lakes, MN</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1 &amp; 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11,433</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0.1</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Biomass Co-Fired/Biomass/Natural Gas</w:t>
            </w: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6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88,917</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0.7</w:t>
            </w: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Hydro </w:t>
            </w:r>
            <w:r>
              <w:rPr>
                <w:rFonts w:ascii="Arial" w:cs="Arial" w:eastAsia="Arial" w:hAnsi="Arial"/>
                <w:sz w:val="16"/>
                <w:szCs w:val="16"/>
                <w:i w:val="1"/>
                <w:iCs w:val="1"/>
                <w:color w:val="auto"/>
              </w:rPr>
              <w:t>(e)</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Group consisting of ten stations in MN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Multiple</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6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713,340</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Wind </w:t>
            </w:r>
            <w:r>
              <w:rPr>
                <w:rFonts w:ascii="Arial" w:cs="Arial" w:eastAsia="Arial" w:hAnsi="Arial"/>
                <w:sz w:val="16"/>
                <w:szCs w:val="16"/>
                <w:i w:val="1"/>
                <w:iCs w:val="1"/>
                <w:color w:val="auto"/>
              </w:rPr>
              <w:t>(f)</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Taconite Ridge Energy Center in Mt. Iron, MN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47,148</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0.3</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w w:val="94"/>
              </w:rPr>
              <w:t>Bison Wind Energy Center in Oliver and Morton Counties, ND</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2010-2014</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1,751,367</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12.0</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Wind</w:t>
            </w: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w:t>
            </w:r>
          </w:p>
        </w:tc>
        <w:tc>
          <w:tcPr>
            <w:tcW w:w="6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1,798,515</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12.3</w:t>
            </w: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Solar </w:t>
            </w:r>
            <w:r>
              <w:rPr>
                <w:rFonts w:ascii="Arial" w:cs="Arial" w:eastAsia="Arial" w:hAnsi="Arial"/>
                <w:sz w:val="16"/>
                <w:szCs w:val="16"/>
                <w:i w:val="1"/>
                <w:iCs w:val="1"/>
                <w:color w:val="auto"/>
              </w:rPr>
              <w:t>(g)</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Camp Ripley Solar Array near Little Falls, MN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6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1,720</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Generation</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1,932</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9,711,128</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66.6</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91"/>
        </w:trPr>
        <w:tc>
          <w:tcPr>
            <w:tcW w:w="49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Long-Term Purchased Power</w:t>
            </w: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Lignite Coal - Square Butte near Center, ND </w:t>
            </w:r>
            <w:r>
              <w:rPr>
                <w:rFonts w:ascii="Arial" w:cs="Arial" w:eastAsia="Arial" w:hAnsi="Arial"/>
                <w:sz w:val="16"/>
                <w:szCs w:val="16"/>
                <w:i w:val="1"/>
                <w:iCs w:val="1"/>
                <w:color w:val="auto"/>
              </w:rPr>
              <w:t>(h)</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1,237,966</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8.5</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Wind - Oliver County, ND</w:t>
            </w: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343,048</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2.4</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Hydro - Manitoba Hydro in Manitoba, Canada</w:t>
            </w:r>
          </w:p>
        </w:tc>
        <w:tc>
          <w:tcPr>
            <w:tcW w:w="9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327,212</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r>
      <w:tr>
        <w:trPr>
          <w:trHeight w:val="237"/>
        </w:trPr>
        <w:tc>
          <w:tcPr>
            <w:tcW w:w="4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Long-Term Purchased Power</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1,908,226</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13.1</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Purchased Power </w:t>
            </w:r>
            <w:r>
              <w:rPr>
                <w:rFonts w:ascii="Arial" w:cs="Arial" w:eastAsia="Arial" w:hAnsi="Arial"/>
                <w:sz w:val="16"/>
                <w:szCs w:val="16"/>
                <w:i w:val="1"/>
                <w:iCs w:val="1"/>
                <w:color w:val="auto"/>
              </w:rPr>
              <w:t>(i)</w:t>
            </w: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2,960,575</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20.3</w:t>
            </w:r>
          </w:p>
        </w:tc>
      </w:tr>
      <w:tr>
        <w:trPr>
          <w:trHeight w:val="237"/>
        </w:trPr>
        <w:tc>
          <w:tcPr>
            <w:tcW w:w="49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Total Purchased Power</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4,868,801</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33.4</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Regulated Utility Power Supply</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1,932</w:t>
            </w: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14,579,929</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r>
      <w:tr>
        <w:trPr>
          <w:trHeight w:val="20"/>
        </w:trPr>
        <w:tc>
          <w:tcPr>
            <w:tcW w:w="49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On October 19, 2016, Minnesota Power announced that Boswell Units 1 and 2 will be retired in 2018. (See Item 7. Management’s Discussion and Analysis of Financial Condition and Results of Operations – Outlook – EnergyForward.)</w:t>
      </w:r>
    </w:p>
    <w:p>
      <w:pPr>
        <w:ind w:left="340" w:hanging="332"/>
        <w:spacing w:after="0" w:line="246"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Boswell Unit 4 net capability shown above reflects Minnesota Power’s ownership percentage of 80 percent. WPPI Energy owns 20 percent of Boswell Unit 4. (See Note 3. Jointly-Owned Facilities and Projects.)</w:t>
      </w:r>
    </w:p>
    <w:p>
      <w:pPr>
        <w:ind w:left="340" w:hanging="332"/>
        <w:spacing w:after="0" w:line="246"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Taconite Harbor Units 1 and 2 were idled in September 2016. (See Item 7. Management’s Discussion and Analysis of Financial Condition and Results of Operations – Outlook – EnergyForward.)</w:t>
      </w: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On July 1, 2016, Minnesota Power sold its Cloquet Energy Center Generator No. 5 to Sappi Cloquet LLC.</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Hydro consists of 10 stations with 34 generating units.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Taconite Ridge consists of 10 WTGs and Bison consists of 165 WTGs.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Camp Ripley was placed in service in the fourth quarter of 2016.</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has a PSA with Minnkota Power whereby Minnesota Power is selling a portion of its entitlement from Square Butte to Minnkota Power. (See Electric Sales / Customers.)</w:t>
      </w: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short-term market purchases in the MISO market and from Other Power Suppliers.</w:t>
      </w:r>
    </w:p>
    <w:p>
      <w:pPr>
        <w:sectPr>
          <w:pgSz w:w="11900" w:h="16838" w:orient="portrait"/>
          <w:cols w:equalWidth="0" w:num="1">
            <w:col w:w="11420"/>
          </w:cols>
          <w:pgMar w:left="240" w:top="702"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2016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02"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Fuel</w:t>
      </w:r>
      <w:r>
        <w:rPr>
          <w:rFonts w:ascii="Arial" w:cs="Arial" w:eastAsia="Arial" w:hAnsi="Arial"/>
          <w:sz w:val="17"/>
          <w:szCs w:val="17"/>
          <w:color w:val="auto"/>
        </w:rPr>
        <w:t>. Minnesota Power purchases low-sulfur, sub-bituminous coal from the Powder River Basin region located in Montana and Wyoming. Coal consumption</w:t>
      </w:r>
      <w:r>
        <w:rPr>
          <w:rFonts w:ascii="Arial" w:cs="Arial" w:eastAsia="Arial" w:hAnsi="Arial"/>
          <w:sz w:val="17"/>
          <w:szCs w:val="17"/>
          <w:b w:val="1"/>
          <w:bCs w:val="1"/>
          <w:color w:val="auto"/>
        </w:rPr>
        <w:t xml:space="preserve"> </w:t>
      </w:r>
      <w:r>
        <w:rPr>
          <w:rFonts w:ascii="Arial" w:cs="Arial" w:eastAsia="Arial" w:hAnsi="Arial"/>
          <w:sz w:val="17"/>
          <w:szCs w:val="17"/>
          <w:color w:val="auto"/>
        </w:rPr>
        <w:t>in 2016 for electric generation at Minnesota Power’s coal-fired generating stations was 4.2 million tons. As of December 31, 2016, Minnesota Power had coal inventories of 1.4 million tons (1.6 million tons as of December 31, 2015). Minnesota Power’s coal supply agreements have expiration dates through December 2017 for a significant portion of its coal requirements and December 2021 for a portion of its coal requirements. In 2017, Minnesota Power expects to obtain coal under these coal supply agreements and in the spot market. Minnesota Power continues to explore other future coal supply options and believes that adequate supplies of low-sulfur, sub-bituminous coal will continue to be available.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also has coal transportation agreements in place for the delivery of a significant portion of its coal requirements through December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delivered costs of fuel for Minnesota Power’s generation are recoverable from Minnesota Power’s utility customers through the fuel adjustment clause.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Coal Delivered to Minnesota Power</w:t>
            </w:r>
          </w:p>
        </w:tc>
        <w:tc>
          <w:tcPr>
            <w:tcW w:w="3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6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per Ton</w:t>
            </w:r>
          </w:p>
        </w:tc>
        <w:tc>
          <w:tcPr>
            <w:tcW w:w="3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$35.87</w:t>
            </w:r>
          </w:p>
        </w:tc>
        <w:tc>
          <w:tcPr>
            <w:tcW w:w="1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$27.00</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$26.52</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Average Price per MBtu</w:t>
            </w:r>
          </w:p>
        </w:tc>
        <w:tc>
          <w:tcPr>
            <w:tcW w:w="3600" w:type="dxa"/>
            <w:vAlign w:val="bottom"/>
          </w:tcPr>
          <w:p>
            <w:pPr>
              <w:jc w:val="right"/>
              <w:ind w:right="350"/>
              <w:spacing w:after="0"/>
              <w:rPr>
                <w:sz w:val="20"/>
                <w:szCs w:val="20"/>
                <w:color w:val="auto"/>
              </w:rPr>
            </w:pPr>
            <w:r>
              <w:rPr>
                <w:rFonts w:ascii="Arial" w:cs="Arial" w:eastAsia="Arial" w:hAnsi="Arial"/>
                <w:sz w:val="18"/>
                <w:szCs w:val="18"/>
                <w:color w:val="auto"/>
              </w:rPr>
              <w:t>$1.98</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$1.49</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Long-Term Purchased Power</w:t>
      </w:r>
      <w:r>
        <w:rPr>
          <w:rFonts w:ascii="Arial" w:cs="Arial" w:eastAsia="Arial" w:hAnsi="Arial"/>
          <w:sz w:val="18"/>
          <w:szCs w:val="18"/>
          <w:color w:val="auto"/>
        </w:rPr>
        <w:t>. Minnesota Power has contracts to purchase capacity and energy from various entities, including output from certain coal,</w:t>
      </w:r>
      <w:r>
        <w:rPr>
          <w:rFonts w:ascii="Arial" w:cs="Arial" w:eastAsia="Arial" w:hAnsi="Arial"/>
          <w:sz w:val="18"/>
          <w:szCs w:val="18"/>
          <w:b w:val="1"/>
          <w:bCs w:val="1"/>
          <w:color w:val="auto"/>
        </w:rPr>
        <w:t xml:space="preserve"> </w:t>
      </w:r>
      <w:r>
        <w:rPr>
          <w:rFonts w:ascii="Arial" w:cs="Arial" w:eastAsia="Arial" w:hAnsi="Arial"/>
          <w:sz w:val="18"/>
          <w:szCs w:val="18"/>
          <w:color w:val="auto"/>
        </w:rPr>
        <w:t>wind and hydro generating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Our PPAs are detailed in Note 11. Commitments, Guarantees and Contingencies, with additional disclosure provided in the following paragraph.</w:t>
      </w:r>
    </w:p>
    <w:p>
      <w:pPr>
        <w:spacing w:after="0" w:line="2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Square Butte PPA. </w:t>
      </w:r>
      <w:r>
        <w:rPr>
          <w:rFonts w:ascii="Arial" w:cs="Arial" w:eastAsia="Arial" w:hAnsi="Arial"/>
          <w:sz w:val="16"/>
          <w:szCs w:val="16"/>
          <w:color w:val="auto"/>
        </w:rPr>
        <w:t>Under the long-term agreement with Square Butte, which expires at the end of 2026, Minnesota Power is entitled to 50 percent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output of Square Butte’s 455-MW coal-fired generating unit located near Center, North Dakota. (See Note 11. Commitments, Guarantees and Contingencies.) BNI Energy supplies lignite coal to Square Butte. This lignite supply is sufficient to provide fuel for the anticipated useful life of the generating unit. Square Butte’s cost of lignite consumed in 2016 was approximately $1.57 per MBtu. (See </w:t>
      </w:r>
      <w:r>
        <w:rPr>
          <w:rFonts w:ascii="Arial" w:cs="Arial" w:eastAsia="Arial" w:hAnsi="Arial"/>
          <w:sz w:val="16"/>
          <w:szCs w:val="16"/>
          <w:i w:val="1"/>
          <w:iCs w:val="1"/>
          <w:color w:val="auto"/>
        </w:rPr>
        <w:t>Electric Sales / Customers</w:t>
      </w:r>
      <w:r>
        <w:rPr>
          <w:rFonts w:ascii="Arial" w:cs="Arial" w:eastAsia="Arial" w:hAnsi="Arial"/>
          <w:sz w:val="16"/>
          <w:szCs w:val="16"/>
          <w:color w:val="auto"/>
        </w:rPr>
        <w:t xml:space="preserve"> – </w:t>
      </w:r>
      <w:r>
        <w:rPr>
          <w:rFonts w:ascii="Arial" w:cs="Arial" w:eastAsia="Arial" w:hAnsi="Arial"/>
          <w:sz w:val="16"/>
          <w:szCs w:val="16"/>
          <w:i w:val="1"/>
          <w:iCs w:val="1"/>
          <w:color w:val="auto"/>
        </w:rPr>
        <w:t>Minnkota Power PSA</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and Distribution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electric transmission and distribution lines of 500 kV (8 miles), 345 kV (242 miles), 250 kV (465 miles), 230 kV (761 miles), 161 kV (43 miles), 138 kV (190 miles), 115 kV (1,299 miles) and less than 115 kV (6,308 miles). We own and operate 165 substations with a total capacity of 8,396 megavoltamperes. Some of our transmission and distribution lines interconnect with other utilities.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and municipal and investor-owned utilities, including Minnesota’s largest transmission owners, assessed the transmission system and projected growth in customer demand for electricity through 2020. Minnesota Power participated in three CapX2020 projects which were completed and placed in service in 2011, 2012 and 2015. Minnesota Power invested approximately $100 million to complete the three transmission line projects.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 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and Manitoba Hydro proposed construction of the GNTL, an approximately 220-mile 500-kV transmission line between Manitoba and Minnesota’s Iron Range in order to strengthen the electric grid, enhance regional reliability and promote a greater exchange of sustainable energy.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and Distribution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GNTL is subject to various federal and state regulatory approvals. In 2013, a certificate of need application was filed with the MPUC which was approved in a June 2015 order. Based on this order, Minnesota Power’s portion of the investments and expenditures for the project are eligible for cost recovery under its existing transmission cost recovery rider and are anticipated to be included in future transmission factor filings. (See Note 4. Regulatory Matters.) In a December 2015 order, the FERC approved our request to recover on construction work in progress related to the GNTL from Minnesota Power’s wholesale customers. In 2014, Minnesota Power filed a route permit application with the MPUC and a request for a presidential permit to cross the U.S.-Canadian border with the U.S. Department of Energy. In an order dated April 11, 2016, the MPUC approved the route permit which largely follows Minnesota Power’s preferred route, including the international border crossing, and on November 16, 2016, the U.S. Department of Energy issued a presidential permit, which was the final major regulatory approval needed before construction in the U.S. can begin in early 2017. Construction is expected to be completed in 2020, and total project cost in the U.S., including substation work, is estimated to be between $560 million and $710 million. Minnesota Power is expected to have majority ownership of the transmission line.</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September 2015, Manitoba Hydro submitted the final preferred route and EIS for the transmission line in Canada to the Manitoba Conservation and Water Stewardship for regulatory approval. Construction of Manitoba Hydro’s hydroelectric generation facility commenced in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parts of Wisconsin, Michigan, Minnesota and Illinois. We account for our investment in ATC under the equity method of accounting. As of December 31, 2016, our equity investment in ATC was $135.6 million ($124.5 million at December 31, 2015). (See Note 5. Investment in ATC.)</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28, 2016, the FERC issued an order reducing ATC’s authorized return on equity to 10.32 percent, or 10.82 percent including an incentive adder for participation in a regional transmission organization. Prior to this order, ATC had been allowed a return on equity of 12.2 percent which had been impacted by reductions for estimated refunds related to complaints filed with the FERC by several customers located within the MISO service area.</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2016, a federal administrative law judge ruled on an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expected in 2017. (See Note 4. Regulatory Matters.) We estimate that for every 50 basis point reduction in ATC’s allowed return on equity our equity earnings in ATC would be impacted annually by approximately $0.5 million after-tax.</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2016 through 2025, identifies a need for between $3.6 billion and $4.4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ATC and Duke Energy Corporation are partners in a joint venture, Duke-American Transmission Co. (DATC) which builds, owns and operates electric transmission facilities in North America. DATC is subject to the rules and regulations of the FERC, various independent system operators and state regulatory authorities.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2016, ATC formed ATC Development LLC, which is a separate entity formed by the investor-owned utility members of ATC to pursue development outside of ATC’s traditional footprint. ATC Development LLC draws upon ATC’s transmission experience to pursue transmission development opportunities. ALLETE has an approximate 9 percent ownership in ATC Development LLC. ATC Development LLC may incur development expenses as it pursues transmission projects; we will recognize our proportional share of these expenses as they occur.</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2017, ATC Development LLC and Arizona Electric Power Cooperative formed ATC Southwest to jointly develop transmission projects in Arizona and the southwestern United States. ATC Southwest will benefit electric cooperative members and electric consumers in the Southwest by developing options to help address the demand for an affordable, reliable transmission system.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0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Regulated Operations businesses own office and service buildings, an energy control center, repair shops, electric plants, transmission facilities and storerooms in various localities in Minnesota, Wisconsin and North Dakota. All of the electric plants are subject to mortgages, which collateralize the outstanding first mortgage bonds of Minnesota Power and SWL&amp;P. Most of the generating plants and substations are located on real property owned by Minnesota Power or SWL&amp;P, subject to the lien of a mortgage, whereas most of the electric lines are located on real property owned by others with appropriate easement rights or necessary permits from governmental authorities. WPPI Energy owns 20 percent of Boswell Unit 4. WPPI Energy has the right to use our transmission line facilities to transport its share of Boswell generation. (See Note 3. Jointly-Owned Facilities and Projects.)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the jurisdiction of various regulatory authorities and other organizations.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All rates and contract terms in our Regulated Operations are subject to approval by applicable regulatory authorities. Minnesota Power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SWL&amp;P design their retail electric service rates based on cost of service studies under which allocations are made to the various classes of customers as approved by the MPUC or the PSCW. Nearly all retail sales include billing adjustment clauses, which may adjust electric service rates for changes in the cost of fuel and purchased energy, recovery of current and deferred conservation improvement program expenditures and recovery of certain transmission, renewable and environmental investments.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Minnesota Public Utilities Commission. </w:t>
      </w:r>
      <w:r>
        <w:rPr>
          <w:rFonts w:ascii="Arial" w:cs="Arial" w:eastAsia="Arial" w:hAnsi="Arial"/>
          <w:sz w:val="18"/>
          <w:szCs w:val="18"/>
          <w:color w:val="auto"/>
        </w:rPr>
        <w:t>The MPUC has regulatory authority over Minnesota Power’s retail service area in Minnesota, retail rates,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capital structure, issuance of securities and other matters. Minnesota Power’s current retail rates are based on a 2011 MPUC retail rate order that allows for a 10.38 percent return on common equity and a 54.29 percent equity ratio. As authorized by the MPUC, Minnesota Power also recognizes revenue under cost recovery riders for transmission, renewable and environmental investments.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2016 Minnesota General Rate Case. </w:t>
      </w:r>
      <w:r>
        <w:rPr>
          <w:rFonts w:ascii="Arial" w:cs="Arial" w:eastAsia="Arial" w:hAnsi="Arial"/>
          <w:sz w:val="16"/>
          <w:szCs w:val="16"/>
          <w:color w:val="auto"/>
        </w:rPr>
        <w:t>On November 2, 2016, Minnesota Power filed a retail rate increase request with the MPUC seeking an average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approximately 9 percent for retail customers. The rate filing seeks a return on equity of 10.25 percent and a 53.8 percent equity ratio. On an annualized basis, the requested final rate increase would generate approximately $55 million in additional revenue. On December 12, 2016, due to a change in its electric sales forecast, Minnesota Power filed a request to modify its original interim rate proposal reducing its requested interim rate increase to $34.7 million from the original request of approximately $49 million; Minnesota Power will file to update its final retail rate increase request by February 28, 2017, and expects the final retail rate increase request to decrease similar to the interim rate proposal. In orders dated December 30, 2016, the MPUC accepted the filing as complete and authorized an annual interim rate increase of $34.7 million beginning January 1, 2017. As part of this rate increase request, we are seeking an extension of the recovery period for Boswell to better reflect recent environmental investments at the facility and mitigate rate increases for our customers. If approved, annual depreciation expense will be reduced by approximately $25 million. If the requested recovery period extension is not approved, we would expect final rates to be increased by a similar amount. We cannot predict the level of final rates that may be authorized by the MPUC.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Additional regulatory proceedings pending with the MPUC are detailed in Note 4. Regulatory Matters.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Federal Energy Regulatory Commission. </w:t>
      </w:r>
      <w:r>
        <w:rPr>
          <w:rFonts w:ascii="Arial" w:cs="Arial" w:eastAsia="Arial" w:hAnsi="Arial"/>
          <w:sz w:val="18"/>
          <w:szCs w:val="18"/>
          <w:color w:val="auto"/>
        </w:rPr>
        <w:t>The FERC has jurisdiction over the licensing of hydroelectric projects, the establishment of rates and charges for</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of electricity in interstate commerce and electricity sold at wholesale (including the rates for Minnesota Power’s municipal and wholesale customers), natural gas transportation, certain accounting and record-keeping practices, certain activities of our regulated utilities and the operations of ATC. FERC jurisdiction also includes enforcement of NERC mandatory electric reliability standards. Violations of FERC rules are subject to enforcement action by the FERC including financial penalties up to $1 million per day per violation. Regulatory proceedings pending with the FERC are detailed in Note 4. Regulatory Matters.</w:t>
      </w:r>
    </w:p>
    <w:p>
      <w:pPr>
        <w:spacing w:after="0" w:line="18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Public Service Commission of Wisconsin. </w:t>
      </w:r>
      <w:r>
        <w:rPr>
          <w:rFonts w:ascii="Arial" w:cs="Arial" w:eastAsia="Arial" w:hAnsi="Arial"/>
          <w:sz w:val="16"/>
          <w:szCs w:val="16"/>
          <w:color w:val="auto"/>
        </w:rPr>
        <w:t>The PSCW has regulatory authority over SWL&amp;P’s retail sales of electricity, natural gas and water, issuances of</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and other matters. SWL&amp;P’s current retail rates are based on a 2012 PSCW retail rate order that allows for a 10.9 percent return on common equity.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0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2016 Wisconsin General Rate Case. </w:t>
      </w:r>
      <w:r>
        <w:rPr>
          <w:rFonts w:ascii="Arial" w:cs="Arial" w:eastAsia="Arial" w:hAnsi="Arial"/>
          <w:sz w:val="17"/>
          <w:szCs w:val="17"/>
          <w:color w:val="auto"/>
        </w:rPr>
        <w:t>On June 28, 2016, SWL&amp;P filed a rate increase request with the PSCW requesting an average overall increase of 3.1</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for retail customers (a 3.5 percent increase in electric rates, a 1.3 percent decrease in natural gas rates and a 7.8 percent increase in water rates). The rate filing seeks an overall return on equity of 10.9 percent and a 55 percent equity ratio. On an annualized basis, the requested rate increase would generate approximately $2.7 million in additional revenue. Hearings are expected to be scheduled in the first half of 2017. The Company anticipates new rates will take effect during the second quarter of 2017. We cannot predict the level of rates that may be approved by the PSCW.</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North Dakota Public Service Commission. </w:t>
      </w:r>
      <w:r>
        <w:rPr>
          <w:rFonts w:ascii="Arial" w:cs="Arial" w:eastAsia="Arial" w:hAnsi="Arial"/>
          <w:sz w:val="18"/>
          <w:szCs w:val="18"/>
          <w:color w:val="auto"/>
        </w:rPr>
        <w:t>The NDPSC has jurisdiction over site and route permitting of generation and transmission facilities in North</w:t>
      </w:r>
      <w:r>
        <w:rPr>
          <w:rFonts w:ascii="Arial" w:cs="Arial" w:eastAsia="Arial" w:hAnsi="Arial"/>
          <w:sz w:val="18"/>
          <w:szCs w:val="18"/>
          <w:b w:val="1"/>
          <w:bCs w:val="1"/>
          <w:color w:val="auto"/>
        </w:rPr>
        <w:t xml:space="preserve"> </w:t>
      </w:r>
      <w:r>
        <w:rPr>
          <w:rFonts w:ascii="Arial" w:cs="Arial" w:eastAsia="Arial" w:hAnsi="Arial"/>
          <w:sz w:val="18"/>
          <w:szCs w:val="18"/>
          <w:color w:val="auto"/>
        </w:rPr>
        <w:t>Dakota.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Organizations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Midcontinent Independent System Operator, Inc. </w:t>
      </w:r>
      <w:r>
        <w:rPr>
          <w:rFonts w:ascii="Arial" w:cs="Arial" w:eastAsia="Arial" w:hAnsi="Arial"/>
          <w:sz w:val="18"/>
          <w:szCs w:val="18"/>
          <w:color w:val="auto"/>
        </w:rPr>
        <w:t>Minnesota Power and SWL&amp;P are members of MISO, a regional transmission organization. While</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and SWL&amp;P retain ownership of their respective transmission assets, their transmission networks are under the regional operational control of MISO. Minnesota Power and SWL&amp;P take and provide transmission service under the MISO open access transmission tariff. MISO continues its efforts to oversee the safe, cost-effective delivery of electric power across all or parts of 15 states and the Canadian province of Manitoba which includes nearly 175,000 MW of generating capacity.</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North American Electric Reliability Corporation. </w:t>
      </w:r>
      <w:r>
        <w:rPr>
          <w:rFonts w:ascii="Arial" w:cs="Arial" w:eastAsia="Arial" w:hAnsi="Arial"/>
          <w:sz w:val="18"/>
          <w:szCs w:val="18"/>
          <w:color w:val="auto"/>
        </w:rPr>
        <w:t>The NERC has been certified by the FERC as the national electric reliability organization. The NERC</w:t>
      </w:r>
      <w:r>
        <w:rPr>
          <w:rFonts w:ascii="Arial" w:cs="Arial" w:eastAsia="Arial" w:hAnsi="Arial"/>
          <w:sz w:val="18"/>
          <w:szCs w:val="18"/>
          <w:b w:val="1"/>
          <w:bCs w:val="1"/>
          <w:color w:val="auto"/>
        </w:rPr>
        <w:t xml:space="preserve"> </w:t>
      </w:r>
      <w:r>
        <w:rPr>
          <w:rFonts w:ascii="Arial" w:cs="Arial" w:eastAsia="Arial" w:hAnsi="Arial"/>
          <w:sz w:val="18"/>
          <w:szCs w:val="18"/>
          <w:color w:val="auto"/>
        </w:rPr>
        <w:t>ensures the reliability of the North American bulk power system. The NERC oversees eight regional entities that establish requirements, approved by the FERC, for reliable operation and maintenance of power generation facilities and transmission systems. Minnesota Power is subject to these reliability requirements and can incur significant penalties for non-compliance.</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Midwest Reliability Organization (MRO). </w:t>
      </w:r>
      <w:r>
        <w:rPr>
          <w:rFonts w:ascii="Arial" w:cs="Arial" w:eastAsia="Arial" w:hAnsi="Arial"/>
          <w:sz w:val="17"/>
          <w:szCs w:val="17"/>
          <w:color w:val="auto"/>
        </w:rPr>
        <w:t>Minnesota Power is a member of the MRO, one of the eight regional entities overseen by the NERC. The MRO's</w:t>
      </w:r>
      <w:r>
        <w:rPr>
          <w:rFonts w:ascii="Arial" w:cs="Arial" w:eastAsia="Arial" w:hAnsi="Arial"/>
          <w:sz w:val="17"/>
          <w:szCs w:val="17"/>
          <w:b w:val="1"/>
          <w:bCs w:val="1"/>
          <w:color w:val="auto"/>
        </w:rPr>
        <w:t xml:space="preserve"> </w:t>
      </w:r>
      <w:r>
        <w:rPr>
          <w:rFonts w:ascii="Arial" w:cs="Arial" w:eastAsia="Arial" w:hAnsi="Arial"/>
          <w:sz w:val="17"/>
          <w:szCs w:val="17"/>
          <w:color w:val="auto"/>
        </w:rPr>
        <w:t>primary responsibilities are to: ensure compliance with mandatory reliability standards by entities who own, operate or use the interconnected, international bulk power system; conduct assessments of the grid's ability to meet electricity demand in the region; and analyze regional system events.</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MRO region spans the Canadian provinces of Saskatchewan and Manitoba, and all or parts of the states of Illinois, Iowa, Minnesota, Michigan, Montana, Nebraska, North Dakota, South Dakota and Wisconsin. The region includes more than 130 organizations that are involved in the production and delivery of electricity to more than 20 million people. These organizations include municipal utilities, cooperatives, investor-owned utilities, transmission system operators, a federal power marketing agency, Canadian Crown corporations, and independent power producers.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In February 2007, Minnesota enacted a law requiring 25 percent of electric utilities’ applicable retail and municipal energy sales in</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to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Power’s 2015 IRP, which was filed with the MPUC in September 2015 and approved with modifications by the MPUC in an order dated July 18, 2016, includes an update on its plans and progress in meeting the Minnesota renewable energy milestones through 2025. (See Item 7. Management’s Discussion and Analysis of Financial Condition and Results of Operations – Outlook – EnergyForward.)</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key renewable projects that will ensure it meets the identified state mandate at the lowest cost for customers. Minnesota Power has exceeded the interim milestone requirements to date with approximately 33 percent of its applicable retail and municipal energy sales supplied by renewable energy sources in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0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Minnesota Solar Energy Standard. </w:t>
      </w:r>
      <w:r>
        <w:rPr>
          <w:rFonts w:ascii="Arial" w:cs="Arial" w:eastAsia="Arial" w:hAnsi="Arial"/>
          <w:sz w:val="16"/>
          <w:szCs w:val="16"/>
          <w:color w:val="auto"/>
        </w:rPr>
        <w:t>In 2013, legislation was enacted by the state of Minnesota requiring at least 1.5 percent of total retail electric sales,</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sales to certain customers, to be generated by solar energy by the end of 2020. At least 10 percent of the 1.5 percent mandate must be met by solar energy generated by or procured from solar photovoltaic devices with a nameplate capacity of 20 kW or less. Minnesota Power has one completed solar project and another under development. In August 2015, Minnesota Power filed for MPUC approval of a 10 MW utility scale solar project at the Camp Ripley Minnesota Army National Guard base and training facility near Little Falls, Minnesota. In an order dated February 24, 2016, the MPUC approved the Camp Ripley solar project as eligible to meet the solar energy standard and for current cost recovery, which was subsequently finalized by the MPUC in an order dated December 12, 2016. The Camp Ripley solar project was completed in the fourth quarter of 2016. In September 2015, Minnesota Power filed for MPUC approval of a community solar garden project in northeastern Minnesota, which is comprised of a 1 MW solar array to be owned and operated by a third party with the output purchased by Minnesota Power and a 40 kW solar array that will be owned and operated by Minnesota Power. In an order dated July 27, 2016, the MPUC approved the community solar garden project and cost recovery, subject to certain compliance requirements. Minnesota Power believes these projects will meet approximately one-third of the overall mandate. Additionally, on January 19, 2017, the MPUC approved Minnesota Power’s proposal to increase the amount of solar rebates available for customer-sited solar installations and recover costs of the program through Minnesota Power’s renewable cost recovery rider. This proposal to incentivize customer-sited solar installations is expected to meet a portion of the required mandate related to solar photovoltaic devices with a nameplate capacity of 20 kW or less.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Energy-Intensive Trade-Exposed (EITE) Customer Rates. </w:t>
      </w:r>
      <w:r>
        <w:rPr>
          <w:rFonts w:ascii="Arial" w:cs="Arial" w:eastAsia="Arial" w:hAnsi="Arial"/>
          <w:sz w:val="16"/>
          <w:szCs w:val="16"/>
          <w:color w:val="auto"/>
        </w:rPr>
        <w:t>The Minnesota Legislature enacted EITE customer ratemaking law in June 2015 which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that it is the energy policy of the state to have competitive rates for certain industries such as mining and forest products. In November 2015, Minnesota Power filed a rate schedule petition with the MPUC for EITE customers and a corresponding rider for EITE cost recovery. The rate proposal was revenue and cash flow neutral to Minnesota Power. In an order dated March 23, 2016, the MPUC dismissed the petition without prejudice, providing Minnesota Power the option to refile the petition with additional information or file a new petition. On June 30, 2016, Minnesota Power filed a revised EITE petition with the MPUC which included additional information on the net benefits analysis, limits on eligible customers and term lengths for the EITE discount. In an order dated December 21, 2016, the MPUC approved a reduction in rates for EITE customers and determined that cost recovery will be addressed in a separate proceeding. Minnesota Power provided additional information on cost recovery allocation methods in a December 30, 2016, compliance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Retail electric energy sales in Minnesota and Wisconsin are made to customers in assigned service territories. As a result, most retail electric customers in Minnesota do not have the ability to choose their electric supplier. Large energy users of 2 MW and above that are located outside of a municipality are allowed to choose a supplier upon MPUC approval. Minnesota Power serves 12 Large Power facilities over 10 MW, none of which have engaged in a competitive rate process. No other large commercial or small industrial customers in Minnesota Power’s service territory have sought a provider outside Minnesota Power’s service territory since 1994. Retail electric and natural gas customers in Wisconsin do not have the ability to choose their energy supplier. In both states, however, electricity may compete with other forms of energy. Customers may also choose to generate their own electricity, or substitute other forms of energy for their manufacturing processes.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2016, 6 percent of total regulated utility kWh sales were to municipal customers in Minnesota by contract. These customers have the right to seek an energy supply from any wholesale electric service provider upon contract expiration. In April 2015, Minnesota Power amended its formula-based wholesale electric sales contract with the Nashwauk Public Utilities Commission, extending the term through June 30, 2028. In September 2015, Minnesota Power amended its wholesale electric contracts with 14 of its municipal customers, extending the contract terms through December 31, 2024. On June 30, 2016, one of Minnesota Power’s municipal customers provided termination notice for its contract effective June 30, 2019. Minnesota Power currently provides approximately 29 MW of average monthly demand to this customer. (See </w:t>
      </w:r>
      <w:r>
        <w:rPr>
          <w:rFonts w:ascii="Arial" w:cs="Arial" w:eastAsia="Arial" w:hAnsi="Arial"/>
          <w:sz w:val="17"/>
          <w:szCs w:val="17"/>
          <w:i w:val="1"/>
          <w:iCs w:val="1"/>
          <w:color w:val="auto"/>
        </w:rPr>
        <w:t>Electric Sales / Customers.</w:t>
      </w:r>
      <w:r>
        <w:rPr>
          <w:rFonts w:ascii="Arial" w:cs="Arial" w:eastAsia="Arial" w:hAnsi="Arial"/>
          <w:sz w:val="17"/>
          <w:szCs w:val="17"/>
          <w:color w:val="auto"/>
        </w:rPr>
        <w:t>)</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FERC has continued with its efforts to promote a more competitive wholesale market through open-access electric transmission and other means. As a result, our electric sales to Other Power Suppliers and our purchases to supply our retail and wholesale load are made in the competitive market.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0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holds franchises to construct and maintain an electric distribution and transmission system in 91 cities. The remaining cities, villages and towns served by Minnesota Power do not require a franchise to operate. SWL&amp;P serves customers under electric, natural gas and/or water franchises in 1 city and 14 villages or towns.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ALLETE Clean Energy focuses on developing, acquiring, and operating clean and renewable energy projects. ALLETE Clean Energy currently owns and operates, in four states, approximately 535 MW of nameplate capacity wind energy generation that is from PSAs under various durations. In addition, ALLETE Clean Energy constructed and sold a 107 MW wind energy facility in 2015. On January 3, 2017, ALLETE Clean Energy announced that it will develop another wind energy facility of up to 50 MW after securing a 25</w:t>
      </w:r>
      <w:r>
        <w:rPr>
          <w:rFonts w:ascii="MS PGothic" w:cs="MS PGothic" w:eastAsia="MS PGothic" w:hAnsi="MS PGothic"/>
          <w:sz w:val="18"/>
          <w:szCs w:val="18"/>
          <w:color w:val="auto"/>
        </w:rPr>
        <w:t>‑</w:t>
      </w:r>
      <w:r>
        <w:rPr>
          <w:rFonts w:ascii="Arial" w:cs="Arial" w:eastAsia="Arial" w:hAnsi="Arial"/>
          <w:sz w:val="18"/>
          <w:szCs w:val="18"/>
          <w:color w:val="auto"/>
        </w:rPr>
        <w:t>year PSA. The PSA includes an option for the counterparty to purchase the facility upon development completion; construction is expected to begin in 2018.</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Clean Energy will pursue growth through acquisitions or project development for others. ALLETE Clean Energy is targeting acquisitions of existing facilities up to 200 MW each, which have long-term PSAs in place for the facilities’ output. At this time, ALLETE Clean Energy expects acquisitions will be primarily wind or solar facilities in North America. ALLETE Clean Energy is also targeting the development of new facilities up to 200 MW each, which will have long-term PSAs in place for the output or may be sold upon completion. Federal production tax credit qualification is important to development project economics, and ALLETE Clean Energy invested approximately $100 million in equipment in 2016 to meet production tax credit safe harbor provisions.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 will manage risk by having a diverse portfolio of assets, which will include PSA expiration and geographic diversity. The current portfolio of approximately 535 MW is subject to typical variations in seasonal wind. The majority of its planned maintenance leverages this seasonality and is performed during lower wind periods. The current mix of PSA expiration and geographic location is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Wind Energy Facility</w:t>
            </w:r>
          </w:p>
        </w:tc>
        <w:tc>
          <w:tcPr>
            <w:tcW w:w="2920" w:type="dxa"/>
            <w:vAlign w:val="bottom"/>
          </w:tcPr>
          <w:p>
            <w:pPr>
              <w:jc w:val="center"/>
              <w:ind w:left="1190"/>
              <w:spacing w:after="0"/>
              <w:rPr>
                <w:sz w:val="20"/>
                <w:szCs w:val="20"/>
                <w:color w:val="auto"/>
              </w:rPr>
            </w:pPr>
            <w:r>
              <w:rPr>
                <w:rFonts w:ascii="Arial" w:cs="Arial" w:eastAsia="Arial" w:hAnsi="Arial"/>
                <w:sz w:val="18"/>
                <w:szCs w:val="18"/>
                <w:b w:val="1"/>
                <w:bCs w:val="1"/>
                <w:color w:val="auto"/>
                <w:w w:val="90"/>
              </w:rPr>
              <w:t>Location</w:t>
            </w:r>
          </w:p>
        </w:tc>
        <w:tc>
          <w:tcPr>
            <w:tcW w:w="1820" w:type="dxa"/>
            <w:vAlign w:val="bottom"/>
          </w:tcPr>
          <w:p>
            <w:pPr>
              <w:ind w:left="340"/>
              <w:spacing w:after="0"/>
              <w:rPr>
                <w:sz w:val="20"/>
                <w:szCs w:val="20"/>
                <w:color w:val="auto"/>
              </w:rPr>
            </w:pPr>
            <w:r>
              <w:rPr>
                <w:rFonts w:ascii="Arial" w:cs="Arial" w:eastAsia="Arial" w:hAnsi="Arial"/>
                <w:sz w:val="18"/>
                <w:szCs w:val="18"/>
                <w:b w:val="1"/>
                <w:bCs w:val="1"/>
                <w:color w:val="auto"/>
              </w:rPr>
              <w:t>Capacity MW</w:t>
            </w:r>
          </w:p>
        </w:tc>
        <w:tc>
          <w:tcPr>
            <w:tcW w:w="1500" w:type="dxa"/>
            <w:vAlign w:val="bottom"/>
          </w:tcPr>
          <w:p>
            <w:pPr>
              <w:ind w:left="400"/>
              <w:spacing w:after="0"/>
              <w:rPr>
                <w:sz w:val="20"/>
                <w:szCs w:val="20"/>
                <w:color w:val="auto"/>
              </w:rPr>
            </w:pPr>
            <w:r>
              <w:rPr>
                <w:rFonts w:ascii="Arial" w:cs="Arial" w:eastAsia="Arial" w:hAnsi="Arial"/>
                <w:sz w:val="18"/>
                <w:szCs w:val="18"/>
                <w:b w:val="1"/>
                <w:bCs w:val="1"/>
                <w:color w:val="auto"/>
              </w:rPr>
              <w:t>PSA MW</w:t>
            </w:r>
          </w:p>
        </w:tc>
        <w:tc>
          <w:tcPr>
            <w:tcW w:w="182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PSA Expiration</w:t>
            </w:r>
          </w:p>
        </w:tc>
      </w:tr>
      <w:tr>
        <w:trPr>
          <w:trHeight w:val="27"/>
        </w:trPr>
        <w:tc>
          <w:tcPr>
            <w:tcW w:w="3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Armenia Mountain</w:t>
            </w:r>
          </w:p>
        </w:tc>
        <w:tc>
          <w:tcPr>
            <w:tcW w:w="292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Pennsylvania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2024</w:t>
            </w:r>
          </w:p>
        </w:tc>
      </w:tr>
      <w:tr>
        <w:trPr>
          <w:trHeight w:val="237"/>
        </w:trPr>
        <w:tc>
          <w:tcPr>
            <w:tcW w:w="3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Chanarambie/Viking</w:t>
            </w:r>
          </w:p>
        </w:tc>
        <w:tc>
          <w:tcPr>
            <w:tcW w:w="292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5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PSA 1</w:t>
            </w:r>
          </w:p>
        </w:tc>
        <w:tc>
          <w:tcPr>
            <w:tcW w:w="29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2018</w:t>
            </w:r>
          </w:p>
        </w:tc>
      </w:tr>
      <w:tr>
        <w:trPr>
          <w:trHeight w:val="243"/>
        </w:trPr>
        <w:tc>
          <w:tcPr>
            <w:tcW w:w="3300" w:type="dxa"/>
            <w:vAlign w:val="bottom"/>
          </w:tcPr>
          <w:p>
            <w:pPr>
              <w:ind w:left="260"/>
              <w:spacing w:after="0"/>
              <w:rPr>
                <w:sz w:val="20"/>
                <w:szCs w:val="20"/>
                <w:color w:val="auto"/>
              </w:rPr>
            </w:pPr>
            <w:r>
              <w:rPr>
                <w:rFonts w:ascii="Arial" w:cs="Arial" w:eastAsia="Arial" w:hAnsi="Arial"/>
                <w:sz w:val="18"/>
                <w:szCs w:val="18"/>
                <w:color w:val="auto"/>
              </w:rPr>
              <w:t>PSA 2</w:t>
            </w:r>
          </w:p>
        </w:tc>
        <w:tc>
          <w:tcPr>
            <w:tcW w:w="29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88%</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7"/>
        </w:trPr>
        <w:tc>
          <w:tcPr>
            <w:tcW w:w="3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Condon</w:t>
            </w:r>
          </w:p>
        </w:tc>
        <w:tc>
          <w:tcPr>
            <w:tcW w:w="292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Oregon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r>
      <w:tr>
        <w:trPr>
          <w:trHeight w:val="237"/>
        </w:trPr>
        <w:tc>
          <w:tcPr>
            <w:tcW w:w="3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Lake Benton</w:t>
            </w:r>
          </w:p>
        </w:tc>
        <w:tc>
          <w:tcPr>
            <w:tcW w:w="292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7"/>
        </w:trPr>
        <w:tc>
          <w:tcPr>
            <w:tcW w:w="3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Storm Lake I</w:t>
            </w:r>
          </w:p>
        </w:tc>
        <w:tc>
          <w:tcPr>
            <w:tcW w:w="292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4"/>
              </w:rPr>
              <w:t>Iowa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37"/>
        </w:trPr>
        <w:tc>
          <w:tcPr>
            <w:tcW w:w="3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Storm Lake II</w:t>
            </w:r>
          </w:p>
        </w:tc>
        <w:tc>
          <w:tcPr>
            <w:tcW w:w="292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4"/>
              </w:rPr>
              <w:t>Iowa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5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PSA 1</w:t>
            </w:r>
          </w:p>
        </w:tc>
        <w:tc>
          <w:tcPr>
            <w:tcW w:w="29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43"/>
        </w:trPr>
        <w:tc>
          <w:tcPr>
            <w:tcW w:w="3300" w:type="dxa"/>
            <w:vAlign w:val="bottom"/>
          </w:tcPr>
          <w:p>
            <w:pPr>
              <w:ind w:left="260"/>
              <w:spacing w:after="0"/>
              <w:rPr>
                <w:sz w:val="20"/>
                <w:szCs w:val="20"/>
                <w:color w:val="auto"/>
              </w:rPr>
            </w:pPr>
            <w:r>
              <w:rPr>
                <w:rFonts w:ascii="Arial" w:cs="Arial" w:eastAsia="Arial" w:hAnsi="Arial"/>
                <w:sz w:val="18"/>
                <w:szCs w:val="18"/>
                <w:color w:val="auto"/>
              </w:rPr>
              <w:t>PSA 2</w:t>
            </w:r>
          </w:p>
        </w:tc>
        <w:tc>
          <w:tcPr>
            <w:tcW w:w="29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2032</w:t>
            </w:r>
          </w:p>
        </w:tc>
      </w:tr>
      <w:tr>
        <w:trPr>
          <w:trHeight w:val="27"/>
        </w:trPr>
        <w:tc>
          <w:tcPr>
            <w:tcW w:w="3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0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ENERGY INFRASTRUCTURE AND RELATED SERVICES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The majority of ALLETE Clean Energy’s wind operations are located on real property owned by others with appropriate easements rights or necessary consents of governmental authorities. Two of ALLETE Clean Energy’s wind energy facilities are encumbered by liens against their assets securing financing. Such financings are structured to be repaid within the term of the existing long</w:t>
      </w:r>
      <w:r>
        <w:rPr>
          <w:rFonts w:ascii="MS PGothic" w:cs="MS PGothic" w:eastAsia="MS PGothic" w:hAnsi="MS PGothic"/>
          <w:sz w:val="18"/>
          <w:szCs w:val="18"/>
          <w:color w:val="auto"/>
        </w:rPr>
        <w:t>‑</w:t>
      </w:r>
      <w:r>
        <w:rPr>
          <w:rFonts w:ascii="Arial" w:cs="Arial" w:eastAsia="Arial" w:hAnsi="Arial"/>
          <w:sz w:val="18"/>
          <w:szCs w:val="18"/>
          <w:color w:val="auto"/>
        </w:rPr>
        <w:t>term PSAs.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10, 2015, ALLETE acquired U.S. Water Services. U.S. Water Services provides integrated water management for industry by combining chemical, equipment, engineering and service for customized solutions to reduce water and energy usage, and improve efficiency. U.S. Water Services is located in 49 states and Canada and has an established base of approximately 4,800 customers. U.S. Water Services differentiates itself from the competition by developing synergies between established solutions in engineering, equipment and chemical water treatment, and helping customers achieve efficient and sustainable use of their water and energy systems. U.S. Water Services is a leading provider to the biofuels industry, and also serves the food and beverage, industrial, power generation, and midstream oil and gas industries. U.S. Water Services principally relies upon recurring revenue from a diverse mix of industrial customers. U.S. Water Services sells certain products which are seasonal in nature, with higher demand typically realized in warmer months; generally, lower sales occur in the first quarter of each year. The results for 2015 reflect operations for the date of acquisition, February 10, 2015, through December 31, 2015, and therefore, do not reflect a full twelve months.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North American presence by adding customers, products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a purchase price in the $10 million to $50 million range. Priority will be given to acquisitions which expand its geographic reach, add new technology or deepen its capabilities to serve its expanding customer base.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Water Services leases an office and production facility at its headquarters in Minnesota as well as various office, warehouse and production facilities across the United States.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Energy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BNI Energy is a supplier of lignite in North Dakota, producing approximately 4 million tons annually and has lignite reserves of an estimated 650 million tons. Two electric generating cooperatives, Minnkota Power and Square Butte, presently consume virtually all of BNI Energy’s production of lignite under cost-plus fixed fee coal supply agreements extending through December 31, 2037. (See Item 1. Business – Regulated Operations – Power Supply – Long-Term Purchased Power and Note 11. Commitments, Guarantees and Contingencies.) The mining process disturbs and reclaims between 200 and 250 acres per year. Laws require that the reclaimed land be at least as productive as it was prior to mining. As of December 31, 2016, BNI Energy had a $23.5 million asset reclamation obligation ($22.1 million as of December 31, 2015) included in Other Non-Current Liabilities on the Consolidated Balance Sheet. These costs are included in the cost-plus fixed fee contract, for which an asset reclamation cost receivable was included in Other Non-Current Assets on the Consolidated Balance Sheet. The asset reclamation obligation is guaranteed by surety bonds and a letter of credit. (See Note 11. Commitments, Guarantees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ALLETE Properties represents our legacy Florida real estate investment. Market conditions can impact land sales and could result in our inability to cover our cost basis, operating expenses or fixed carrying costs such as community development district assessments and property taxes.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0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ALLETE Properties’ major projects in Florida are Town Center at Palm Coast and Palm Coast Park.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Summary of Projects</w:t>
            </w:r>
          </w:p>
        </w:tc>
        <w:tc>
          <w:tcPr>
            <w:tcW w:w="35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60" w:type="dxa"/>
            <w:vAlign w:val="bottom"/>
          </w:tcPr>
          <w:p>
            <w:pPr>
              <w:jc w:val="right"/>
              <w:ind w:right="15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352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6"/>
                <w:szCs w:val="16"/>
                <w:i w:val="1"/>
                <w:iCs w:val="1"/>
                <w:color w:val="auto"/>
              </w:rPr>
              <w:t>(a)</w:t>
            </w: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6"/>
                <w:szCs w:val="16"/>
                <w:i w:val="1"/>
                <w:iCs w:val="1"/>
                <w:color w:val="auto"/>
              </w:rPr>
              <w:t>(b)</w:t>
            </w:r>
          </w:p>
        </w:tc>
        <w:tc>
          <w:tcPr>
            <w:tcW w:w="1660" w:type="dxa"/>
            <w:vAlign w:val="bottom"/>
          </w:tcPr>
          <w:p>
            <w:pPr>
              <w:jc w:val="right"/>
              <w:ind w:right="37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6"/>
                <w:szCs w:val="16"/>
                <w:i w:val="1"/>
                <w:iCs w:val="1"/>
                <w:color w:val="auto"/>
              </w:rPr>
              <w:t>(b)</w:t>
            </w:r>
          </w:p>
        </w:tc>
      </w:tr>
      <w:tr>
        <w:trPr>
          <w:trHeight w:val="27"/>
        </w:trPr>
        <w:tc>
          <w:tcPr>
            <w:tcW w:w="4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Projects</w:t>
            </w:r>
          </w:p>
        </w:tc>
        <w:tc>
          <w:tcPr>
            <w:tcW w:w="3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Town Center at Palm Coast</w:t>
            </w:r>
          </w:p>
        </w:tc>
        <w:tc>
          <w:tcPr>
            <w:tcW w:w="3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981</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2,447</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2,210,200</w:t>
            </w: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Palm Coast Park</w:t>
            </w:r>
          </w:p>
        </w:tc>
        <w:tc>
          <w:tcPr>
            <w:tcW w:w="3520" w:type="dxa"/>
            <w:vAlign w:val="bottom"/>
          </w:tcPr>
          <w:p>
            <w:pPr>
              <w:jc w:val="right"/>
              <w:ind w:right="110"/>
              <w:spacing w:after="0"/>
              <w:rPr>
                <w:sz w:val="20"/>
                <w:szCs w:val="20"/>
                <w:color w:val="auto"/>
              </w:rPr>
            </w:pPr>
            <w:r>
              <w:rPr>
                <w:rFonts w:ascii="Arial" w:cs="Arial" w:eastAsia="Arial" w:hAnsi="Arial"/>
                <w:sz w:val="18"/>
                <w:szCs w:val="18"/>
                <w:color w:val="auto"/>
              </w:rPr>
              <w:t>3,137</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3,554</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3,046,800</w:t>
            </w:r>
          </w:p>
        </w:tc>
      </w:tr>
      <w:tr>
        <w:trPr>
          <w:trHeight w:val="27"/>
        </w:trPr>
        <w:tc>
          <w:tcPr>
            <w:tcW w:w="4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Projects</w:t>
            </w:r>
          </w:p>
        </w:tc>
        <w:tc>
          <w:tcPr>
            <w:tcW w:w="3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4,118</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6,001</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5,257,000</w:t>
            </w:r>
          </w:p>
        </w:tc>
      </w:tr>
      <w:tr>
        <w:trPr>
          <w:trHeight w:val="20"/>
        </w:trPr>
        <w:tc>
          <w:tcPr>
            <w:tcW w:w="476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two projects, ALLETE Properties has approximately 1,100 acres of other land available-for-sale.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recent years, market conditions for real estate in Florida have required us to review our land inventories for impairment. In 2015, the Company reevaluated its strategy related to the real estate assets of ALLETE Properties in response to market conditions and transaction activity. The revised strategy incorporated the possibility of a bulk sale of its entire portfolio which, if consummated, would likely result in sales proceeds below the book value of the real estate assets. Proceeds from such a sale would be strategically deployed to support growth in our energy infrastructure and related services businesses. ALLETE Properties also continues to pursue sales of individual parcels over time. ALLETE Properties will continue to maintain key entitlements and infrastructure without making additional investments or acquisitions.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implementing the revised strategy, management evaluated its impairment analysis for its real estate assets using updated assumptions to determine estimated future net cash flows on an undiscounted basis. Estimated fair values were based upon current market data and pricing for individual parcels. Our impairment analysis incorporates a probability-weighted approach considering the alternative courses of sales noted above.</w:t>
      </w:r>
    </w:p>
    <w:p>
      <w:pPr>
        <w:spacing w:after="0" w:line="1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results of the 2015 undiscounted cash flow analysis, the undiscounted future net cash flows were not adequate to recover the carrying value of the real estate assets leading to an adjustment of carrying value to estimated fair value. Estimated fair value was derived using Level 3 inputs, including current market interest in the property for a bulk sale of its entire portfolio, and discounted cash flow analysis of estimated selling price for sales over time. As a result, a non-cash impairment charge of $36.3 million was recorded in 2015 to reduce the carrying value of the real estate to its estimated fair value.</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2016 and 2014, impairment analyses of estimated undiscounted future net cash flows were conducted and indicated that the cash flows were adequate to recover the carrying value of ALLETE Properties real estate assets. As a result, no impairment was recorded in 2016 or 2014.</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22, 2016, ALLETE Properties sold its Ormond Crossings project and Lake Swamp wetland mitigation bank for consideration of approximately $21 million. The consideration included a down payment in the form of 0.1 million shares of ALLETE common stock with a value of $8.0 million, with the remaining purchase price to be paid under the terms of a finance receivable due over a five-year period which bears interest at market rates. The finance receivable is collateralized by the property sold.</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Seller Financing. </w:t>
      </w:r>
      <w:r>
        <w:rPr>
          <w:rFonts w:ascii="Arial" w:cs="Arial" w:eastAsia="Arial" w:hAnsi="Arial"/>
          <w:sz w:val="18"/>
          <w:szCs w:val="18"/>
          <w:color w:val="auto"/>
        </w:rPr>
        <w:t>ALLETE Properties occasionally provides seller financing to certain qualified buyers. As of December 31, 2016, outstanding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were $13.9 million, net of reserves, with maturities through 2021. These finance receivables accrue interest at market-based rates and are collateralized by the financed properties.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Regulation. </w:t>
      </w:r>
      <w:r>
        <w:rPr>
          <w:rFonts w:ascii="Arial" w:cs="Arial" w:eastAsia="Arial" w:hAnsi="Arial"/>
          <w:sz w:val="17"/>
          <w:szCs w:val="17"/>
          <w:color w:val="auto"/>
        </w:rPr>
        <w:t>A substantial portion of our development properties in Florida are subject to federal, state and local regulations, and restrictions that may impose</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Non-Rate Base Generation and Miscellaneous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also includes other business development and corporate expenditures, unallocated interest expense, a small amount of non-rate base generation, approximately 5,000 acres of land in Minnesota, and earnings on cash and investments.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0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Non-Rate Base Generation and Miscellaneous (Continued)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2016, non-rate base generation consists of 29 MW of generation at Rapids Energy Center. In 2016, we sold 0.1 million MWh of non-rate base generation (0.1 million MWh in 2015 and in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Capability</w:t>
            </w:r>
          </w:p>
        </w:tc>
      </w:tr>
      <w:tr>
        <w:trPr>
          <w:trHeight w:val="234"/>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Non-Rate Base Power Supply</w:t>
            </w:r>
          </w:p>
        </w:tc>
        <w:tc>
          <w:tcPr>
            <w:tcW w:w="2980" w:type="dxa"/>
            <w:vAlign w:val="bottom"/>
          </w:tcPr>
          <w:p>
            <w:pPr>
              <w:jc w:val="center"/>
              <w:ind w:left="1610"/>
              <w:spacing w:after="0"/>
              <w:rPr>
                <w:sz w:val="20"/>
                <w:szCs w:val="20"/>
                <w:color w:val="auto"/>
              </w:rPr>
            </w:pPr>
            <w:r>
              <w:rPr>
                <w:rFonts w:ascii="Arial" w:cs="Arial" w:eastAsia="Arial" w:hAnsi="Arial"/>
                <w:sz w:val="18"/>
                <w:szCs w:val="18"/>
                <w:b w:val="1"/>
                <w:bCs w:val="1"/>
                <w:color w:val="auto"/>
                <w:w w:val="92"/>
              </w:rPr>
              <w:t>Unit No.</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Installed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(MW)</w:t>
            </w:r>
          </w:p>
        </w:tc>
      </w:tr>
      <w:tr>
        <w:trPr>
          <w:trHeight w:val="27"/>
        </w:trPr>
        <w:tc>
          <w:tcPr>
            <w:tcW w:w="43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 xml:space="preserve">Rapids Energy Center </w:t>
            </w:r>
            <w:r>
              <w:rPr>
                <w:rFonts w:ascii="Arial" w:cs="Arial" w:eastAsia="Arial" w:hAnsi="Arial"/>
                <w:sz w:val="16"/>
                <w:szCs w:val="16"/>
                <w:i w:val="1"/>
                <w:iCs w:val="1"/>
                <w:color w:val="auto"/>
              </w:rPr>
              <w:t>(a)</w:t>
            </w:r>
          </w:p>
        </w:tc>
        <w:tc>
          <w:tcPr>
            <w:tcW w:w="2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Grand Rapids, MN</w:t>
            </w:r>
          </w:p>
        </w:tc>
        <w:tc>
          <w:tcPr>
            <w:tcW w:w="29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 xml:space="preserve">Steam – Biomass </w:t>
            </w:r>
            <w:r>
              <w:rPr>
                <w:rFonts w:ascii="Arial" w:cs="Arial" w:eastAsia="Arial" w:hAnsi="Arial"/>
                <w:sz w:val="16"/>
                <w:szCs w:val="16"/>
                <w:i w:val="1"/>
                <w:iCs w:val="1"/>
                <w:color w:val="auto"/>
              </w:rPr>
              <w:t>(b)</w:t>
            </w:r>
          </w:p>
        </w:tc>
        <w:tc>
          <w:tcPr>
            <w:tcW w:w="2980" w:type="dxa"/>
            <w:vAlign w:val="bottom"/>
          </w:tcPr>
          <w:p>
            <w:pPr>
              <w:jc w:val="center"/>
              <w:ind w:left="1610"/>
              <w:spacing w:after="0"/>
              <w:rPr>
                <w:sz w:val="20"/>
                <w:szCs w:val="20"/>
                <w:color w:val="auto"/>
              </w:rPr>
            </w:pPr>
            <w:r>
              <w:rPr>
                <w:rFonts w:ascii="Arial" w:cs="Arial" w:eastAsia="Arial" w:hAnsi="Arial"/>
                <w:sz w:val="18"/>
                <w:szCs w:val="18"/>
                <w:color w:val="auto"/>
                <w:w w:val="95"/>
              </w:rPr>
              <w:t>6 &amp; 7</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1969, 1980</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27</w:t>
            </w:r>
          </w:p>
        </w:tc>
      </w:tr>
      <w:tr>
        <w:trPr>
          <w:trHeight w:val="27"/>
        </w:trPr>
        <w:tc>
          <w:tcPr>
            <w:tcW w:w="4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Hydro</w:t>
            </w:r>
          </w:p>
        </w:tc>
        <w:tc>
          <w:tcPr>
            <w:tcW w:w="298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5"/>
              </w:rPr>
              <w:t>4 &amp; 5</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1917, 1948</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w:t>
            </w:r>
          </w:p>
        </w:tc>
      </w:tr>
      <w:tr>
        <w:trPr>
          <w:trHeight w:val="20"/>
        </w:trPr>
        <w:tc>
          <w:tcPr>
            <w:tcW w:w="430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The net generation is primarily dedicated to the needs of one customer.</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Rapids Energy Center’s fuel supply is supplemented by coal.</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regulation under many of these regulations. In response to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to conduct such operations have been obtained. We anticipate that with many state and federal environmental regulations finalized, or to be finalized in the near future, potential expenditures for future environmental matters may be material and may require significant capital investments. Minnesota Power has evaluated various environmental compliance scenarios using possible outcomes of environmental regulations to project power supply trends and impacts on customers.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11. Commitments, Guarantees and Contingencies.)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ALLETE had 1,963 employees, of which 1,917 were full-time.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and SWL&amp;P have an aggregate of 537 employees who are members of the International Brotherhood of Electrical Workers (IBEW) Local 31. The current labor agreements with IBEW Local 31 expire on January 31,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Energy has 174 employees, of which 129 are members of IBEW Local 1593. The current labor agreement with IBEW Local 1593 expires on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makes its SEC filings, including its annual report on Form 10-K, quarterly reports on Form 10-Q, current reports on Form 8-K and any amendments to those reports filed or furnished pursuant to Section 13(e) or 15(d) of the Securities Exchange Act of 1934, available free of charge on ALLETE’s website, www.allete.com, as soon as reasonably practicable after they are electronically filed with or furnished to the SEC.</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2"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3280" w:type="dxa"/>
            <w:vAlign w:val="bottom"/>
          </w:tcPr>
          <w:p>
            <w:pPr>
              <w:spacing w:after="0"/>
              <w:rPr>
                <w:sz w:val="20"/>
                <w:szCs w:val="20"/>
                <w:color w:val="auto"/>
              </w:rPr>
            </w:pPr>
          </w:p>
        </w:tc>
      </w:tr>
      <w:tr>
        <w:trPr>
          <w:trHeight w:val="432"/>
        </w:trPr>
        <w:tc>
          <w:tcPr>
            <w:tcW w:w="8140" w:type="dxa"/>
            <w:vAlign w:val="bottom"/>
          </w:tcPr>
          <w:p>
            <w:pPr>
              <w:spacing w:after="0"/>
              <w:rPr>
                <w:sz w:val="20"/>
                <w:szCs w:val="20"/>
                <w:color w:val="auto"/>
              </w:rPr>
            </w:pPr>
            <w:r>
              <w:rPr>
                <w:rFonts w:ascii="Arial" w:cs="Arial" w:eastAsia="Arial" w:hAnsi="Arial"/>
                <w:sz w:val="18"/>
                <w:szCs w:val="18"/>
                <w:color w:val="auto"/>
              </w:rPr>
              <w:t>As of February 15, 2017, these are the executive officers of ALLETE:</w:t>
            </w:r>
          </w:p>
        </w:tc>
        <w:tc>
          <w:tcPr>
            <w:tcW w:w="3280" w:type="dxa"/>
            <w:vAlign w:val="bottom"/>
          </w:tcPr>
          <w:p>
            <w:pPr>
              <w:spacing w:after="0"/>
              <w:rPr>
                <w:sz w:val="24"/>
                <w:szCs w:val="24"/>
                <w:color w:val="auto"/>
              </w:rPr>
            </w:pPr>
          </w:p>
        </w:tc>
      </w:tr>
      <w:tr>
        <w:trPr>
          <w:trHeight w:val="459"/>
        </w:trPr>
        <w:tc>
          <w:tcPr>
            <w:tcW w:w="8140" w:type="dxa"/>
            <w:vAlign w:val="bottom"/>
          </w:tcPr>
          <w:p>
            <w:pPr>
              <w:ind w:left="40"/>
              <w:spacing w:after="0"/>
              <w:rPr>
                <w:sz w:val="20"/>
                <w:szCs w:val="20"/>
                <w:color w:val="auto"/>
              </w:rPr>
            </w:pPr>
            <w:r>
              <w:rPr>
                <w:rFonts w:ascii="Arial" w:cs="Arial" w:eastAsia="Arial" w:hAnsi="Arial"/>
                <w:sz w:val="18"/>
                <w:szCs w:val="18"/>
                <w:b w:val="1"/>
                <w:bCs w:val="1"/>
                <w:color w:val="auto"/>
              </w:rPr>
              <w:t>Executive Officers</w:t>
            </w:r>
          </w:p>
        </w:tc>
        <w:tc>
          <w:tcPr>
            <w:tcW w:w="3280" w:type="dxa"/>
            <w:vAlign w:val="bottom"/>
          </w:tcPr>
          <w:p>
            <w:pPr>
              <w:ind w:left="1140"/>
              <w:spacing w:after="0"/>
              <w:rPr>
                <w:sz w:val="20"/>
                <w:szCs w:val="20"/>
                <w:color w:val="auto"/>
              </w:rPr>
            </w:pPr>
            <w:r>
              <w:rPr>
                <w:rFonts w:ascii="Arial" w:cs="Arial" w:eastAsia="Arial" w:hAnsi="Arial"/>
                <w:sz w:val="18"/>
                <w:szCs w:val="18"/>
                <w:b w:val="1"/>
                <w:bCs w:val="1"/>
                <w:color w:val="auto"/>
              </w:rPr>
              <w:t>Initial Effective Date</w:t>
            </w:r>
          </w:p>
        </w:tc>
      </w:tr>
      <w:tr>
        <w:trPr>
          <w:trHeight w:val="27"/>
        </w:trPr>
        <w:tc>
          <w:tcPr>
            <w:tcW w:w="81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64"/>
        </w:trPr>
        <w:tc>
          <w:tcPr>
            <w:tcW w:w="8140" w:type="dxa"/>
            <w:vAlign w:val="bottom"/>
          </w:tcPr>
          <w:p>
            <w:pPr>
              <w:spacing w:after="0"/>
              <w:rPr>
                <w:sz w:val="22"/>
                <w:szCs w:val="22"/>
                <w:color w:val="auto"/>
              </w:rPr>
            </w:pPr>
          </w:p>
        </w:tc>
        <w:tc>
          <w:tcPr>
            <w:tcW w:w="3280" w:type="dxa"/>
            <w:vAlign w:val="bottom"/>
          </w:tcPr>
          <w:p>
            <w:pPr>
              <w:spacing w:after="0"/>
              <w:rPr>
                <w:sz w:val="22"/>
                <w:szCs w:val="2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Alan R. Hodnik, Age 57</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Chairman, President and Chief Executive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May 10, 2011</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May 1, 2010</w:t>
            </w:r>
          </w:p>
        </w:tc>
      </w:tr>
      <w:tr>
        <w:trPr>
          <w:trHeight w:val="297"/>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Robert J. Adams, Age 54</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 Energy-Centric Businesses and Chief Risk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November 14, 2015</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Vice President – Energy-Centric Businesses and Chief Risk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June 23, 2014</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Vice President – Business Development and Chief Risk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May 13, 2008</w:t>
            </w:r>
          </w:p>
        </w:tc>
      </w:tr>
      <w:tr>
        <w:trPr>
          <w:trHeight w:val="297"/>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Deborah A. Amberg, Age 51</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Chief Strategy Officer – Regulated Operations and President – SWL&amp;P</w:t>
            </w:r>
          </w:p>
        </w:tc>
        <w:tc>
          <w:tcPr>
            <w:tcW w:w="3280" w:type="dxa"/>
            <w:vAlign w:val="bottom"/>
          </w:tcPr>
          <w:p>
            <w:pPr>
              <w:ind w:left="1140"/>
              <w:spacing w:after="0"/>
              <w:rPr>
                <w:sz w:val="20"/>
                <w:szCs w:val="20"/>
                <w:color w:val="auto"/>
              </w:rPr>
            </w:pPr>
            <w:r>
              <w:rPr>
                <w:rFonts w:ascii="Arial" w:cs="Arial" w:eastAsia="Arial" w:hAnsi="Arial"/>
                <w:sz w:val="18"/>
                <w:szCs w:val="18"/>
                <w:color w:val="auto"/>
              </w:rPr>
              <w:t>November 26, 2016</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General Counsel and Secretary</w:t>
            </w:r>
          </w:p>
        </w:tc>
        <w:tc>
          <w:tcPr>
            <w:tcW w:w="3280" w:type="dxa"/>
            <w:vAlign w:val="bottom"/>
          </w:tcPr>
          <w:p>
            <w:pPr>
              <w:ind w:left="1140"/>
              <w:spacing w:after="0"/>
              <w:rPr>
                <w:sz w:val="20"/>
                <w:szCs w:val="20"/>
                <w:color w:val="auto"/>
              </w:rPr>
            </w:pPr>
            <w:r>
              <w:rPr>
                <w:rFonts w:ascii="Arial" w:cs="Arial" w:eastAsia="Arial" w:hAnsi="Arial"/>
                <w:sz w:val="18"/>
                <w:szCs w:val="18"/>
                <w:color w:val="auto"/>
              </w:rPr>
              <w:t>January 1, 2006</w:t>
            </w:r>
          </w:p>
        </w:tc>
      </w:tr>
      <w:tr>
        <w:trPr>
          <w:trHeight w:val="297"/>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Patrick L. Cutshall, Age 51</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Treasurer</w:t>
            </w:r>
          </w:p>
        </w:tc>
        <w:tc>
          <w:tcPr>
            <w:tcW w:w="3280" w:type="dxa"/>
            <w:vAlign w:val="bottom"/>
          </w:tcPr>
          <w:p>
            <w:pPr>
              <w:ind w:left="1140"/>
              <w:spacing w:after="0"/>
              <w:rPr>
                <w:sz w:val="20"/>
                <w:szCs w:val="20"/>
                <w:color w:val="auto"/>
              </w:rPr>
            </w:pPr>
            <w:r>
              <w:rPr>
                <w:rFonts w:ascii="Arial" w:cs="Arial" w:eastAsia="Arial" w:hAnsi="Arial"/>
                <w:sz w:val="18"/>
                <w:szCs w:val="18"/>
                <w:color w:val="auto"/>
              </w:rPr>
              <w:t>January 1, 2016</w:t>
            </w:r>
          </w:p>
        </w:tc>
      </w:tr>
      <w:tr>
        <w:trPr>
          <w:trHeight w:val="324"/>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Steven Q. DeVinck, Age 57</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March 3, 2014</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Controller and Vice President – Business Support</w:t>
            </w:r>
          </w:p>
        </w:tc>
        <w:tc>
          <w:tcPr>
            <w:tcW w:w="3280" w:type="dxa"/>
            <w:vAlign w:val="bottom"/>
          </w:tcPr>
          <w:p>
            <w:pPr>
              <w:ind w:left="1140"/>
              <w:spacing w:after="0"/>
              <w:rPr>
                <w:sz w:val="20"/>
                <w:szCs w:val="20"/>
                <w:color w:val="auto"/>
              </w:rPr>
            </w:pPr>
            <w:r>
              <w:rPr>
                <w:rFonts w:ascii="Arial" w:cs="Arial" w:eastAsia="Arial" w:hAnsi="Arial"/>
                <w:sz w:val="18"/>
                <w:szCs w:val="18"/>
                <w:color w:val="auto"/>
              </w:rPr>
              <w:t>December 5, 2009</w:t>
            </w:r>
          </w:p>
        </w:tc>
      </w:tr>
      <w:tr>
        <w:trPr>
          <w:trHeight w:val="297"/>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David J. McMillan, Age 55</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 External Affairs</w:t>
            </w:r>
          </w:p>
        </w:tc>
        <w:tc>
          <w:tcPr>
            <w:tcW w:w="3280" w:type="dxa"/>
            <w:vAlign w:val="bottom"/>
          </w:tcPr>
          <w:p>
            <w:pPr>
              <w:ind w:left="1140"/>
              <w:spacing w:after="0"/>
              <w:rPr>
                <w:sz w:val="20"/>
                <w:szCs w:val="20"/>
                <w:color w:val="auto"/>
              </w:rPr>
            </w:pPr>
            <w:r>
              <w:rPr>
                <w:rFonts w:ascii="Arial" w:cs="Arial" w:eastAsia="Arial" w:hAnsi="Arial"/>
                <w:sz w:val="18"/>
                <w:szCs w:val="18"/>
                <w:color w:val="auto"/>
              </w:rPr>
              <w:t>January 1, 2012</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 Marketing, Regulatory and Public Affairs</w:t>
            </w:r>
          </w:p>
        </w:tc>
        <w:tc>
          <w:tcPr>
            <w:tcW w:w="3280" w:type="dxa"/>
            <w:vAlign w:val="bottom"/>
          </w:tcPr>
          <w:p>
            <w:pPr>
              <w:ind w:left="1140"/>
              <w:spacing w:after="0"/>
              <w:rPr>
                <w:sz w:val="20"/>
                <w:szCs w:val="20"/>
                <w:color w:val="auto"/>
              </w:rPr>
            </w:pPr>
            <w:r>
              <w:rPr>
                <w:rFonts w:ascii="Arial" w:cs="Arial" w:eastAsia="Arial" w:hAnsi="Arial"/>
                <w:sz w:val="18"/>
                <w:szCs w:val="18"/>
                <w:color w:val="auto"/>
              </w:rPr>
              <w:t>January 1, 2006</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Executive Vice President – Minnesota Power</w:t>
            </w:r>
          </w:p>
        </w:tc>
        <w:tc>
          <w:tcPr>
            <w:tcW w:w="3280" w:type="dxa"/>
            <w:vAlign w:val="bottom"/>
          </w:tcPr>
          <w:p>
            <w:pPr>
              <w:ind w:left="1140"/>
              <w:spacing w:after="0"/>
              <w:rPr>
                <w:sz w:val="20"/>
                <w:szCs w:val="20"/>
                <w:color w:val="auto"/>
              </w:rPr>
            </w:pPr>
            <w:r>
              <w:rPr>
                <w:rFonts w:ascii="Arial" w:cs="Arial" w:eastAsia="Arial" w:hAnsi="Arial"/>
                <w:sz w:val="18"/>
                <w:szCs w:val="18"/>
                <w:color w:val="auto"/>
              </w:rPr>
              <w:t>January 1, 2006</w:t>
            </w:r>
          </w:p>
        </w:tc>
      </w:tr>
      <w:tr>
        <w:trPr>
          <w:trHeight w:val="297"/>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Steven W. Morris, Age 55</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Vice President, Controller and Chief Accounting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December 24, 2016</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Controller</w:t>
            </w:r>
          </w:p>
        </w:tc>
        <w:tc>
          <w:tcPr>
            <w:tcW w:w="3280" w:type="dxa"/>
            <w:vAlign w:val="bottom"/>
          </w:tcPr>
          <w:p>
            <w:pPr>
              <w:ind w:left="1140"/>
              <w:spacing w:after="0"/>
              <w:rPr>
                <w:sz w:val="20"/>
                <w:szCs w:val="20"/>
                <w:color w:val="auto"/>
              </w:rPr>
            </w:pPr>
            <w:r>
              <w:rPr>
                <w:rFonts w:ascii="Arial" w:cs="Arial" w:eastAsia="Arial" w:hAnsi="Arial"/>
                <w:sz w:val="18"/>
                <w:szCs w:val="18"/>
                <w:color w:val="auto"/>
              </w:rPr>
              <w:t>March 3, 2014</w:t>
            </w:r>
          </w:p>
        </w:tc>
      </w:tr>
      <w:tr>
        <w:trPr>
          <w:trHeight w:val="324"/>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Bradley W. Oachs, Age 59</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and President – Regulated Operations</w:t>
            </w:r>
          </w:p>
        </w:tc>
        <w:tc>
          <w:tcPr>
            <w:tcW w:w="3280" w:type="dxa"/>
            <w:vAlign w:val="bottom"/>
          </w:tcPr>
          <w:p>
            <w:pPr>
              <w:ind w:left="1140"/>
              <w:spacing w:after="0"/>
              <w:rPr>
                <w:sz w:val="20"/>
                <w:szCs w:val="20"/>
                <w:color w:val="auto"/>
              </w:rPr>
            </w:pPr>
            <w:r>
              <w:rPr>
                <w:rFonts w:ascii="Arial" w:cs="Arial" w:eastAsia="Arial" w:hAnsi="Arial"/>
                <w:sz w:val="18"/>
                <w:szCs w:val="18"/>
                <w:color w:val="auto"/>
              </w:rPr>
              <w:t>November 26, 2016</w:t>
            </w:r>
          </w:p>
        </w:tc>
      </w:tr>
      <w:tr>
        <w:trPr>
          <w:trHeight w:val="324"/>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Bethany M. Owen, Age 51</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and Chief Legal and Administrative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November 26, 2016</w:t>
            </w:r>
          </w:p>
        </w:tc>
      </w:tr>
      <w:tr>
        <w:trPr>
          <w:trHeight w:val="27"/>
        </w:trPr>
        <w:tc>
          <w:tcPr>
            <w:tcW w:w="81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of the executive officers have been employed by us for more than five years in executive or management positions. Prior to election to the position listed above, the following executives held other positions with the Company during the past five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Mr. Morris </w:t>
      </w:r>
      <w:r>
        <w:rPr>
          <w:rFonts w:ascii="Arial" w:cs="Arial" w:eastAsia="Arial" w:hAnsi="Arial"/>
          <w:sz w:val="18"/>
          <w:szCs w:val="18"/>
          <w:color w:val="auto"/>
        </w:rPr>
        <w:t>was Director – Accounting.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Mr. Cutshall </w:t>
      </w:r>
      <w:r>
        <w:rPr>
          <w:rFonts w:ascii="Arial" w:cs="Arial" w:eastAsia="Arial" w:hAnsi="Arial"/>
          <w:sz w:val="18"/>
          <w:szCs w:val="18"/>
          <w:color w:val="auto"/>
        </w:rPr>
        <w:t>was Director – Investments and Tax; Director – Investments.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Mr. Oachs </w:t>
      </w:r>
      <w:r>
        <w:rPr>
          <w:rFonts w:ascii="Arial" w:cs="Arial" w:eastAsia="Arial" w:hAnsi="Arial"/>
          <w:sz w:val="18"/>
          <w:szCs w:val="18"/>
          <w:color w:val="auto"/>
        </w:rPr>
        <w:t>was Chief Operating Officer – Minnesota Power.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Ms. Owen </w:t>
      </w:r>
      <w:r>
        <w:rPr>
          <w:rFonts w:ascii="Arial" w:cs="Arial" w:eastAsia="Arial" w:hAnsi="Arial"/>
          <w:sz w:val="18"/>
          <w:szCs w:val="18"/>
          <w:color w:val="auto"/>
        </w:rPr>
        <w:t>was Vice President – Information Technology Solutions and President – SWL&amp;P.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26, 2016, Steven Q. DeVinck announced his retirement from the Company, effective in the spring of 2017. On October 25, 2016, ALLETE announced Robert J. Adams as Senior Vice President and Chief Financial Officer, effective March 4,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0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EXECUTIVE OFFICERS OF THE REGISTRANT (Continued)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21, 2016, the Company named Bradley W. Oachs, as Senior Vice President and President – Regulated Operations, effective November 26, 2016. Since September 12, 2009, Mr. Oachs has held the position of Chief Operating Officer – Minnesota Power. On November 21, 2016, the Company named Bethany M. Owen, as Senior Vice President and Chief Legal and Administrative Officer, effective November 26, 2016. Since June 23, 2014, Ms. Owen has held the position of Vice President – Information Technology Solutions and President – SWL&amp;P. Prior to that she held the positions of Vice President and President – SWL&amp;P from February 2012 through June 2014 and President – SWL&amp;P from August 2010 through February 2012.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executive officers. All officers and directors are elected or appointed annually.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 term of office of the executive officers listed above extends to the first meeting of our Board of Directors after the next annual meeting of shareholders. Both meetings are scheduled for May 9,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and uncertainties discussed below could materially affect our businesses operations, financial position, results of operations and cash flows, and should be carefully considered by stakeholders. The risks and uncertainties in this section are not the only ones we face; additional risks and uncertainties that we are not presently aware of, or that we currently consider immaterial, may also affect our business operations, financial position, results of operations and cash flows. Accordingly, the risks described below should be carefully considered together with other information set forth in this report and in future reports that are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Entity-wide Risks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access to financing sources and capital markets. If we do not have access to sufficient capital in the amounts and at the times needed, our ability to execute our business plans, make capital expenditures or pursue other strategic actions that we may otherwise rely on for future growth could be adversely affected.</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access to financing sources and capital markets as sources of liquidity for capital requirements not satisfied by our cash flow from operations. If we are not able to access capital on satisfactory terms, or at all, the ability to maintain our businesses or to implement our business plans may be adversely affected. Market disruptions or a downgrade of our credit ratings may increase the cost of borrowing or adversely affect our ability to access capital markets. Such disruptions could include a significant economic downturn, the financial distress of non-affiliated electric utility companies or financial services companies, a deterioration in capital market conditions, or volatility in commodity prices.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deterioration in general economic conditions may have adverse impacts on our financial position, results of operations and cash flows.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economic conditions deteriorate on a national or regional level, it may have a negative impact on the Company and our customers. This impact may include volatility and unpredictability in the demand for the products and services offered by our businesses, the loss of existing customers, tempered growth strategies, production cutbacks or bankruptcies. It is also possible that an uncertain economy could affect expenses including pension costs, interest costs, and uncollectible accounts, or lead to reductions in the value of certain real estate and other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impacted by new state or federal legislation or regulations, and compliance could have an adverse effect on our businesses.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and affected by, extensive state and federal legislation and regulation. We believe that our businesses comply with applicable laws and regulations. If it were determined that they failed to comply, we could become subject to fines or penalties or be required to implement additional compliance measures or actions, the cost of which could be material. Adoption of new laws, rules, regulations, principles, or practices by federal or state agencies, or changes to present laws, rules, regulations, principles, or practices and their interpretations, could have an adverse effect on our financial position, results of operations and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0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attract and retain a qualified workforce including, but not limited to, executive officers, key employees and employees with specialized skills, could have an adverse effect on our operations.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success of our business heavily depends on the leadership of our executive officers and key employees to implement our business strategy. The inability to maintain a qualified workforce including, but not limited to, executive officers, key employees and employees with specialized skills, may negatively affect our ability to service our existing or new customers, or successfully manage our business or achieve our business objectives. Personnel costs may increase due to competitive pressures or terms of collective bargaining agreements with union employees.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Market performance and other changes could decrease the value of pension and other postretirement benefit plan assets, which may result in significant additional funding requirements and increased annual expenses.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performance of the capital markets impacts the values of the assets that are held in trust to satisfy future obligations under our pension and other postretirement benefit plans. We have significant obligations to these plans and the trusts hold significant assets. These assets are subject to market fluctuations and will yield uncertain returns, which may fall below our projected rates of return. A decline in the market value of the pension and other postretirement benefit plan assets would increase the funding requirements under our benefit plans if asset returns do not recover. Additionally, our pension and other postretirement benefit plan liabilities are sensitive to changes in interest rates. As interest rates decrease, the liabilities increase, potentially increasing benefit expense and funding requirements. Our pension and other postretirement benefit plan costs are generally recoverable in our electric rates as allowed by our regulators or through our cost-plus fixed fee coal supply agreements at BNI Energy; however, there is no certainty that regulators will continue to allow recovery of these rising costs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significant reputation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and its subsidiaries could suffer negative impacts to their reputations as a result of operational incidents, violations of corporate compliance policies, regulatory violations, or other events which may result in negative customer perception and increased regulatory oversight, each of which could have an adverse effect on our financial position,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Catastrophic events, such as acts of war and natural disasters, may adversely affect our operations.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Catastrophic events such as fires, earthquakes, explosions, floods, ice storms, tornadoes, or similar occurrences could adversely affect the Company’s facilities, operations, financial position, results of operations and cash flows. Although the Company has contingency plans and employs crisis management to respond and recover operations in the event of a severe disruption resulting from such events, these measures may not be successful. Furthermore, despite these measures, if such an occurrence were to occur, our financial position, results of operations and cash flows could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vulnerable to acts of terrorism or cybersecurity attacks.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operations may be targets of terrorist activities, including cybersecurity attacks, which could disrupt our ability to produce or distribute some portion of our products. We could be subject to computer viruses, terrorism, theft and sabotage, which may also disrupt our operations and/or adversely impact our results of operations. Our businesses require the continued operation of sophisticated information technology systems and network infrastructure. Our technology systems may be vulnerable to disability, failures or unauthorized access due to hacking, viruses, acts of war or terrorism and other causes. If our technology systems were to fail or be breached and we were unable to recover in a timely manner, we may be unable to fulfill critical business functions and sensitive, confidential and other data could be compromised, which could have an adverse effect on our financial position, results of operations and cash flows.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Government challenges to our tax positions, as well as tax law changes and the inherent difficulty in quantifying potential tax effects of business decisions, could adversely affect our results of operations and liquidity.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make judgments in order to estimate tax obligations. These judgments include reserves for potential adverse outcomes for tax positions that may be challenged by tax authorities. The obligations, which include income taxes and taxes other than income taxes, involved complex matters that ultimately could be litigated. We also estimate our ability to use tax benefits, including those in the form of carryforwards and tax credits that are recorded as deferred tax assets on our Consolidated Balance Sheet. A disallowance of these tax benefits could have an adverse impact on our financial position, results of operations and cash 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utilize our carryforwards and tax credits in the future to reduce our income tax obligations. If we cannot generate enough taxable income in the future to utilize all of our carryforwards and tax credits before they expire, we may incur adverse charges to earnings. If the Internal Revenue Service disagrees with the deductions resulting from our tax planning strategies, our financial position, results of operations and cash flows may be adversely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Regulated Operations Risks</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Our results of operations could be negatively impacted if our Large Power Customers experience an economic downturn, incur work stoppages, fail to compete effectively in the economy, experience decreased demand or experience a decline in prices for their product.</w:t>
      </w:r>
    </w:p>
    <w:p>
      <w:pPr>
        <w:spacing w:after="0" w:line="14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Minnesota Power’s 9 Large Power Customers accounted for 22 percent of our 2016 consolidated operating revenue (22 percent in 2015; 31 percent in 2014), of which one of these customers accounted for approximately 8 percent of consolidated revenue in 2016 (8 percent in 2015; 12 percent in 2014). These customers are involved in cyclical industries that by their nature are adversely impacted by economic downturns and are subject to strong competition in the marketplace. Many of our Large Power Customers also have unionized workforces which put them at risk for work stoppages. Additionally, the North American paper and pulp industry also faces declining demand due to the impact of electronic substitution for print and changing customer needs.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if our customers experience an economic downturn, incur a work stoppage (including strikes, lock-outs or other events), fail to compete effectively in the economy, experience decreased demand or experience a decline in prices for their product, there could be adverse effects on their operations and, consequently, this could have a negative impact on our results of operations if we are unable to remarket at similar prices the energy that would otherwise have been sold to such Large Power Customers.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utility operations are subject to an extensive legal and regulatory framework under federal and state laws as well as regulations imposed by other organizations that may have a negative impact on our business and results of operations.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subject to an extensive legal and regulatory framework imposed under federal and state law including regulations administered by the FERC, MPUC, MPCA, PSCW, NDPSC and EPA as well as regulations administered by other organizations including the NERC. These laws and regulations relate to allowed rates of return, capital structure, financings, rate and cost structure, acquisition and disposal of assets and facilities, construction and operation of generation, transmission and distribution facilities (including the ongoing maintenance and reliable operation of such facilities), recovery of purchased power costs and capital investments, approval of integrated resource plans and present or prospective wholesale and retail competition, among other things. Energy policy initiatives at the state or federal level could increase incentives for distributed generation, municipal utility ownership, or local initiatives could introduce generation or distribution requirements, that could change the current integrated utility model. Our transmission systems and electric generation facilities are subject to the NERC mandatory reliability standards, including cybersecurity standards. Compliance with these standards may lead to increased operating costs and capital expenditures. If it was determined that we were not in compliance with these mandatory reliability standards or other statutes, rules and orders, we could incur substantial monetary penalties and other sanctions, which could adversely affect our results of operations.</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laws and regulations significantly influence our operations and may affect our ability to recover costs from our customers. We are required to have numerous permits, licenses, approvals and certificates from the agencies and other organizations that regulate our business. We believe we have obtained the necessary permits, licenses, approvals and certificates for our existing operations and that our business is conducted in accordance with applicable laws; however, we are unable to predict the impact on our operating results from the future regulatory activities of any of these agencies and other organizations. Changes in regulations or the adoption of new regulations could have an adverse impact on our results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0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obtain rate adjustments to maintain reasonable rates of return depends upon regulatory action under applicable statutes and regulations, and we cannot provide assurance that rate adjustments will be obtained or reasonable authorized rates of return on capital will be earned. Minnesota Power and SWL&amp;P, from time to time, file general rate cases with, or otherwise seek cost recovery authorization from, federal and state regulatory authorities. If Minnesota Power and SWL&amp;P do not receive an adequate amount of rate relief in general rate cases, including if rates are reduced, if increased rates are not approved on a timely basis or costs are otherwise unable to be recovered through rates, or if cost recovery is not granted at the requested level, we may experience an adverse impact on our financial position, results of operations and cash flows. We are unable to predict the impact on our business and results of operations from future legislation or regulatory activities of any of these agencies or organizations.</w:t>
      </w:r>
    </w:p>
    <w:p>
      <w:pPr>
        <w:spacing w:after="0" w:line="174"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Our operations pose certain environmental risks that could adversely affect our financial position and results of operations, including effects of environmental laws and regulations, physical risks associated with climate change and initiatives designed to reduce the impact of GHG emissions.</w:t>
      </w:r>
    </w:p>
    <w:p>
      <w:pPr>
        <w:spacing w:after="0" w:line="1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subject to extensive environmental laws and regulations affecting many aspects of our present and future operations, including air quality, water quality and usage, waste management, reclamation, hazardous wastes, avian mortality and natural resources. These laws and regulations can result in increased capital expenditures, environmental emission allowance trading, operating and other costs, as a result of compliance, remediation, containment and monitoring obligations, particularly with regard to laws relating to power plant emissions, coal ash, water discharge and wind energy facilities.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could restrict the output of some existing facilities, limit the use of some fuels in the production of electricity, require the installation of additional pollution control equipment, require participation in environmental emission allowance trading, and/or lead to other environmental considerations and costs, which could have an adverse impact on our business, operations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These laws and regulations generally require us to obtain and comply with a wide variety of environmental licenses, permits, inspections and other approvals.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Both governmental authorities and private parties may seek to enforce applicable environmental laws and regulations.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Existing environmental regulations may be revised and new regulations seeking to protect the environment may be adopted or become applicable to us. Revised or additional regulations which result in increased compliance costs or additional operating restrictions, particularly if those costs are not fully recoverable from customers, could have an adverse effect on our results of operations.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scientific community generally accepts that emissions of GHG are linked to global climate change. Physical risks of climate change, such as more frequent or more extreme weather events, changes in temperature and precipitation patterns, changes to ground and surface water availability, and other related phenomena, could affect some, or all, of our operations. Severe weather or other natural disasters could be destructive, which could result in increased costs. An extreme weather event within our utility service areas can also directly affect our capital assets, causing disruption in service to customers due to downed wires and poles or damage to other operating equipment. These all have the potential to adversely affect our business and operations.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Proposals for voluntary initiatives to reduce GHGs such as CO</w:t>
      </w:r>
      <w:r>
        <w:rPr>
          <w:rFonts w:ascii="Arial" w:cs="Arial" w:eastAsia="Arial" w:hAnsi="Arial"/>
          <w:sz w:val="11"/>
          <w:szCs w:val="11"/>
          <w:color w:val="auto"/>
        </w:rPr>
        <w:t>2</w:t>
      </w:r>
      <w:r>
        <w:rPr>
          <w:rFonts w:ascii="Arial" w:cs="Arial" w:eastAsia="Arial" w:hAnsi="Arial"/>
          <w:sz w:val="17"/>
          <w:szCs w:val="17"/>
          <w:color w:val="auto"/>
        </w:rPr>
        <w:t>, a by-product of burning fossil fuels, have been discussed within Minnesota, among a group of Midwestern states that includes Minnesota and in the United States Congress. In 2013, President Obama announced a Climate Action Plan (CAP) that calls for implementation of measures 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 The implementation of the CAP could have an adverse impact on our results of operations if additional capital expenditures and operating costs are required and if those costs are not fully recovered from customers.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2014, the EPA announced a proposed rule under Section 111(d) of the Clean Air Act for existing power plants (CPP). In 2015, the EPA issued the final CPP, together with a proposed federal implementation plan and a model rule for emissions trading. Numerous petitions for review of the rule have been filed with the U.S. Court of Appeals for the District of Columbia Circuit, and the U.S. Supreme Court has stayed the effectiveness of the rule until after the appellate court process is complete. If upheld, the implementation of the CPP could have an adverse impact on our results of operations if additional capital expenditures and operating costs are required and if those costs are not fully recovered from customers. (See Note 11. Commitments, Guarantees and Contingencies.)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0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significant uncertainty regarding whether new laws or regulations will be adopted to reduce GHGs and what affect any such laws or regulations would have on us. In 2016, coal was the primary fuel source for 73 percent of the energy produced by our generating facilities. Future limits on GHG emissions would likely require us to incur significant increases in capital expenditures and operating costs, which if significant enough, could result in the closure of certain coal-fired energy centers, impairment of assets, or otherwise adversely affect our results of operations, particularly if implementation costs are not fully recoverable from customers.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the amount or timing of all future expenditures related to environmental matters because of uncertainty as to applicable regulations or requirements. There is also uncertainty in quantifying liabilities under environmental laws that impose joint and several liability on all potentially responsible parties. Violations of certain environmental statutes, rules and regulations could expose ALLETE to third party disputes and potentially significant monetary penalties, as well as other sanctions for non-compliance.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operation and maintenance of our electric generation and transmission facilities are subject to operational risks that could adversely affect our financial position, results of operations and cash flows.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operation of generating facilities involves many risks, including start-up operations risks, breakdown or failure of facilities, the dependence on a specific fuel source, inadequate fuel supply, availability of fuel transportation, or the impact of unusual or adverse weather conditions or other natural events, as well as the risk of performance below expected levels of output or efficiency. A significant portion of our facilities were constructed many years ago. In particular, older generating equipment, even if maintained in accordance with good engineering practices, may require significant capital expenditures to continue operating at peak efficiency. Generation and transmission facilities and equipment are also likely to require periodic upgrades and improvements due to changing environmental standards and technological advances. We could be subject to costs associated with any unexpected failure to produce and/or deliver power, including failure caused by breakdown or forced outage, as well as repairing damage to facilities due to storms, natural disasters, wars, sabotage, terrorist acts and other catastrophic events.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successfully and timely complete capital improvements to existing facilities or other capital projects is contingent upon many variables.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incur significant capital expenditures in making capital improvements to our existing electric generation facilities and in the development and/or construction of new transmission facilities. Should any such efforts be unsuccessful or not completed in a timely manner, we could be subject to additional costs or impairments which could have an adverse impact on our financial position and results of operation.</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electric generating operations may not have access to adequate and reliable transmission and distribution facilities necessary to deliver electricity to our customers.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on our own transmission and distribution facilities, as well as facilities owned by other utilities, to deliver the electricity produced and sold to our customers, and to other energy suppliers. If transmission capacity is inadequate, our ability to sell and deliver electricity may be limited. We may have to forgo sales or may have to buy more expensive wholesale electricity that is available in the capacity-constrained area. In addition, any infrastructure failure that interrupts or impairs delivery of electricity to our customers could negatively impact the satisfaction of our customers, which could have an adverse impact on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could be impacted by declining wholesale power prices.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Wholesale prices for electricity have declined in recent years primarily due to low natural gas prices. If there are reductions in demand from customers or if we lose customers, we will market any available power to Other Power Suppliers in an effort to mitigate any earnings impact. Sales to Other Power Suppliers are sold at market-based prices into the MISO market on a daily basis or through bilateral agreements of various durations. Due to the low wholesale prices for electricity, we can make no assurances that our power marketing efforts would fully offset any reduction in earnings resulting from the lower demand from existing customers or the loss of customers.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0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electricity and fuel may be volatile.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Volatility in market prices for electricity and fuel could adversely impact our financial position and results of operations and may result from:</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severe or unexpected weather conditions and natural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electricity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transmission or transportation constraints, inoperability or inefficiencies;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competitively priced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supply and demand for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power production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outages at our generating facilities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fuel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production and storage levels of natural gas, lignite, coal, crude oil and refined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wars, sabotage, terrorist acts or other catastrophic events;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local and foreign energy, environmental, or other regulation and legislation.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Fluctuations in our fuel and purchased power costs related to our retail and municipal customers are passed on to customers through the fuel adjustment clause. Volatility in market prices for our fuel and purchase power costs primarily impacts our sales to Other Power Suppliers.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energy may decrease.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results of operations are impacted by the demand for energy in our service territories. There could be lower demand for energy due to a loss of customers as a result of economic conditions, customers constructing their own generation facilities, higher costs and rates charged to customers, or loss of service territory or franchises. Further, the energy conservation and technological advances that increase energy efficiency may temporarily or permanently reduce the demand for energy products. In addition, there are state and federal regulations requiring mandatory conservation measures, which would reduce the demand for energy. Continuing technology improvements and regulatory developments may make customer and third party-owned generation technologies such as rooftop solar systems, wind turbines, microturbines and battery storage systems more cost effective and feasible for more of our customers. If more customers utilize their own generation, demand for energy from us would decline. There may not be future economic growth opportunities that would enable us to replace the lost energy demand from these customers. Therefore, a decrease in demand for energy could adversely impact our financial position, results of operations and cash flows.</w:t>
      </w:r>
    </w:p>
    <w:p>
      <w:pPr>
        <w:spacing w:after="0" w:line="17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may not be able to successfully implement our strategic objectives of growing load at our utilities if current or potential industrial or municipal customers are unable to successfully implement expansion plans, including the inability to obtain necessary governmental permits.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long-term strategy, we pursue new wholesale and retail loads in and around our service territories. Currently, there are several companies in our service territories that are in the process of developing natural resource-based projects that represent long-term growth potential and load diversity for our Regulated Operations businesses. These projects may include construction of new facilities and restarts of old facilities, both of which require permitting and/or approvals to be obtained before the projects can be successfully implemented. If a project does not obtain any necessary governmental (including environmental) permits and approvals or if these customers are unable to successfully implement expansion plans, our long-term strategy and thus our results of operations could be adversely impacted.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0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Infrastructure and Related Services Risks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generation of electricity from ALLETE Clean Energy’s wind energy facilities depends heavily on suitable meteorological conditions.</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 Clean Energy’s facilities are geographically diverse; however, if wind conditions are unfavorable, ALLETE Clean Energy's electricity generation and revenue from its wind energy facilities may be substantially below its expectations. The electricity produced and revenues generated by a wind energy facility are highly dependent on suitable wind conditions and associated weather conditions, which are beyond ALLETE Clean Energy’s control. Furthermore, components of its systems could be damaged by severe weather, such as hailstorms, lightning or tornadoes. In addition, replacement and spare parts for key components of ALLETE Clean Energy’s diverse turbine portfolio may be difficult or costly to acquire or may be unavailable. Unfavorable weather and atmospheric conditions could impair the effectiveness of ALLETE Clean Energy’s assets or reduce their output beneath their rated capacity or require shutdown of key equipment, impeding operation of its wind energy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contracts with its counterparties expire, ALLETE Clean Energy may not be able to replace them with agreements on similar terms.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is party to PSAs under various durations which expire in various years between 2018 and 2032. These PSA expirations are prior to the end of the estimated useful lives of the respective wind energy facilities. If, for any reason, ALLETE Clean Energy is unable to enter into new agreements with existing or new counterparties on similar terms once the current agreements expire, or sell energy in the wholesale market resulting in similar revenue, our financial position, results of operations and cash flows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Counterparties to ALLETE Clean Energy’s offtake agreements may not fulfill their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is party to PSAs under various durations with a limited number of creditworthy counterparties. If, for any reason, any of the counterparties under these agreements are unable or unwilling to fulfill their related contractual obligations, and ALLETE Clean Energy is unable to remarket the energy resulting in similar revenue, our financial position, results of operations and cash flows could be adversely affected.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successfully manage and grow our Energy Infrastructure and Related Services businesses could adversely affect our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Energy Infrastructure and Related Services businesses consist of ALLETE Clean Energy and U.S. Water Services. The Company's strategy for these businesses includes growth through acquisitions, project development for others, and by adding customers, products, and new geographies. This strategy depends, in part, on the Company’s ability to successfully identify and evaluate acquisition opportunities and consummate acquisitions on acceptable terms. The Company may compete with other companies for these acquisition opportunities, which may increase the Company’s cost of making acquisitions and the Company may be unsuccessful in pursuing these acquisition opportunities. These companies may be able to pay more for acquisitions and may be able to identify, evaluate, bid for and purchase a greater number of assets than the Company’s financial or human resources permit. If the Company is unable to execute its strategy of growth through acquisitions, project development for others, and/or the addition of new customers, products and geographies, it may impede our long-term objectives of achieving average annual earnings per share growth of a minimum of 5 percent and providing a dividend payout competitive with our industry.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Acquisitions are subject to uncertainties. If we are unable to successfully integrate and manage future acquisitions or strategic investments, this could have an adverse impact on our results of operations. Our actual results may also differ from our expectations due to factors such as the ability to obtain timely regulatory or governmental approvals, integration and operational issues and the ability to retain management and other key personnel.</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 Water Services principally relies upon recurring revenues from a diverse mix of industrial customers. Some of these customers can be adversely affected by low commodity prices such as those for ethanol and oil which may cause these customers to purchase fewer of U.S. Water Services’ products and services. If U.S. Water Services is unable to retain its existing customers, add new customers, or if it experiences reduced demand for its products and services, adverse impacts on our results of operations could occur that would prevent us from achieving our future growth expectations.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0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 Risks (Continued)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ALLETE has a significant amount of goodwill and intangible assets. A determination that goodwill or intangible assets have been impaired could result in a significant non-cash charge to earnings.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approximately $213 million of goodwill and intangible assets recorded on our Consolidated Balance Sheet as of December 31, 2016, primarily relating to our acquisition of U.S. Water Services in February 2015. If we make changes in our business strategy or if market or other conditions adversely affect the operations of U.S. Water Services, we may be required to record an impairment charge. Declines in projected operating cash flows at U.S. Water Services could also result in an impairment charge. An impairment charge could have an adverse effect on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Risks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Energy may be adversely impacted by its exposure to customer concentration, and environmental laws and regulations.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BNI Energy sells lignite to two electric generating cooperatives, Minnkota Power and Square Butte, and could be adversely impacted if these customers were unable or unwilling to fulfill their related contractual obligations. In addition, BNI Energy and its customers may be adversely impacted by environmental laws and regulations which could have an adverse effect on our financial position, results of operations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 conditions where our legacy Florida real estate investment is located may not improve.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strategy related to the real estate assets of ALLETE Properties incorporates the possibility of a bulk sale of its entire portfolio, in addition to sales over time. However, continued adverse market conditions could impact the timing of land sales, which could result in little to no sales, while still incurring operating expenses such as community development district assessments and property taxes, resulting in continued annual net operating losses at ALLETE Properties. Furthermore, weak market conditions could put the properties at risk for an impairment charge which could adversely impact our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our properties is included in Item 1. Business and is incorporated by reference herein.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Discussions of material regulatory and environmental proceedings are included in Note 4. Regulatory Matters and Note 11. Commitments, Guarantees and Contingencies, and are incorporated by reference herein.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02"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listed on the NYSE under the symbol ALE. We have paid dividends, without interruption, on our common stock since 1948. A quarterly dividend of $0.535 per share on our common stock is payable on March 1, 2017, to the shareholders of record on February 15, 2017. The timing and amount of future dividends will depend upon earnings, cash requirements, the financial condition of the Company, applicable government regulations and other factors deemed relevant by the ALLETE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dividends declared per share, and the high and low prices of our common stock for the periods indicated as reported by the NYSE: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2016</w:t>
            </w:r>
          </w:p>
        </w:tc>
        <w:tc>
          <w:tcPr>
            <w:tcW w:w="1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2015</w:t>
            </w:r>
          </w:p>
        </w:tc>
        <w:tc>
          <w:tcPr>
            <w:tcW w:w="134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Price Range</w:t>
            </w:r>
          </w:p>
        </w:tc>
        <w:tc>
          <w:tcPr>
            <w:tcW w:w="900" w:type="dxa"/>
            <w:vAlign w:val="bottom"/>
          </w:tcPr>
          <w:p>
            <w:pPr>
              <w:spacing w:after="0"/>
              <w:rPr>
                <w:sz w:val="20"/>
                <w:szCs w:val="20"/>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Dividends</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Price Range</w:t>
            </w:r>
          </w:p>
        </w:tc>
        <w:tc>
          <w:tcPr>
            <w:tcW w:w="88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Dividends</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Quarter</w:t>
            </w:r>
          </w:p>
        </w:tc>
        <w:tc>
          <w:tcPr>
            <w:tcW w:w="1880" w:type="dxa"/>
            <w:vAlign w:val="bottom"/>
          </w:tcPr>
          <w:p>
            <w:pPr>
              <w:jc w:val="right"/>
              <w:ind w:right="910"/>
              <w:spacing w:after="0"/>
              <w:rPr>
                <w:sz w:val="20"/>
                <w:szCs w:val="20"/>
                <w:color w:val="auto"/>
              </w:rPr>
            </w:pPr>
            <w:r>
              <w:rPr>
                <w:rFonts w:ascii="Arial" w:cs="Arial" w:eastAsia="Arial" w:hAnsi="Arial"/>
                <w:sz w:val="18"/>
                <w:szCs w:val="18"/>
                <w:b w:val="1"/>
                <w:bCs w:val="1"/>
                <w:color w:val="auto"/>
              </w:rPr>
              <w:t>High</w:t>
            </w: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Low</w:t>
            </w:r>
          </w:p>
        </w:tc>
        <w:tc>
          <w:tcPr>
            <w:tcW w:w="1560" w:type="dxa"/>
            <w:vAlign w:val="bottom"/>
          </w:tcPr>
          <w:p>
            <w:pPr>
              <w:jc w:val="right"/>
              <w:ind w:right="450"/>
              <w:spacing w:after="0"/>
              <w:rPr>
                <w:sz w:val="20"/>
                <w:szCs w:val="20"/>
                <w:color w:val="auto"/>
              </w:rPr>
            </w:pPr>
            <w:r>
              <w:rPr>
                <w:rFonts w:ascii="Arial" w:cs="Arial" w:eastAsia="Arial" w:hAnsi="Arial"/>
                <w:sz w:val="18"/>
                <w:szCs w:val="18"/>
                <w:b w:val="1"/>
                <w:bCs w:val="1"/>
                <w:color w:val="auto"/>
              </w:rPr>
              <w:t>Declared</w:t>
            </w:r>
          </w:p>
        </w:tc>
        <w:tc>
          <w:tcPr>
            <w:tcW w:w="1660" w:type="dxa"/>
            <w:vAlign w:val="bottom"/>
          </w:tcPr>
          <w:p>
            <w:pPr>
              <w:jc w:val="right"/>
              <w:ind w:right="890"/>
              <w:spacing w:after="0"/>
              <w:rPr>
                <w:sz w:val="20"/>
                <w:szCs w:val="20"/>
                <w:color w:val="auto"/>
              </w:rPr>
            </w:pPr>
            <w:r>
              <w:rPr>
                <w:rFonts w:ascii="Arial" w:cs="Arial" w:eastAsia="Arial" w:hAnsi="Arial"/>
                <w:sz w:val="18"/>
                <w:szCs w:val="18"/>
                <w:b w:val="1"/>
                <w:bCs w:val="1"/>
                <w:color w:val="auto"/>
              </w:rPr>
              <w:t>High</w:t>
            </w: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Low</w:t>
            </w: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Declared</w:t>
            </w:r>
          </w:p>
        </w:tc>
      </w:tr>
      <w:tr>
        <w:trPr>
          <w:trHeight w:val="27"/>
        </w:trPr>
        <w:tc>
          <w:tcPr>
            <w:tcW w:w="3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1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$58.34</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$48.26</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$0.52</w:t>
            </w:r>
          </w:p>
        </w:tc>
        <w:tc>
          <w:tcPr>
            <w:tcW w:w="16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$59.73</w:t>
            </w:r>
          </w:p>
        </w:tc>
        <w:tc>
          <w:tcPr>
            <w:tcW w:w="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$51.16</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Second</w:t>
            </w: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$64.69</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$53.47</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0.52</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$52.98</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$46.27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0.505</w:t>
            </w:r>
          </w:p>
        </w:tc>
      </w:tr>
      <w:tr>
        <w:trPr>
          <w:trHeight w:val="27"/>
        </w:trPr>
        <w:tc>
          <w:tcPr>
            <w:tcW w:w="3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1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$65.41</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$52.50</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0.52</w:t>
            </w:r>
          </w:p>
        </w:tc>
        <w:tc>
          <w:tcPr>
            <w:tcW w:w="16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$52.49</w:t>
            </w:r>
          </w:p>
        </w:tc>
        <w:tc>
          <w:tcPr>
            <w:tcW w:w="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$45.29</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Fourth</w:t>
            </w: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$66.92</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$56.48</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0.52</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$52.90</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$47.93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0.505</w:t>
            </w:r>
          </w:p>
        </w:tc>
      </w:tr>
      <w:tr>
        <w:trPr>
          <w:trHeight w:val="27"/>
        </w:trPr>
        <w:tc>
          <w:tcPr>
            <w:tcW w:w="3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Total</w:t>
            </w:r>
          </w:p>
        </w:tc>
        <w:tc>
          <w:tcPr>
            <w:tcW w:w="18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$2.08</w:t>
            </w:r>
          </w:p>
        </w:tc>
        <w:tc>
          <w:tcPr>
            <w:tcW w:w="1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0"/>
        </w:trPr>
        <w:tc>
          <w:tcPr>
            <w:tcW w:w="3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2017, there were approximately 23,000 common stock shareholders of record.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graph compares ALLETE’s cumulative Total Shareholder Return on its common stock with the cumulative return of the S&amp;P 500 Index and the Philadelphia Utility Index. The S&amp;P 500 Index is a capitalization-weighted index of 500 stocks designed to measure performance of the broad domestic economy through changes in the aggregate market value of 500 stocks representing all major industries. Because this composite index has a broad industry base, its performance may not closely track that of a composite index comprised solely of electric utilities. The Philadelphia Utility Index is a capitalization-weighted index of 20 utility companies involved in the generation of electricity.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assume a $100 investment on December 31, 2011, and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14605</wp:posOffset>
            </wp:positionV>
            <wp:extent cx="5257165" cy="411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$102</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$129</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$149</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$143</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$187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$100</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$116</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$154</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$175</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$177</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$198</w:t>
            </w: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Philadelphia Utility Index</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$99</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$110</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$142</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$151</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$177</w:t>
            </w:r>
          </w:p>
        </w:tc>
      </w:tr>
      <w:tr>
        <w:trPr>
          <w:trHeight w:val="27"/>
        </w:trPr>
        <w:tc>
          <w:tcPr>
            <w:tcW w:w="39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02"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Item 6. Selected Financial Data</w:t>
            </w: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4600" w:type="dxa"/>
            <w:vAlign w:val="bottom"/>
          </w:tcPr>
          <w:p>
            <w:pPr>
              <w:spacing w:after="0"/>
              <w:rPr>
                <w:sz w:val="24"/>
                <w:szCs w:val="24"/>
                <w:color w:val="auto"/>
              </w:rPr>
            </w:pP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2012</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Operating Revenue </w:t>
            </w:r>
            <w:r>
              <w:rPr>
                <w:rFonts w:ascii="Arial" w:cs="Arial" w:eastAsia="Arial" w:hAnsi="Arial"/>
                <w:sz w:val="16"/>
                <w:szCs w:val="16"/>
                <w:i w:val="1"/>
                <w:iCs w:val="1"/>
                <w:color w:val="auto"/>
              </w:rPr>
              <w:t>(a)</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$1,339.7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$1,486.4</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$1,136.8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$1,018.4</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$961.2</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6"/>
                <w:szCs w:val="16"/>
                <w:i w:val="1"/>
                <w:iCs w:val="1"/>
                <w:color w:val="auto"/>
              </w:rPr>
              <w:t>(a)</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$1,116.2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$1,275.7</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$948.0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$864.3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$806.0</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$155.8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$141.5</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$125.5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$104.7</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$97.1</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 xml:space="preserve">Less: Non-Controlling Interest in Subsidiaries </w:t>
            </w:r>
            <w:r>
              <w:rPr>
                <w:rFonts w:ascii="Arial" w:cs="Arial" w:eastAsia="Arial" w:hAnsi="Arial"/>
                <w:sz w:val="16"/>
                <w:szCs w:val="16"/>
                <w:i w:val="1"/>
                <w:iCs w:val="1"/>
                <w:color w:val="auto"/>
              </w:rPr>
              <w:t>(b)</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0.5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0.4</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0.7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$155.3</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$141.1</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$124.8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$104.7</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$97.1</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Common Stock Dividends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102.7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97.9</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83.8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75.2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69.1</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Retained in Business</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$52.6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$43.2</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$41.0</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$29.5</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$28.0</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Shares Outstanding</w:t>
            </w:r>
          </w:p>
        </w:tc>
        <w:tc>
          <w:tcPr>
            <w:tcW w:w="18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Year-End</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49.6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49.1</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45.9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41.4</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39.4</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 xml:space="preserve">Average </w:t>
            </w:r>
            <w:r>
              <w:rPr>
                <w:rFonts w:ascii="Arial" w:cs="Arial" w:eastAsia="Arial" w:hAnsi="Arial"/>
                <w:sz w:val="16"/>
                <w:szCs w:val="16"/>
                <w:i w:val="1"/>
                <w:iCs w:val="1"/>
                <w:color w:val="auto"/>
              </w:rPr>
              <w:t>(c)</w:t>
            </w: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49.3</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48.3</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42.9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39.7</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37.6</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49.5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48.4</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43.1</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39.8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37.6</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$3.14</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$2.92</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$2.90</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$2.63</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$2.58</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8"/>
                <w:szCs w:val="18"/>
                <w:i w:val="1"/>
                <w:iCs w:val="1"/>
                <w:color w:val="auto"/>
              </w:rPr>
              <w:t>(d)</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$4,906.4</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$4,894.5</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$4,351.2</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$3,468.7</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$3,245.9</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(d)</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$1,370.4</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$1,556.7</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$1,263.2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$1,074.9</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$926.1</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Return on Common Equity</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8.4%</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8.6%</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8.3%</w:t>
            </w: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 Ratio</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53%</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$2.08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$2.02</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$1.96</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$1.90</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$1.84</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Payout Ratio</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Book Value Per Share at Year-End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$38.17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$37.18</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$35.04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$32.43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$30.50</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by Segment</w:t>
            </w:r>
          </w:p>
        </w:tc>
        <w:tc>
          <w:tcPr>
            <w:tcW w:w="18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Regulated Operations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$121.8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$224.4</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$583.5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$326.3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$418.2</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ALLETE Clean Energy</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106.9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8.6</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U.S. Water Services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2.9</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15.4</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15.9</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Capital Expenditures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$247.8</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$251.8</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$604.3</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$339.5</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 2015, operating revenue and operating expenses included the construction and sale of a wind energy facility from ALLETE Clean Energy to Montana-Dakota Utilities for $197.7 million and $162.9 million, respectively.</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The non-controlling interest related to ALLETE Clean Energy’s Condon wind energy facility was acquired on April 15, 2016. (See Note 6. Acquisitions.)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Excludes unallocated ESOP shares in each of the years 2012 through 2014.</w:t>
      </w:r>
    </w:p>
    <w:p>
      <w:pPr>
        <w:spacing w:after="0" w:line="5" w:lineRule="exact"/>
        <w:rPr>
          <w:rFonts w:ascii="Arial" w:cs="Arial" w:eastAsia="Arial" w:hAnsi="Arial"/>
          <w:sz w:val="16"/>
          <w:szCs w:val="16"/>
          <w:i w:val="1"/>
          <w:iCs w:val="1"/>
          <w:color w:val="auto"/>
        </w:rPr>
      </w:pPr>
    </w:p>
    <w:p>
      <w:pPr>
        <w:jc w:val="both"/>
        <w:ind w:left="340" w:hanging="332"/>
        <w:spacing w:after="0" w:line="250"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 April 2015, the FASB issued revised guidance addressing the presentation requirements for debt issuance costs. Under the revised guidance, all costs incurred to issue debt are to be presented on the Consolidated Balance Sheet as a direct deduction from the carrying amount of that debt liability. This guidance was adopted in the first quarter of 2016 resulting in the reclassification of unamortized debt issuance costs from Other Non-Current Assets to Long-Term Debt on the Consolidated Balance Sheet. The periods presented have been revised for the adoption of the guidance.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0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Form 10-K contain forward-looking information that involves risks and uncertainties. Readers are cautioned that forward-looking statements should be read in conjunction with our disclosures in this Form 10-K under the headings: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located on page 6 and “Risk Factors” located in Item 1A. The risks and uncertainties described in this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We present three reportable segments: Regulated Operations, ALLETE Clean Energy and U.S. Water Services. Our segments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the guidance on segment reporting. We measure performance of our operations through budgeting and monitoring of contributions to consolidated net income by each business segment.</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parts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4. Regulatory Matters.)</w:t>
      </w:r>
    </w:p>
    <w:p>
      <w:pPr>
        <w:spacing w:after="0" w:line="15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four states, approximately 535 MW of nameplate capacity wind energy generation that is from PSAs under various durations. In addition, ALLETE Clean Energy constructed and sold a 107 MW wind energy facility in 2015. On January 3, 2017, ALLETE Clean Energy announced that it will develop another wind energy facility of up to 50 MW after securing a 25</w:t>
      </w:r>
      <w:r>
        <w:rPr>
          <w:rFonts w:ascii="MS PGothic" w:cs="MS PGothic" w:eastAsia="MS PGothic" w:hAnsi="MS PGothic"/>
          <w:sz w:val="18"/>
          <w:szCs w:val="18"/>
          <w:color w:val="auto"/>
        </w:rPr>
        <w:t>‑</w:t>
      </w:r>
      <w:r>
        <w:rPr>
          <w:rFonts w:ascii="Arial" w:cs="Arial" w:eastAsia="Arial" w:hAnsi="Arial"/>
          <w:sz w:val="18"/>
          <w:szCs w:val="18"/>
          <w:color w:val="auto"/>
        </w:rPr>
        <w:t>year PSA. The PSA includes an option for the counterparty to purchase the facility upon development completion; construction is expected to begin in 2018.</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other business development and corporate expenditures, unallocated interest expense, a small amount of non-rate base generation, approximately 5,000 acres of land in Minnesota, and earnings on cash and investments.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2016,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year ended December 31, 2016, to the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ALLETE for 2016 was $155.3 million, or $3.14 per diluted share, compared to $141.1 million, or $2.92 per diluted share, for 2015.</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2016 was impacted by a gain related to the change in fair value of the U.S. Water Services contingent consideration liability, offset by the impact of an adverse November 2016 MPUC order on the allocation of North Dakota investment tax credits, a goodwill impairment charge and expense related to the repayment of long-term debt. Earnings per share dilution in 2016 was $0.07 due to additional shares of common stock outstanding as of December 31,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0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2016 Financial Overview (Continued)</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income for 2015 was impacted by a non-cash impairment charge related to the real estate assets of ALLETE Properties, the recognition of profit for the construction of a wind energy facility sold to Montana-Dakota Utilities and acquisition costs related to U.S. Water Services and ALLETE Clean Energy.</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net income attributable to ALLETE was $135.5 million in 2016, compared to $131.6 million in 2015. Net income for 2016 increased</w:t>
      </w:r>
      <w:r>
        <w:rPr>
          <w:rFonts w:ascii="Arial" w:cs="Arial" w:eastAsia="Arial" w:hAnsi="Arial"/>
          <w:sz w:val="16"/>
          <w:szCs w:val="16"/>
          <w:b w:val="1"/>
          <w:bCs w:val="1"/>
          <w:color w:val="auto"/>
        </w:rPr>
        <w:t xml:space="preserve"> </w:t>
      </w:r>
      <w:r>
        <w:rPr>
          <w:rFonts w:ascii="Arial" w:cs="Arial" w:eastAsia="Arial" w:hAnsi="Arial"/>
          <w:sz w:val="16"/>
          <w:szCs w:val="16"/>
          <w:color w:val="auto"/>
        </w:rPr>
        <w:t>at Minnesota Power primarily due to higher cost recovery rider revenue, production tax credits and FERC formula-based rates, as well as lower operating and maintenance expenses. These increases were partially offset by higher depreciation expense, lower industrial sales and demand revenue, and restoration costs associated with a severe storm in July 2016. Our equity earnings in ATC increased $1.3 million after-tax, or $0.03 per share, in 2016, primarily due to additional investments in ATC and period over period changes in ATC’s estimate of a refund liability related to the MISO return on equity complaints.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ALLETE Clean Energy’s </w:t>
      </w:r>
      <w:r>
        <w:rPr>
          <w:rFonts w:ascii="Arial" w:cs="Arial" w:eastAsia="Arial" w:hAnsi="Arial"/>
          <w:sz w:val="18"/>
          <w:szCs w:val="18"/>
          <w:color w:val="auto"/>
        </w:rPr>
        <w:t>net income attributable to ALLETE was $13.4 million in 2016 compared to $29.9 million in 2015. Net income for 2015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the recognition of profit of $20.4 million after-tax, or $0.42 per share, for the construction of a wind energy facility sold to Montana-Dakota Utilities. In 2015, net income also included $1.8 million after-tax expense, or $0.04 per share, in acquisition costs related to the Chanarambie/Viking and Armenia Mountain wind energy facilities. Net income in 2016 included a $3.3 million after-tax, or $0.07 per share, goodwill impairment charge and a $0.9 million after-tax expense, or $0.02 per share, related to the repayment of long-term debt. Earnings in 2016 earnings were positively impacted by income generated from the operations of wind energy facilities acquired in April and July 2015.</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net income attributable to ALLETE was $1.5 million in 2016, compared to $0.9 million for the period from February 10, 2015,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2015. Net income for 2015 included an additional $1.9 million of after-tax expense, or $0.04 per share, recognized as cost of sales related to purchase accounting for inventories and sales backlog. Net income for 2016 reflects increased investments in back office systems and support at U.S. Water Services as we create a platform for future growth.</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income attributable to ALLETE was $4.9 million in 2016, compared to a net loss of $21.3 million in 2015. Net income in 2016</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an after-tax gain of $13.6 million, or $0.28 per share, related to the change in fair value of the U.S. Water Services contingent consideration liability. Net income in 2016 also included an $8.8 million after-tax, or $0.18 per share, impact of an adverse November 2016 MPUC order on the allocation of North Dakota investment tax credits. (See Note 4. Regulatory Matters.) In 2015, the net loss included a $22.3 million after-tax, or $0.46 per share, non-cash impairment charge relating to the real estate assets of ALLETE Properties and $3.0 million after-tax expense, or $0.06 per share, in acquisition costs related to U.S. Water Services.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Compared to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17. Business Segments for financial results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40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40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20" w:type="dxa"/>
            <w:vAlign w:val="bottom"/>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$1,000.7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$991.2</w:t>
            </w:r>
          </w:p>
        </w:tc>
      </w:tr>
      <w:tr>
        <w:trPr>
          <w:trHeight w:val="243"/>
        </w:trPr>
        <w:tc>
          <w:tcPr>
            <w:tcW w:w="420" w:type="dxa"/>
            <w:vAlign w:val="bottom"/>
          </w:tcPr>
          <w:p>
            <w:pPr>
              <w:spacing w:after="0"/>
              <w:rPr>
                <w:sz w:val="21"/>
                <w:szCs w:val="21"/>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4080" w:type="dxa"/>
            <w:vAlign w:val="bottom"/>
          </w:tcPr>
          <w:p>
            <w:pPr>
              <w:jc w:val="right"/>
              <w:ind w:right="250"/>
              <w:spacing w:after="0"/>
              <w:rPr>
                <w:sz w:val="20"/>
                <w:szCs w:val="20"/>
                <w:color w:val="auto"/>
              </w:rPr>
            </w:pPr>
            <w:r>
              <w:rPr>
                <w:rFonts w:ascii="Arial" w:cs="Arial" w:eastAsia="Arial" w:hAnsi="Arial"/>
                <w:sz w:val="18"/>
                <w:szCs w:val="18"/>
                <w:color w:val="auto"/>
              </w:rPr>
              <w:t>332.9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328.1</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w:t>
            </w:r>
          </w:p>
        </w:tc>
        <w:tc>
          <w:tcPr>
            <w:tcW w:w="4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65.2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43"/>
        </w:trPr>
        <w:tc>
          <w:tcPr>
            <w:tcW w:w="420" w:type="dxa"/>
            <w:vAlign w:val="bottom"/>
          </w:tcPr>
          <w:p>
            <w:pPr>
              <w:spacing w:after="0"/>
              <w:rPr>
                <w:sz w:val="21"/>
                <w:szCs w:val="21"/>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4080" w:type="dxa"/>
            <w:vAlign w:val="bottom"/>
          </w:tcPr>
          <w:p>
            <w:pPr>
              <w:jc w:val="right"/>
              <w:ind w:right="250"/>
              <w:spacing w:after="0"/>
              <w:rPr>
                <w:sz w:val="20"/>
                <w:szCs w:val="20"/>
                <w:color w:val="auto"/>
              </w:rPr>
            </w:pPr>
            <w:r>
              <w:rPr>
                <w:rFonts w:ascii="Arial" w:cs="Arial" w:eastAsia="Arial" w:hAnsi="Arial"/>
                <w:sz w:val="18"/>
                <w:szCs w:val="18"/>
                <w:color w:val="auto"/>
              </w:rPr>
              <w:t>7.0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4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220.7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229.6</w:t>
            </w:r>
          </w:p>
        </w:tc>
      </w:tr>
      <w:tr>
        <w:trPr>
          <w:trHeight w:val="243"/>
        </w:trPr>
        <w:tc>
          <w:tcPr>
            <w:tcW w:w="420" w:type="dxa"/>
            <w:vAlign w:val="bottom"/>
          </w:tcPr>
          <w:p>
            <w:pPr>
              <w:spacing w:after="0"/>
              <w:rPr>
                <w:sz w:val="21"/>
                <w:szCs w:val="21"/>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80" w:type="dxa"/>
            <w:vAlign w:val="bottom"/>
          </w:tcPr>
          <w:p>
            <w:pPr>
              <w:jc w:val="right"/>
              <w:ind w:right="250"/>
              <w:spacing w:after="0"/>
              <w:rPr>
                <w:sz w:val="20"/>
                <w:szCs w:val="20"/>
                <w:color w:val="auto"/>
              </w:rPr>
            </w:pPr>
            <w:r>
              <w:rPr>
                <w:rFonts w:ascii="Arial" w:cs="Arial" w:eastAsia="Arial" w:hAnsi="Arial"/>
                <w:sz w:val="18"/>
                <w:szCs w:val="18"/>
                <w:color w:val="auto"/>
              </w:rPr>
              <w:t>154.3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135.1</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4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47.7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37"/>
        </w:trPr>
        <w:tc>
          <w:tcPr>
            <w:tcW w:w="420" w:type="dxa"/>
            <w:vAlign w:val="bottom"/>
          </w:tcPr>
          <w:p>
            <w:pPr>
              <w:spacing w:after="0"/>
              <w:rPr>
                <w:sz w:val="20"/>
                <w:szCs w:val="20"/>
                <w:color w:val="auto"/>
              </w:rPr>
            </w:pPr>
          </w:p>
        </w:tc>
        <w:tc>
          <w:tcPr>
            <w:tcW w:w="60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Operating Income</w:t>
            </w:r>
          </w:p>
        </w:tc>
        <w:tc>
          <w:tcPr>
            <w:tcW w:w="40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172.9</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190.2</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43"/>
        </w:trPr>
        <w:tc>
          <w:tcPr>
            <w:tcW w:w="420" w:type="dxa"/>
            <w:vAlign w:val="bottom"/>
          </w:tcPr>
          <w:p>
            <w:pPr>
              <w:spacing w:after="0"/>
              <w:rPr>
                <w:sz w:val="21"/>
                <w:szCs w:val="21"/>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Equity Earnings in ATC</w:t>
            </w:r>
          </w:p>
        </w:tc>
        <w:tc>
          <w:tcPr>
            <w:tcW w:w="4080" w:type="dxa"/>
            <w:vAlign w:val="bottom"/>
          </w:tcPr>
          <w:p>
            <w:pPr>
              <w:jc w:val="right"/>
              <w:ind w:right="250"/>
              <w:spacing w:after="0"/>
              <w:rPr>
                <w:sz w:val="20"/>
                <w:szCs w:val="20"/>
                <w:color w:val="auto"/>
              </w:rPr>
            </w:pPr>
            <w:r>
              <w:rPr>
                <w:rFonts w:ascii="Arial" w:cs="Arial" w:eastAsia="Arial" w:hAnsi="Arial"/>
                <w:sz w:val="18"/>
                <w:szCs w:val="18"/>
                <w:color w:val="auto"/>
              </w:rPr>
              <w:t>18.5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7"/>
        </w:trPr>
        <w:tc>
          <w:tcPr>
            <w:tcW w:w="420" w:type="dxa"/>
            <w:vAlign w:val="bottom"/>
          </w:tcPr>
          <w:p>
            <w:pPr>
              <w:spacing w:after="0"/>
              <w:rPr>
                <w:sz w:val="20"/>
                <w:szCs w:val="20"/>
                <w:color w:val="auto"/>
              </w:rPr>
            </w:pPr>
          </w:p>
        </w:tc>
        <w:tc>
          <w:tcPr>
            <w:tcW w:w="60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Income Before Income Taxes</w:t>
            </w:r>
          </w:p>
        </w:tc>
        <w:tc>
          <w:tcPr>
            <w:tcW w:w="40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141.4</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156.0</w:t>
            </w:r>
          </w:p>
        </w:tc>
      </w:tr>
      <w:tr>
        <w:trPr>
          <w:trHeight w:val="27"/>
        </w:trPr>
        <w:tc>
          <w:tcPr>
            <w:tcW w:w="4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37"/>
        </w:trPr>
        <w:tc>
          <w:tcPr>
            <w:tcW w:w="420" w:type="dxa"/>
            <w:vAlign w:val="bottom"/>
          </w:tcPr>
          <w:p>
            <w:pPr>
              <w:spacing w:after="0"/>
              <w:rPr>
                <w:sz w:val="20"/>
                <w:szCs w:val="20"/>
                <w:color w:val="auto"/>
              </w:rPr>
            </w:pPr>
          </w:p>
        </w:tc>
        <w:tc>
          <w:tcPr>
            <w:tcW w:w="60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Income Attributable to ALLETE</w:t>
            </w:r>
          </w:p>
        </w:tc>
        <w:tc>
          <w:tcPr>
            <w:tcW w:w="40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$135.5</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$131.6</w:t>
            </w:r>
          </w:p>
        </w:tc>
      </w:tr>
      <w:tr>
        <w:trPr>
          <w:trHeight w:val="27"/>
        </w:trPr>
        <w:tc>
          <w:tcPr>
            <w:tcW w:w="420" w:type="dxa"/>
            <w:vAlign w:val="bottom"/>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0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2016 Compared to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$9.5 million, or 1 percent, from 2015 primarily due to higher transmission revenue, cost recovery rider revenue, pricing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PSAs with Other Power Suppliers and FERC formula-based rates, partially offset by the impact of an adverse November 2016 MPUC order on the allocation of North Dakota investment tax credits as well as lower conservation improvement program recoveries.</w:t>
      </w:r>
    </w:p>
    <w:p>
      <w:pPr>
        <w:spacing w:after="0" w:line="16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Transmission revenue increased $9.7 million primarily due to period over period changes in our estimate of a refund liability related to MISO return on equity complaints and higher MISO-related revenue. (See </w:t>
      </w:r>
      <w:r>
        <w:rPr>
          <w:rFonts w:ascii="Arial" w:cs="Arial" w:eastAsia="Arial" w:hAnsi="Arial"/>
          <w:sz w:val="18"/>
          <w:szCs w:val="18"/>
          <w:i w:val="1"/>
          <w:iCs w:val="1"/>
          <w:color w:val="auto"/>
        </w:rPr>
        <w:t>Operating Expenses - Transmission Services.</w:t>
      </w:r>
      <w:r>
        <w:rPr>
          <w:rFonts w:ascii="Arial" w:cs="Arial" w:eastAsia="Arial" w:hAnsi="Arial"/>
          <w:sz w:val="18"/>
          <w:szCs w:val="18"/>
          <w:color w:val="auto"/>
        </w:rPr>
        <w:t>)</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Cost recovery rider revenue increased $7.5 million primarily due to the completion of the Boswell Unit 4 environmental upgrade in the fourth quarter of 2015.</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Despite lower kWh sales, revenue increased $4.9 million from 2015 primarily due to higher pricing on PSAs with Other Power Suppliers in 2016. Sales to Other Power Suppliers are sold at market-based prices into the MISO market on a daily basis or through bilateral agreements of various durations. Sales to industrial customers decreased 2.7 percent primarily due to reduced taconite production. In addition, demand revenue from industrial customers was down in 2016 as a result of lower demand nominations.</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Quantity</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Variance</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5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1,102</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1,113</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r>
      <w:tr>
        <w:trPr>
          <w:trHeight w:val="243"/>
        </w:trPr>
        <w:tc>
          <w:tcPr>
            <w:tcW w:w="458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60" w:type="dxa"/>
            <w:vAlign w:val="bottom"/>
          </w:tcPr>
          <w:p>
            <w:pPr>
              <w:jc w:val="right"/>
              <w:ind w:right="290"/>
              <w:spacing w:after="0"/>
              <w:rPr>
                <w:sz w:val="20"/>
                <w:szCs w:val="20"/>
                <w:color w:val="auto"/>
              </w:rPr>
            </w:pPr>
            <w:r>
              <w:rPr>
                <w:rFonts w:ascii="Arial" w:cs="Arial" w:eastAsia="Arial" w:hAnsi="Arial"/>
                <w:sz w:val="18"/>
                <w:szCs w:val="18"/>
                <w:color w:val="auto"/>
              </w:rPr>
              <w:t>1,442</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1,462</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(1.4)</w:t>
            </w:r>
          </w:p>
        </w:tc>
      </w:tr>
      <w:tr>
        <w:trPr>
          <w:trHeight w:val="27"/>
        </w:trPr>
        <w:tc>
          <w:tcPr>
            <w:tcW w:w="4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6,456</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6,635</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(179)</w:t>
            </w: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r>
      <w:tr>
        <w:trPr>
          <w:trHeight w:val="243"/>
        </w:trPr>
        <w:tc>
          <w:tcPr>
            <w:tcW w:w="458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260" w:type="dxa"/>
            <w:vAlign w:val="bottom"/>
          </w:tcPr>
          <w:p>
            <w:pPr>
              <w:jc w:val="right"/>
              <w:ind w:right="290"/>
              <w:spacing w:after="0"/>
              <w:rPr>
                <w:sz w:val="20"/>
                <w:szCs w:val="20"/>
                <w:color w:val="auto"/>
              </w:rPr>
            </w:pPr>
            <w:r>
              <w:rPr>
                <w:rFonts w:ascii="Arial" w:cs="Arial" w:eastAsia="Arial" w:hAnsi="Arial"/>
                <w:sz w:val="18"/>
                <w:szCs w:val="18"/>
                <w:color w:val="auto"/>
              </w:rPr>
              <w:t>816</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833</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(17)</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(2.0)</w:t>
            </w:r>
          </w:p>
        </w:tc>
      </w:tr>
      <w:tr>
        <w:trPr>
          <w:trHeight w:val="27"/>
        </w:trPr>
        <w:tc>
          <w:tcPr>
            <w:tcW w:w="45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9,816</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10,043</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(227)</w:t>
            </w: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w:t>
            </w:r>
          </w:p>
        </w:tc>
      </w:tr>
      <w:tr>
        <w:trPr>
          <w:trHeight w:val="243"/>
        </w:trPr>
        <w:tc>
          <w:tcPr>
            <w:tcW w:w="458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60" w:type="dxa"/>
            <w:vAlign w:val="bottom"/>
          </w:tcPr>
          <w:p>
            <w:pPr>
              <w:jc w:val="right"/>
              <w:ind w:right="290"/>
              <w:spacing w:after="0"/>
              <w:rPr>
                <w:sz w:val="20"/>
                <w:szCs w:val="20"/>
                <w:color w:val="auto"/>
              </w:rPr>
            </w:pPr>
            <w:r>
              <w:rPr>
                <w:rFonts w:ascii="Arial" w:cs="Arial" w:eastAsia="Arial" w:hAnsi="Arial"/>
                <w:sz w:val="18"/>
                <w:szCs w:val="18"/>
                <w:color w:val="auto"/>
              </w:rPr>
              <w:t>4,316</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4,310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0.1</w:t>
            </w:r>
          </w:p>
        </w:tc>
      </w:tr>
      <w:tr>
        <w:trPr>
          <w:trHeight w:val="27"/>
        </w:trPr>
        <w:tc>
          <w:tcPr>
            <w:tcW w:w="45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14,132</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14,353</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(221)</w:t>
            </w: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r>
      <w:tr>
        <w:trPr>
          <w:trHeight w:val="20"/>
        </w:trPr>
        <w:tc>
          <w:tcPr>
            <w:tcW w:w="458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18 percent of consolidated operating revenue in 2016 (17 percent in 2015). Revenue from electric sales to paper, pulp and secondary wood product customers accounted for 6 percent of consolidated operating revenue in 2016 (6 percent in 2015). Revenue from electric sales to pipelines and other industrial customers accounted for 7 percent of consolidated operating revenue in 2016 (6 percent in 2015).</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from wholesale customers under FERC formula-based rates increased $3.8 million primarily due to additional environmental and other investments.</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Revenue decreased $15.0 million due to the impact of an adverse November 2016 MPUC order on the allocation of North Dakota investment tax credits. (See Note 4. Regulatory Matters.)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decreased $4.1 million from 2015 primarily due to a reduction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$26.8 million, or 3 percent, from 2015.</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w:t>
      </w:r>
      <w:r>
        <w:rPr>
          <w:rFonts w:ascii="Arial" w:cs="Arial" w:eastAsia="Arial" w:hAnsi="Arial"/>
          <w:sz w:val="18"/>
          <w:szCs w:val="18"/>
          <w:color w:val="auto"/>
        </w:rPr>
        <w:t>expense increased $4.8 million, or 1 percent, from 2015 primarily due to higher fuel and purchased power prices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2015, partially offset by lower kWh sales in 2016. Fuel and purchased power expense related to retail and municipal customers is recovered through the fuel adjustment clause.</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Transmission Services </w:t>
      </w:r>
      <w:r>
        <w:rPr>
          <w:rFonts w:ascii="Arial" w:cs="Arial" w:eastAsia="Arial" w:hAnsi="Arial"/>
          <w:sz w:val="18"/>
          <w:szCs w:val="18"/>
          <w:color w:val="auto"/>
        </w:rPr>
        <w:t>expense increased $11.1 million, or 21 percent, from 2015 primarily due to higher MISO-related expense and period over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in our estimate of a refund for MISO transmission expense related to MISO return on equity complaints. (See </w:t>
      </w:r>
      <w:r>
        <w:rPr>
          <w:rFonts w:ascii="Arial" w:cs="Arial" w:eastAsia="Arial" w:hAnsi="Arial"/>
          <w:sz w:val="18"/>
          <w:szCs w:val="18"/>
          <w:i w:val="1"/>
          <w:iCs w:val="1"/>
          <w:color w:val="auto"/>
        </w:rPr>
        <w:t>Operating Revenue</w:t>
      </w:r>
      <w:r>
        <w:rPr>
          <w:rFonts w:ascii="Arial" w:cs="Arial" w:eastAsia="Arial" w:hAnsi="Arial"/>
          <w:sz w:val="18"/>
          <w:szCs w:val="18"/>
          <w:color w:val="auto"/>
        </w:rPr>
        <w:t xml:space="preserve"> and Note 4. Regulatory Matters.)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0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2016 Compared to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$8.9 million, or 4 percent, from 2015, primarily due to lower pension and other postretirement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expenses (see Note. 15 Pension and Other Postretirement Benefit Plans), a $3.6 million sales tax refund received in 2016 and a $4.1 million decrease in conservation improvement program expenses. Conservation improvement program expenses are recovered from certain retail customers.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w:t>
      </w:r>
      <w:r>
        <w:rPr>
          <w:rFonts w:ascii="Arial" w:cs="Arial" w:eastAsia="Arial" w:hAnsi="Arial"/>
          <w:sz w:val="18"/>
          <w:szCs w:val="18"/>
          <w:color w:val="auto"/>
        </w:rPr>
        <w:t>) Operating and Maintenance expense included higher storm restoration costs of approximately $3 million related to the severe wind storms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Minnesota Power’s service territory in July 2016.</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$19.2 million, or 14 percent, from 2015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$1.5 million, or 3 percent, from 2015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170"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decreased $1.8 million, or 3 percent, from 2015 primarily due to lower average interest rates. We record interest expense for Regulated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based on Minnesota Power’s rate base and authorized capital structure, and allocate the balance to Corporate and Other.</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increased $2.2 million, or 13 percent, from 2015 primarily due to additional investments in ATC and period over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ATC’s estimate of a refund liability related to MISO return on equity complaints.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$1.3 million, or 38 percent, from 2015 primarily due to lower AFUDC–Equity.</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$18.5 million, or 76 percent, from 2015 due to lower pre-tax income, higher production tax credits and the impact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for an adverse November 2016 MPUC order on the allocation of prior period North Dakota investment tax credits. (See Note 4. Regulatory Matters.) As a result of this outcome, our Regulated Operations reduced operating revenue and recorded a corresponding regulatory liability for $15.0 million in 2016. In addition, our Regulated Operations recorded a tax benefit of $8.8 million and Corporate and Other recorded a corresponding $8.8 million tax expense.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41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$80.5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w:t>
            </w:r>
          </w:p>
        </w:tc>
      </w:tr>
      <w:tr>
        <w:trPr>
          <w:trHeight w:val="243"/>
        </w:trPr>
        <w:tc>
          <w:tcPr>
            <w:tcW w:w="4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4100" w:type="dxa"/>
            <w:vAlign w:val="bottom"/>
          </w:tcPr>
          <w:p>
            <w:pPr>
              <w:jc w:val="right"/>
              <w:ind w:right="170"/>
              <w:spacing w:after="0"/>
              <w:rPr>
                <w:sz w:val="20"/>
                <w:szCs w:val="20"/>
                <w:color w:val="auto"/>
              </w:rPr>
            </w:pPr>
            <w:r>
              <w:rPr>
                <w:rFonts w:ascii="Arial" w:cs="Arial" w:eastAsia="Arial" w:hAnsi="Arial"/>
                <w:sz w:val="18"/>
                <w:szCs w:val="18"/>
                <w:color w:val="auto"/>
              </w:rPr>
              <w:t>$13.4</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$181.6 million from 2015. Operating revenue in 2015 included the recognition of $197.7 million in revenue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of a wind energy facility sold to Montana-Dakota Utilities in 2015. Operating revenue in 2016 was positively impacted by additional revenue generated from the operations of wind energy facilities acquired in April and July 2015.</w:t>
      </w:r>
    </w:p>
    <w:p>
      <w:pPr>
        <w:spacing w:after="0" w:line="20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3"/>
              </w:rPr>
              <w:t>Year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w w:val="95"/>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Facility</w:t>
            </w:r>
          </w:p>
        </w:tc>
        <w:tc>
          <w:tcPr>
            <w:tcW w:w="1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254.7</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$12.8</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265.1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154.8</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10.1</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186.4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96.9</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8.2</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84.1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222.3</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11.6</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230.7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278.8</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13.4</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199.1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268.2</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111.6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Wind Energy Facilities</w:t>
            </w:r>
          </w:p>
        </w:tc>
        <w:tc>
          <w:tcPr>
            <w:tcW w:w="1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1,275.7</w:t>
            </w:r>
          </w:p>
        </w:tc>
        <w:tc>
          <w:tcPr>
            <w:tcW w:w="12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80.5</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1,077.0</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Development Fee </w:t>
            </w:r>
            <w:r>
              <w:rPr>
                <w:rFonts w:ascii="Arial" w:cs="Arial" w:eastAsia="Arial" w:hAnsi="Arial"/>
                <w:sz w:val="16"/>
                <w:szCs w:val="16"/>
                <w:i w:val="1"/>
                <w:iCs w:val="1"/>
                <w:color w:val="auto"/>
              </w:rPr>
              <w:t>(a)</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1,275.7</w:t>
            </w:r>
          </w:p>
        </w:tc>
        <w:tc>
          <w:tcPr>
            <w:tcW w:w="12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$80.5</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1,077.0</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720" w:type="dxa"/>
            <w:vAlign w:val="bottom"/>
          </w:tcPr>
          <w:p>
            <w:pPr>
              <w:ind w:left="560"/>
              <w:spacing w:after="0"/>
              <w:rPr>
                <w:sz w:val="20"/>
                <w:szCs w:val="20"/>
                <w:color w:val="auto"/>
              </w:rPr>
            </w:pPr>
            <w:r>
              <w:rPr>
                <w:rFonts w:ascii="Arial" w:cs="Arial" w:eastAsia="Arial" w:hAnsi="Arial"/>
                <w:sz w:val="16"/>
                <w:szCs w:val="16"/>
                <w:i w:val="1"/>
                <w:iCs w:val="1"/>
                <w:color w:val="auto"/>
              </w:rPr>
              <w:t>(a)  2015 included the recognition of $162.9 million of cost of sales.</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02" w:right="2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2016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02"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2016 Compared to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decreased $16.5 million from 2015. Net income for 2015 included the recognition of profit of $20.4 million after-tax for the construction of a wind energy facility sold to Montana-Dakota Utilities. In 2015, net income also included $1.8 million after-tax expense in acquisition costs related to the Chanarambie/Viking and Armenia Mountain wind energy facilities. Net income in 2016 included a $3.3 million after-tax non-cash goodwill impairment charge (see Note 1. Operations and Significant Accounting Policies) and a $0.9 million after-tax expense related to the repayment of long-term debt. Earnings in 2016 were positively impacted by income generated from the operations of wind energy facilities acquired in April and July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37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78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2580" w:type="dxa"/>
            <w:vAlign w:val="bottom"/>
          </w:tcPr>
          <w:p>
            <w:pPr>
              <w:jc w:val="right"/>
              <w:ind w:right="10"/>
              <w:spacing w:after="0"/>
              <w:rPr>
                <w:sz w:val="20"/>
                <w:szCs w:val="20"/>
                <w:color w:val="auto"/>
              </w:rPr>
            </w:pPr>
            <w:r>
              <w:rPr>
                <w:rFonts w:ascii="Arial" w:cs="Arial" w:eastAsia="Arial" w:hAnsi="Arial"/>
                <w:sz w:val="18"/>
                <w:szCs w:val="18"/>
                <w:b w:val="1"/>
                <w:bCs w:val="1"/>
                <w:color w:val="auto"/>
              </w:rPr>
              <w:t>Period February 10, 2015</w:t>
            </w:r>
          </w:p>
        </w:tc>
      </w:tr>
      <w:tr>
        <w:trPr>
          <w:trHeight w:val="270"/>
        </w:trPr>
        <w:tc>
          <w:tcPr>
            <w:tcW w:w="4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378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 2016</w:t>
            </w:r>
          </w:p>
        </w:tc>
        <w:tc>
          <w:tcPr>
            <w:tcW w:w="2580" w:type="dxa"/>
            <w:vAlign w:val="bottom"/>
          </w:tcPr>
          <w:p>
            <w:pPr>
              <w:jc w:val="right"/>
              <w:ind w:right="10"/>
              <w:spacing w:after="0"/>
              <w:rPr>
                <w:sz w:val="20"/>
                <w:szCs w:val="20"/>
                <w:color w:val="auto"/>
              </w:rPr>
            </w:pPr>
            <w:r>
              <w:rPr>
                <w:rFonts w:ascii="Arial" w:cs="Arial" w:eastAsia="Arial" w:hAnsi="Arial"/>
                <w:sz w:val="18"/>
                <w:szCs w:val="18"/>
                <w:b w:val="1"/>
                <w:bCs w:val="1"/>
                <w:color w:val="auto"/>
              </w:rPr>
              <w:t>Through December 31, 2015</w:t>
            </w:r>
          </w:p>
        </w:tc>
      </w:tr>
      <w:tr>
        <w:trPr>
          <w:trHeight w:val="27"/>
        </w:trPr>
        <w:tc>
          <w:tcPr>
            <w:tcW w:w="4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7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7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$137.5</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r>
      <w:tr>
        <w:trPr>
          <w:trHeight w:val="243"/>
        </w:trPr>
        <w:tc>
          <w:tcPr>
            <w:tcW w:w="420" w:type="dxa"/>
            <w:vAlign w:val="bottom"/>
          </w:tcPr>
          <w:p>
            <w:pPr>
              <w:spacing w:after="0"/>
              <w:rPr>
                <w:sz w:val="21"/>
                <w:szCs w:val="21"/>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378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4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19" w:lineRule="exact"/>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$17.7 million in 2016 compared to the period from February 10, 2015, to December 31, 2015. The results for 2015 reflect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from the date of acquisition, February 10, 2015, through December 31, 2015, and therefore, do not reflect a full year. Revenue from chemical sales and related services, which includes recurring revenue contracts for the delivery and service of chemicals, was $110.5 million in 2016 compared to $92.5 million in 2015. Revenue from equipment and related services, which includes sales of water treatment equipment, was $27.0 million in 2016 compared to $27.3 million in 2015; equipment sales can fluctuate from period to period. U.S. Water Services strives to provide a full</w:t>
      </w:r>
      <w:r>
        <w:rPr>
          <w:rFonts w:ascii="MS PGothic" w:cs="MS PGothic" w:eastAsia="MS PGothic" w:hAnsi="MS PGothic"/>
          <w:sz w:val="17"/>
          <w:szCs w:val="17"/>
          <w:color w:val="auto"/>
        </w:rPr>
        <w:t>‑</w:t>
      </w:r>
      <w:r>
        <w:rPr>
          <w:rFonts w:ascii="Arial" w:cs="Arial" w:eastAsia="Arial" w:hAnsi="Arial"/>
          <w:sz w:val="17"/>
          <w:szCs w:val="17"/>
          <w:color w:val="auto"/>
        </w:rPr>
        <w:t>service product offering to customers including equipment, chemicals, engineering and service.</w:t>
      </w:r>
    </w:p>
    <w:p>
      <w:pPr>
        <w:spacing w:after="0" w:line="203" w:lineRule="exact"/>
        <w:rPr>
          <w:sz w:val="20"/>
          <w:szCs w:val="20"/>
          <w:color w:val="auto"/>
        </w:rPr>
      </w:pPr>
    </w:p>
    <w:p>
      <w:pPr>
        <w:jc w:val="both"/>
        <w:ind w:left="340"/>
        <w:spacing w:after="0" w:line="219" w:lineRule="exact"/>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increased $0.6 million in 2016 compared to the period from February 10, 2015, to December 31, 2015. The results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2015 reflect operations from the date of acquisition, February 10, 2015, through December 31, 2015, and therefore do not reflect a full year. Net income in 2015 included an additional $1.9 million of after</w:t>
      </w:r>
      <w:r>
        <w:rPr>
          <w:rFonts w:ascii="MS PGothic" w:cs="MS PGothic" w:eastAsia="MS PGothic" w:hAnsi="MS PGothic"/>
          <w:sz w:val="18"/>
          <w:szCs w:val="18"/>
          <w:color w:val="auto"/>
        </w:rPr>
        <w:t>‑</w:t>
      </w:r>
      <w:r>
        <w:rPr>
          <w:rFonts w:ascii="Arial" w:cs="Arial" w:eastAsia="Arial" w:hAnsi="Arial"/>
          <w:sz w:val="18"/>
          <w:szCs w:val="18"/>
          <w:color w:val="auto"/>
        </w:rPr>
        <w:t>tax expense recognized as cost of sales related to purchase accounting for inventories and sales backlog which have been fully recognized as of December 31, 2016. Earnings in 2016 reflected increased investments in back office systems and support at U.S. Water Services as we create a platform for future growth.</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$7.7 million, or 7 percent, from 2015 primarily due to an increase in land sales at ALLETE Properties, which sold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Ormond Crossings project and Lake Swamp wetland mitigation bank in 2016. The increase was partially offset by a decrease in revenue at BNI Energy, which operates under cost-plus fixed fee contracts, as a result of lower expenses and fewer tons sold in 2016 compared to 2015.</w:t>
      </w:r>
    </w:p>
    <w:p>
      <w:pPr>
        <w:spacing w:after="0" w:line="13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increased $26.2 million from 2015. Net income in 2016 included an after-tax gain of $13.6 million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in fair value of the U.S. Water Services contingent consideration liability and increased land sales at ALLETE Properties, partially offset by the $8.8 million after-tax impact of an adverse November 2016 MPUC order on the allocation of North Dakota investment tax credits. (</w:t>
      </w:r>
      <w:r>
        <w:rPr>
          <w:rFonts w:ascii="Arial" w:cs="Arial" w:eastAsia="Arial" w:hAnsi="Arial"/>
          <w:sz w:val="18"/>
          <w:szCs w:val="18"/>
          <w:i w:val="1"/>
          <w:iCs w:val="1"/>
          <w:color w:val="auto"/>
        </w:rPr>
        <w:t>Regulated</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 Income Tax Expense.</w:t>
      </w:r>
      <w:r>
        <w:rPr>
          <w:rFonts w:ascii="Arial" w:cs="Arial" w:eastAsia="Arial" w:hAnsi="Arial"/>
          <w:sz w:val="18"/>
          <w:szCs w:val="18"/>
          <w:color w:val="auto"/>
        </w:rPr>
        <w:t>) In 2015, the net loss included a $22.3 million after-tax non-cash impairment charge relating to the real estate assets of</w:t>
      </w:r>
      <w:r>
        <w:rPr>
          <w:rFonts w:ascii="Arial" w:cs="Arial" w:eastAsia="Arial" w:hAnsi="Arial"/>
          <w:sz w:val="18"/>
          <w:szCs w:val="18"/>
          <w:i w:val="1"/>
          <w:iCs w:val="1"/>
          <w:color w:val="auto"/>
        </w:rPr>
        <w:t xml:space="preserve"> </w:t>
      </w:r>
      <w:r>
        <w:rPr>
          <w:rFonts w:ascii="Arial" w:cs="Arial" w:eastAsia="Arial" w:hAnsi="Arial"/>
          <w:sz w:val="18"/>
          <w:szCs w:val="18"/>
          <w:color w:val="auto"/>
        </w:rPr>
        <w:t>ALLETE Properties and $3.0 million after-tax expense in acquisition costs related to U.S. Water Services. Net income at BNI Energy increased to $6.8 million in 2016 compared to $6.7 million in 2015, and net income at ALLETE Properties increased to $0.7 million in 2016 compared to a net loss of $23.3 million in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year ended December 31, 2016, the effective tax rate was 11.3 percent (15.2 percent for the year ended December 31, 2015). The decrease from the year ended December 31, 2015, was primarily due to increased production tax credits in 2016 related to additional wind energy generation. The effective rate deviated from the combined statutory rate of approximately 41 percent primarily due to production tax credits. (See Note 13. Income Tax Expense.)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0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2015 Compared to 2014</w:t>
            </w:r>
          </w:p>
        </w:tc>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color w:val="auto"/>
              </w:rPr>
              <w:t>(See Note 17. Business Segments for financial results by segment.)</w:t>
            </w:r>
          </w:p>
        </w:tc>
        <w:tc>
          <w:tcPr>
            <w:tcW w:w="3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3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54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1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r>
      <w:tr>
        <w:trPr>
          <w:trHeight w:val="27"/>
        </w:trPr>
        <w:tc>
          <w:tcPr>
            <w:tcW w:w="540" w:type="dxa"/>
            <w:vAlign w:val="bottom"/>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$991.2</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$1,003.5</w:t>
            </w:r>
          </w:p>
        </w:tc>
      </w:tr>
      <w:tr>
        <w:trPr>
          <w:trHeight w:val="243"/>
        </w:trPr>
        <w:tc>
          <w:tcPr>
            <w:tcW w:w="54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3120" w:type="dxa"/>
            <w:vAlign w:val="bottom"/>
          </w:tcPr>
          <w:p>
            <w:pPr>
              <w:jc w:val="right"/>
              <w:ind w:right="170"/>
              <w:spacing w:after="0"/>
              <w:rPr>
                <w:sz w:val="20"/>
                <w:szCs w:val="20"/>
                <w:color w:val="auto"/>
              </w:rPr>
            </w:pPr>
            <w:r>
              <w:rPr>
                <w:rFonts w:ascii="Arial" w:cs="Arial" w:eastAsia="Arial" w:hAnsi="Arial"/>
                <w:sz w:val="18"/>
                <w:szCs w:val="18"/>
                <w:color w:val="auto"/>
              </w:rPr>
              <w:t>328.1</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356.1</w:t>
            </w:r>
          </w:p>
        </w:tc>
      </w:tr>
      <w:tr>
        <w:trPr>
          <w:trHeight w:val="27"/>
        </w:trPr>
        <w:tc>
          <w:tcPr>
            <w:tcW w:w="5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w:t>
            </w:r>
          </w:p>
        </w:tc>
        <w:tc>
          <w:tcPr>
            <w:tcW w:w="3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54.1</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r>
      <w:tr>
        <w:trPr>
          <w:trHeight w:val="243"/>
        </w:trPr>
        <w:tc>
          <w:tcPr>
            <w:tcW w:w="54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120" w:type="dxa"/>
            <w:vAlign w:val="bottom"/>
          </w:tcPr>
          <w:p>
            <w:pPr>
              <w:jc w:val="right"/>
              <w:ind w:right="170"/>
              <w:spacing w:after="0"/>
              <w:rPr>
                <w:sz w:val="20"/>
                <w:szCs w:val="20"/>
                <w:color w:val="auto"/>
              </w:rPr>
            </w:pPr>
            <w:r>
              <w:rPr>
                <w:rFonts w:ascii="Arial" w:cs="Arial" w:eastAsia="Arial" w:hAnsi="Arial"/>
                <w:sz w:val="18"/>
                <w:szCs w:val="18"/>
                <w:color w:val="auto"/>
              </w:rPr>
              <w:t>7.9</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17.3</w:t>
            </w:r>
          </w:p>
        </w:tc>
      </w:tr>
      <w:tr>
        <w:trPr>
          <w:trHeight w:val="27"/>
        </w:trPr>
        <w:tc>
          <w:tcPr>
            <w:tcW w:w="5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3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229.6</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240.8</w:t>
            </w:r>
          </w:p>
        </w:tc>
      </w:tr>
      <w:tr>
        <w:trPr>
          <w:trHeight w:val="243"/>
        </w:trPr>
        <w:tc>
          <w:tcPr>
            <w:tcW w:w="54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120" w:type="dxa"/>
            <w:vAlign w:val="bottom"/>
          </w:tcPr>
          <w:p>
            <w:pPr>
              <w:jc w:val="right"/>
              <w:ind w:right="170"/>
              <w:spacing w:after="0"/>
              <w:rPr>
                <w:sz w:val="20"/>
                <w:szCs w:val="20"/>
                <w:color w:val="auto"/>
              </w:rPr>
            </w:pPr>
            <w:r>
              <w:rPr>
                <w:rFonts w:ascii="Arial" w:cs="Arial" w:eastAsia="Arial" w:hAnsi="Arial"/>
                <w:sz w:val="18"/>
                <w:szCs w:val="18"/>
                <w:color w:val="auto"/>
              </w:rPr>
              <w:t>135.1</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118.0</w:t>
            </w:r>
          </w:p>
        </w:tc>
      </w:tr>
      <w:tr>
        <w:trPr>
          <w:trHeight w:val="27"/>
        </w:trPr>
        <w:tc>
          <w:tcPr>
            <w:tcW w:w="5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3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46.2</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r>
      <w:tr>
        <w:trPr>
          <w:trHeight w:val="237"/>
        </w:trPr>
        <w:tc>
          <w:tcPr>
            <w:tcW w:w="540" w:type="dxa"/>
            <w:vAlign w:val="bottom"/>
          </w:tcPr>
          <w:p>
            <w:pPr>
              <w:spacing w:after="0"/>
              <w:rPr>
                <w:sz w:val="20"/>
                <w:szCs w:val="20"/>
                <w:color w:val="auto"/>
              </w:rPr>
            </w:pPr>
          </w:p>
        </w:tc>
        <w:tc>
          <w:tcPr>
            <w:tcW w:w="6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Operating Income</w:t>
            </w:r>
          </w:p>
        </w:tc>
        <w:tc>
          <w:tcPr>
            <w:tcW w:w="3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190.2</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183.8</w:t>
            </w:r>
          </w:p>
        </w:tc>
      </w:tr>
      <w:tr>
        <w:trPr>
          <w:trHeight w:val="27"/>
        </w:trPr>
        <w:tc>
          <w:tcPr>
            <w:tcW w:w="5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43"/>
        </w:trPr>
        <w:tc>
          <w:tcPr>
            <w:tcW w:w="54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Equity Earnings in ATC</w:t>
            </w:r>
          </w:p>
        </w:tc>
        <w:tc>
          <w:tcPr>
            <w:tcW w:w="3120" w:type="dxa"/>
            <w:vAlign w:val="bottom"/>
          </w:tcPr>
          <w:p>
            <w:pPr>
              <w:jc w:val="right"/>
              <w:ind w:right="170"/>
              <w:spacing w:after="0"/>
              <w:rPr>
                <w:sz w:val="20"/>
                <w:szCs w:val="20"/>
                <w:color w:val="auto"/>
              </w:rPr>
            </w:pPr>
            <w:r>
              <w:rPr>
                <w:rFonts w:ascii="Arial" w:cs="Arial" w:eastAsia="Arial" w:hAnsi="Arial"/>
                <w:sz w:val="18"/>
                <w:szCs w:val="18"/>
                <w:color w:val="auto"/>
              </w:rPr>
              <w:t>16.3</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19.6</w:t>
            </w:r>
          </w:p>
        </w:tc>
      </w:tr>
      <w:tr>
        <w:trPr>
          <w:trHeight w:val="27"/>
        </w:trPr>
        <w:tc>
          <w:tcPr>
            <w:tcW w:w="5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r>
      <w:tr>
        <w:trPr>
          <w:trHeight w:val="237"/>
        </w:trPr>
        <w:tc>
          <w:tcPr>
            <w:tcW w:w="540" w:type="dxa"/>
            <w:vAlign w:val="bottom"/>
          </w:tcPr>
          <w:p>
            <w:pPr>
              <w:spacing w:after="0"/>
              <w:rPr>
                <w:sz w:val="20"/>
                <w:szCs w:val="20"/>
                <w:color w:val="auto"/>
              </w:rPr>
            </w:pPr>
          </w:p>
        </w:tc>
        <w:tc>
          <w:tcPr>
            <w:tcW w:w="6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Income Before Income Taxes</w:t>
            </w:r>
          </w:p>
        </w:tc>
        <w:tc>
          <w:tcPr>
            <w:tcW w:w="3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156.0</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162.0</w:t>
            </w:r>
          </w:p>
        </w:tc>
      </w:tr>
      <w:tr>
        <w:trPr>
          <w:trHeight w:val="27"/>
        </w:trPr>
        <w:tc>
          <w:tcPr>
            <w:tcW w:w="5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24.4</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r>
      <w:tr>
        <w:trPr>
          <w:trHeight w:val="237"/>
        </w:trPr>
        <w:tc>
          <w:tcPr>
            <w:tcW w:w="540" w:type="dxa"/>
            <w:vAlign w:val="bottom"/>
          </w:tcPr>
          <w:p>
            <w:pPr>
              <w:spacing w:after="0"/>
              <w:rPr>
                <w:sz w:val="20"/>
                <w:szCs w:val="20"/>
                <w:color w:val="auto"/>
              </w:rPr>
            </w:pPr>
          </w:p>
        </w:tc>
        <w:tc>
          <w:tcPr>
            <w:tcW w:w="6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Income Attributable to ALLETE</w:t>
            </w:r>
          </w:p>
        </w:tc>
        <w:tc>
          <w:tcPr>
            <w:tcW w:w="3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$131.6</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w:t>
            </w:r>
          </w:p>
        </w:tc>
      </w:tr>
      <w:tr>
        <w:trPr>
          <w:trHeight w:val="27"/>
        </w:trPr>
        <w:tc>
          <w:tcPr>
            <w:tcW w:w="540" w:type="dxa"/>
            <w:vAlign w:val="bottom"/>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$12.3 million, or 1 percent, from 2014 primarily due to lower fuel adjustment clause recoveries, gas sales,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incentives under the Minnesota Conservation Improvement Program, partially offset by higher cost recovery rider revenue, kWh sales, FERC formula based rates and transmission revenue.</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Fuel adjustment clause recoveries decreased $37.1 million due to lower fuel and purchased power costs attributable to retail and municipal customers. (See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Gas sales at SWL&amp;P decreased $11.0 million from 2014 primarily as a result of unseasonably cold weather during the first half of 2014 and a warmer than average 2015. (See </w:t>
      </w:r>
      <w:r>
        <w:rPr>
          <w:rFonts w:ascii="Arial" w:cs="Arial" w:eastAsia="Arial" w:hAnsi="Arial"/>
          <w:sz w:val="18"/>
          <w:szCs w:val="18"/>
          <w:i w:val="1"/>
          <w:iCs w:val="1"/>
          <w:color w:val="auto"/>
        </w:rPr>
        <w:t>Cost of Sales.</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Financial incentives under the Minnesota Conservation Improvement Program decreased $2.5 million from 2014 as a result of annual limits placed on recoveries beginning in 2015.</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recovery rider revenue increased $17.8 million primarily due to the completion of Bison and CapX2020 projects as well as higher capital expenditures related to the Boswell Unit 4 environmental upgrade.</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Revenue increased $14.7 million due to a 3.1 percent increase in kWh sales. Sales to Other Power Suppliers are sold at market-based prices into the MISO market on a daily basis or through bilateral agreements of various durations, and increased 48.4 percent in 2015 compared to 2014 primarily due to the commencement of the Minnkota Power PSA in June 2014. (See Note 11. Commitments, Guarantees and Contingencies.) Sales to residential and municipal customers were impacted by unseasonably cold temperatures in 2014 and warmer than average temperatures in 2015. Heating degree days in Duluth, Minnesota, were approximately 16 percent lower in 2015 compared to 2014. Sales to industrial customers decreased 11.4 percent primarily due to reduced taconite production.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0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2015 Compared to 2014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Quantity</w:t>
            </w: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1,113</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1,204</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(7.6)</w:t>
            </w:r>
          </w:p>
        </w:tc>
      </w:tr>
      <w:tr>
        <w:trPr>
          <w:trHeight w:val="243"/>
        </w:trPr>
        <w:tc>
          <w:tcPr>
            <w:tcW w:w="46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1,462</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1,468</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(0.4)</w:t>
            </w:r>
          </w:p>
        </w:tc>
      </w:tr>
      <w:tr>
        <w:trPr>
          <w:trHeight w:val="27"/>
        </w:trPr>
        <w:tc>
          <w:tcPr>
            <w:tcW w:w="4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6,635</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7,487</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(852)</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(11.4)</w:t>
            </w:r>
          </w:p>
        </w:tc>
      </w:tr>
      <w:tr>
        <w:trPr>
          <w:trHeight w:val="243"/>
        </w:trPr>
        <w:tc>
          <w:tcPr>
            <w:tcW w:w="462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833</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864</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(3.6)</w:t>
            </w:r>
          </w:p>
        </w:tc>
      </w:tr>
      <w:tr>
        <w:trPr>
          <w:trHeight w:val="27"/>
        </w:trPr>
        <w:tc>
          <w:tcPr>
            <w:tcW w:w="4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10,043</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11,023</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(980)</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(8.9)</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4,310</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2,904</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1,406</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48.4</w:t>
            </w:r>
          </w:p>
        </w:tc>
      </w:tr>
      <w:tr>
        <w:trPr>
          <w:trHeight w:val="27"/>
        </w:trPr>
        <w:tc>
          <w:tcPr>
            <w:tcW w:w="4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14,353</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13,927</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426</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3.1</w:t>
            </w:r>
          </w:p>
        </w:tc>
      </w:tr>
      <w:tr>
        <w:trPr>
          <w:trHeight w:val="20"/>
        </w:trPr>
        <w:tc>
          <w:tcPr>
            <w:tcW w:w="46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17 percent of consolidated operating revenue in 2015 (25 percent in 2014). Revenue from electric sales to paper, pulp and secondary wood product customers accounted for 6 percent of consolidated operating revenue in 2015 (8 percent in 2014). Revenue from electric sales to pipelines and other industrial customers accounted for 6 percent of consolidated operating revenue in 2015 (7 percent in 2014).</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to wholesale customers under FERC formula based rates increased $6.9 million primarily due to additional renewable, environmental and other investments.</w:t>
      </w:r>
    </w:p>
    <w:p>
      <w:pPr>
        <w:spacing w:after="0" w:line="170"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 xml:space="preserve">Transmission revenue increased $2.7 million primarily due to higher MISO-related revenue, which was partially offset by an estimated refund for MISO transmission revenue due to the MISO return on equity complaints. (See </w:t>
      </w:r>
      <w:r>
        <w:rPr>
          <w:rFonts w:ascii="Arial" w:cs="Arial" w:eastAsia="Arial" w:hAnsi="Arial"/>
          <w:sz w:val="16"/>
          <w:szCs w:val="16"/>
          <w:i w:val="1"/>
          <w:iCs w:val="1"/>
          <w:color w:val="auto"/>
        </w:rPr>
        <w:t>Operating Expenses - Transmission Services</w:t>
      </w:r>
      <w:r>
        <w:rPr>
          <w:rFonts w:ascii="Arial" w:cs="Arial" w:eastAsia="Arial" w:hAnsi="Arial"/>
          <w:sz w:val="16"/>
          <w:szCs w:val="16"/>
          <w:color w:val="auto"/>
        </w:rPr>
        <w:t xml:space="preserve"> and Note 4. Regulatory Matters</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$18.7 million, or 2 percent, from 2014.</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w:t>
      </w:r>
      <w:r>
        <w:rPr>
          <w:rFonts w:ascii="Arial" w:cs="Arial" w:eastAsia="Arial" w:hAnsi="Arial"/>
          <w:sz w:val="18"/>
          <w:szCs w:val="18"/>
          <w:color w:val="auto"/>
        </w:rPr>
        <w:t>expense decreased $28.0 million, or 8 percent, from 2014 primarily due to lower purchased power and fuel prices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2014, partially offset by higher kWh sales in 2015. Fuel and purchased power expense related to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Transmission Services </w:t>
      </w:r>
      <w:r>
        <w:rPr>
          <w:rFonts w:ascii="Arial" w:cs="Arial" w:eastAsia="Arial" w:hAnsi="Arial"/>
          <w:sz w:val="18"/>
          <w:szCs w:val="18"/>
          <w:color w:val="auto"/>
        </w:rPr>
        <w:t>expense increased $8.5 million, or 19 percent, from 2014 primarily due to higher MISO-related expense, which was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offset by an estimated refund for MISO transmission expense due to the MISO return on equity complaints. (See </w:t>
      </w:r>
      <w:r>
        <w:rPr>
          <w:rFonts w:ascii="Arial" w:cs="Arial" w:eastAsia="Arial" w:hAnsi="Arial"/>
          <w:sz w:val="18"/>
          <w:szCs w:val="18"/>
          <w:i w:val="1"/>
          <w:iCs w:val="1"/>
          <w:color w:val="auto"/>
        </w:rPr>
        <w:t>Operating Revenue</w:t>
      </w:r>
      <w:r>
        <w:rPr>
          <w:rFonts w:ascii="Arial" w:cs="Arial" w:eastAsia="Arial" w:hAnsi="Arial"/>
          <w:sz w:val="18"/>
          <w:szCs w:val="18"/>
          <w:color w:val="auto"/>
        </w:rPr>
        <w:t xml:space="preserve"> and Note 4. Regulatory Matters.)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decreased $9.4 million, or 54 percent, from 2014 due to lower purchased gas at SWL&amp;P. (See</w:t>
      </w:r>
      <w:r>
        <w:rPr>
          <w:rFonts w:ascii="Arial" w:cs="Arial" w:eastAsia="Arial" w:hAnsi="Arial"/>
          <w:sz w:val="18"/>
          <w:szCs w:val="18"/>
          <w:i w:val="1"/>
          <w:iCs w:val="1"/>
          <w:color w:val="auto"/>
        </w:rPr>
        <w:t xml:space="preserve"> Operating Revenue.</w:t>
      </w:r>
      <w:r>
        <w:rPr>
          <w:rFonts w:ascii="Arial" w:cs="Arial" w:eastAsia="Arial" w:hAnsi="Arial"/>
          <w:sz w:val="18"/>
          <w:szCs w:val="18"/>
          <w:color w:val="auto"/>
        </w:rPr>
        <w:t>)</w:t>
      </w:r>
    </w:p>
    <w:p>
      <w:pPr>
        <w:spacing w:after="0" w:line="225"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i w:val="1"/>
          <w:iCs w:val="1"/>
          <w:color w:val="auto"/>
        </w:rPr>
        <w:t xml:space="preserve">Operating and Maintenance </w:t>
      </w:r>
      <w:r>
        <w:rPr>
          <w:rFonts w:ascii="Arial" w:cs="Arial" w:eastAsia="Arial" w:hAnsi="Arial"/>
          <w:sz w:val="16"/>
          <w:szCs w:val="16"/>
          <w:color w:val="auto"/>
        </w:rPr>
        <w:t>expense decreased $11.2 million, or 5 percent, from 2014, due to cost reduction efforts and the absence of a $4.2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that was recorded in 2014 to reflect a liability associated with environmental mitigation projects required as part of an EPA notice of violation Consent Decree settlement. Cost reduction efforts resulted in lower wage, vehicle fleet and miscellaneous employee expenses. These reductions were partially offset by increased expense for the operation and maintenance of the 205 MW addition at Bison that went into service in December 2014.</w:t>
      </w:r>
    </w:p>
    <w:p>
      <w:pPr>
        <w:spacing w:after="0" w:line="15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$17.1 million, or 14 percent, from 2014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$4.3 million, or 10 percent, from 2014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 and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$4.7 million, or 10 percent, from 2014 primarily due to higher average long-term debt balances.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0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2015 Compared to 2014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decreased $3.3 million, or 17 percent, from 2014 primarily due to a $5.2 million expense related to the MISO return on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complaints, of which $2.4 million was attributable to ATC’s change in estimate of a refund liability relating to prior years. (See Note 5. Investment in ATC.)</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$4.4 million, or 56 percent, from 2014 primarily due to lower AFUDC–Equity.</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$14.6 million, or 37 percent, from 2014 primarily due to increased production tax credits as a result of the 205 MW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to Bison in December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9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42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9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9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$262.1</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42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Net Income (Loss) Attributable to ALLETE</w:t>
            </w:r>
          </w:p>
        </w:tc>
        <w:tc>
          <w:tcPr>
            <w:tcW w:w="3940" w:type="dxa"/>
            <w:vAlign w:val="bottom"/>
          </w:tcPr>
          <w:p>
            <w:pPr>
              <w:jc w:val="right"/>
              <w:ind w:right="210"/>
              <w:spacing w:after="0"/>
              <w:rPr>
                <w:sz w:val="20"/>
                <w:szCs w:val="20"/>
                <w:color w:val="auto"/>
              </w:rPr>
            </w:pPr>
            <w:r>
              <w:rPr>
                <w:rFonts w:ascii="Arial" w:cs="Arial" w:eastAsia="Arial" w:hAnsi="Arial"/>
                <w:sz w:val="18"/>
                <w:szCs w:val="18"/>
                <w:color w:val="auto"/>
              </w:rPr>
              <w:t>$29.9</w:t>
            </w: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2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$228.9 million from 2014 primarily due to the recognition of $197.7 million of revenue from the construction and sale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energy facility to Montana-Dakota Utilities. The acquisitions of Storm Lake I in December 2014, Chanarambie/Viking in April 2015 and Armenia Mountain in July 2015 also contributed to the increase in revenue in 2015 compared to 2014.</w:t>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3"/>
              </w:rPr>
              <w:t>Year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w w:val="95"/>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Facility</w:t>
            </w:r>
          </w:p>
        </w:tc>
        <w:tc>
          <w:tcPr>
            <w:tcW w:w="1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265.1</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$13.5</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264.7</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186.4</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11.7</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169.4</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84.1</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7.8</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91.5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230.7</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12.1</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9.0</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199.1</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9.8</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111.6</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9.5</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Wind Energy Facilities</w:t>
            </w:r>
          </w:p>
        </w:tc>
        <w:tc>
          <w:tcPr>
            <w:tcW w:w="1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1,077.0</w:t>
            </w:r>
          </w:p>
        </w:tc>
        <w:tc>
          <w:tcPr>
            <w:tcW w:w="12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64.4</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534.6</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Development Fee </w:t>
            </w:r>
            <w:r>
              <w:rPr>
                <w:rFonts w:ascii="Arial" w:cs="Arial" w:eastAsia="Arial" w:hAnsi="Arial"/>
                <w:sz w:val="16"/>
                <w:szCs w:val="16"/>
                <w:i w:val="1"/>
                <w:iCs w:val="1"/>
                <w:color w:val="auto"/>
              </w:rPr>
              <w:t>(a)</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197.7</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1,077.0</w:t>
            </w: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$262.1</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534.6</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720" w:type="dxa"/>
            <w:vAlign w:val="bottom"/>
          </w:tcPr>
          <w:p>
            <w:pPr>
              <w:ind w:left="760"/>
              <w:spacing w:after="0"/>
              <w:rPr>
                <w:sz w:val="20"/>
                <w:szCs w:val="20"/>
                <w:color w:val="auto"/>
              </w:rPr>
            </w:pPr>
            <w:r>
              <w:rPr>
                <w:rFonts w:ascii="Arial" w:cs="Arial" w:eastAsia="Arial" w:hAnsi="Arial"/>
                <w:sz w:val="16"/>
                <w:szCs w:val="16"/>
                <w:i w:val="1"/>
                <w:iCs w:val="1"/>
                <w:color w:val="auto"/>
              </w:rPr>
              <w:t>(a)  2015 included the recognition of $162.9 million of cost of sales.</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spacing w:after="0" w:line="219" w:lineRule="exact"/>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increased $26.6 million from 2014. Net income in 2015 included $20.4 million after</w:t>
      </w:r>
      <w:r>
        <w:rPr>
          <w:rFonts w:ascii="MS PGothic" w:cs="MS PGothic" w:eastAsia="MS PGothic" w:hAnsi="MS PGothic"/>
          <w:sz w:val="18"/>
          <w:szCs w:val="18"/>
          <w:color w:val="auto"/>
        </w:rPr>
        <w:t>‑</w:t>
      </w:r>
      <w:r>
        <w:rPr>
          <w:rFonts w:ascii="Arial" w:cs="Arial" w:eastAsia="Arial" w:hAnsi="Arial"/>
          <w:sz w:val="18"/>
          <w:szCs w:val="18"/>
          <w:color w:val="auto"/>
        </w:rPr>
        <w:t>tax due to the profit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and sale of a wind energy facility to Montana-Dakota Utilities, and $6.9 million related to income generated from the full year of operations of Storm Lake I and the additions of Chanarambie/Viking and Armenia Mountain. Net income in 2015 included $1.8 million after-tax expense in acquisition costs related to the acquisitions of the Chanarambie/Viking and Armenia Mountain wind energy facilities. Net income in 2014 included a $1.4 million after-tax expense in acquisition costs related to the January 2014 acquisition.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02"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2015 Compared to 2014 (Continued)</w:t>
            </w:r>
          </w:p>
        </w:tc>
        <w:tc>
          <w:tcPr>
            <w:tcW w:w="3660" w:type="dxa"/>
            <w:vAlign w:val="bottom"/>
          </w:tcPr>
          <w:p>
            <w:pPr>
              <w:spacing w:after="0"/>
              <w:rPr>
                <w:sz w:val="20"/>
                <w:szCs w:val="20"/>
                <w:color w:val="auto"/>
              </w:rPr>
            </w:pPr>
          </w:p>
        </w:tc>
      </w:tr>
      <w:tr>
        <w:trPr>
          <w:trHeight w:val="432"/>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3660" w:type="dxa"/>
            <w:vAlign w:val="bottom"/>
          </w:tcPr>
          <w:p>
            <w:pPr>
              <w:spacing w:after="0"/>
              <w:rPr>
                <w:sz w:val="24"/>
                <w:szCs w:val="24"/>
                <w:color w:val="auto"/>
              </w:rPr>
            </w:pPr>
          </w:p>
        </w:tc>
      </w:tr>
      <w:tr>
        <w:trPr>
          <w:trHeight w:val="459"/>
        </w:trPr>
        <w:tc>
          <w:tcPr>
            <w:tcW w:w="22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For the Period February 10, 2015 through December 31</w:t>
            </w:r>
          </w:p>
        </w:tc>
        <w:tc>
          <w:tcPr>
            <w:tcW w:w="366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r>
      <w:tr>
        <w:trPr>
          <w:trHeight w:val="27"/>
        </w:trPr>
        <w:tc>
          <w:tcPr>
            <w:tcW w:w="220" w:type="dxa"/>
            <w:vAlign w:val="bottom"/>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60" w:type="dxa"/>
            <w:vAlign w:val="bottom"/>
          </w:tcPr>
          <w:p>
            <w:pPr>
              <w:spacing w:after="0"/>
              <w:rPr>
                <w:sz w:val="20"/>
                <w:szCs w:val="20"/>
                <w:color w:val="auto"/>
              </w:rPr>
            </w:pPr>
          </w:p>
        </w:tc>
      </w:tr>
      <w:tr>
        <w:trPr>
          <w:trHeight w:val="27"/>
        </w:trPr>
        <w:tc>
          <w:tcPr>
            <w:tcW w:w="2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$119.8</w:t>
            </w:r>
          </w:p>
        </w:tc>
      </w:tr>
      <w:tr>
        <w:trPr>
          <w:trHeight w:val="243"/>
        </w:trPr>
        <w:tc>
          <w:tcPr>
            <w:tcW w:w="220" w:type="dxa"/>
            <w:vAlign w:val="bottom"/>
          </w:tcPr>
          <w:p>
            <w:pPr>
              <w:spacing w:after="0"/>
              <w:rPr>
                <w:sz w:val="21"/>
                <w:szCs w:val="21"/>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36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220" w:type="dxa"/>
            <w:vAlign w:val="bottom"/>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was $119.8 million for the period February 10, 2015, through December 31, 2015. Revenue from chemical and related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includes recurring revenue contracts for the delivery and service of chemicals, amounted to $92.5 million for the period February 10, 2015, through December 31, 2015. Revenue from equipment and related services, which includes sales of water treatment equipment, amounted to $27.3 million for the period February 10, 2015, through December 31, 2015. U.S. Water Services strives to provide a full-service product offering to customers including equipment, chemicals, engineering and service.</w:t>
      </w:r>
    </w:p>
    <w:p>
      <w:pPr>
        <w:spacing w:after="0" w:line="18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was $0.9 million for the period February 10, 2015, through December 31, 2015. Net income included $2.2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after-tax expense related to purchase accounting for inventories and sales backlog; the total impact was $2.5 million after-tax, with the remainder recognized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$13.2 million, or 13 percent, from 2014 primarily due to an increase in revenue at BNI Energy, which operates under cost-plus fixed fee contracts, as a result of higher expenses and increased coal delivered in 2015. Increased sales at ALLETE Properties also contributed to the increase.</w:t>
      </w:r>
    </w:p>
    <w:p>
      <w:pPr>
        <w:spacing w:after="0" w:line="15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decreased $19.8 million from 2014 primarily due to a $22.3 million after-tax non-cash impairment charge relating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real estate assets of ALLETE Properties. (See Note 1. Operations and Significant Accounting Policies.) Also contributing to the decrease was a $3.0 million after-tax expense for acquisition costs related to the acquisition of U.S. Water Services. In 2015, results reflected slightly higher net income at BNI Energy.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year ended December 31, 2015, the effective tax rate was 15.2 percent (22.6 percent for the year ended December 31, 2014). The decrease from the year ended December 31, 2014, was primarily due to increased production tax credits in 2015 related to additional wind energy generation. The effective tax rate deviated from the statutory rate of approximately 41 percent primarily due to production tax credits and the deduction for AFUDC– Equity. (See Note 13. Income Tax Expense.)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We believe the following policies are most critical to our business and the understanding of our results of operations.</w:t>
      </w:r>
    </w:p>
    <w:p>
      <w:pPr>
        <w:spacing w:after="0" w:line="18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Regulatory Accounting. </w:t>
      </w:r>
      <w:r>
        <w:rPr>
          <w:rFonts w:ascii="Arial" w:cs="Arial" w:eastAsia="Arial" w:hAnsi="Arial"/>
          <w:sz w:val="16"/>
          <w:szCs w:val="16"/>
          <w:color w:val="auto"/>
        </w:rPr>
        <w:t>Our regulated utility operations are accounted for in accordance with the accounting standards for the effects of certain types of</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These standards require us to reflect the effect of regulatory decisions in our financial statements.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 (See Note 4. Regulatory Matters.)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0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b w:val="1"/>
          <w:bCs w:val="1"/>
          <w:color w:val="auto"/>
        </w:rPr>
        <w:t xml:space="preserve">Pension and Postretirement Health and Life Actuarial Assumptions. </w:t>
      </w:r>
      <w:r>
        <w:rPr>
          <w:rFonts w:ascii="Arial" w:cs="Arial" w:eastAsia="Arial" w:hAnsi="Arial"/>
          <w:sz w:val="17"/>
          <w:szCs w:val="17"/>
          <w:color w:val="auto"/>
        </w:rPr>
        <w:t>We account for our pension and other postretirement benefit obligations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accounting standards for defined benefit pension and other postretirement plans. These standards require the use of several important assumptions, including the expected long-term rate of return on plan assets, the discount rate and mortality assumptions, among others, in determining our obligations and the annual cost of our pension and other postretirement benefits. 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 Our pension asset allocation as of December 31, 2016, was approximately 49 percent equity securities, 39 percent debt, 7 percent private equity and 5 percent real estate. Our postretirement health and life asset allocation as of December 31, 2016, was approximately 60 percent equity securities, 34 percent debt and 6 percent private equity. Equity securities consist of a mix of market capitalization sizes with domestic and international securities. In 2016, we used expected long-term rates of return of 8.00 percent in our actuarial determination of our pension expense and 6.40 percent to 8.00 percent in our actuarial determination of our other postretirement expense. The actuarial determination uses an asset smoothing methodology for actual returns to reduce the volatility of varying investment performance over time. We review our expected long-term rate of return assumption annually and will adjust it to respond to changing market conditions. As a result, we reduced our expected long-term rates of return for 2017 to 7.50 percent in our actuarial determination of our pension expense and 6.00 percent to 7.50 percent in our actuarial determination of our other postretirement expense. A one-quarter percent decrease in the expected long</w:t>
      </w:r>
      <w:r>
        <w:rPr>
          <w:rFonts w:ascii="MS PGothic" w:cs="MS PGothic" w:eastAsia="MS PGothic" w:hAnsi="MS PGothic"/>
          <w:sz w:val="17"/>
          <w:szCs w:val="17"/>
          <w:color w:val="auto"/>
        </w:rPr>
        <w:t>‑</w:t>
      </w:r>
      <w:r>
        <w:rPr>
          <w:rFonts w:ascii="Arial" w:cs="Arial" w:eastAsia="Arial" w:hAnsi="Arial"/>
          <w:sz w:val="17"/>
          <w:szCs w:val="17"/>
          <w:color w:val="auto"/>
        </w:rPr>
        <w:t>term rate of return would increase the annual expense for pension and other postretirement benefits by approximately $1.7 million, pre-tax.</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discount rate is computed using a bond matching study which utilizes a portfolio of high quality bonds that produce cash flows similar to the projected costs of our pension and other postretirement plans. In 2016, we used discount rates of 4.72 percent and 4.73 percent in our actuarial determination of our pension and other postretirement expense, respectively. We review our discount rates annually and will adjust them to respond to changing market conditions. A one-quarter percent decrease in the discount rate would increase the annual expense for pension and other postretirement benefits by approximately $1.2 million, pre-tax.</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mortality assumptions used to calculate our pension and other postretirement benefit obligations as of December 31, 2016, considered a modified RP-2014 mortality table and mortality projection scale. (See Note 15. Pension and Other Postretirement Benefit Plans.)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which include the legacy real estate assets of ALLETE Properties, for indicators of</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in accordance with the accounting standards for property, plant and equipment on a quarterly basis.</w:t>
      </w:r>
    </w:p>
    <w:p>
      <w:pPr>
        <w:spacing w:after="0" w:line="16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long</w:t>
      </w:r>
      <w:r>
        <w:rPr>
          <w:rFonts w:ascii="MS PGothic" w:cs="MS PGothic" w:eastAsia="MS PGothic" w:hAnsi="MS PGothic"/>
          <w:sz w:val="18"/>
          <w:szCs w:val="18"/>
          <w:color w:val="auto"/>
        </w:rPr>
        <w:t>‑</w:t>
      </w:r>
      <w:r>
        <w:rPr>
          <w:rFonts w:ascii="Arial" w:cs="Arial" w:eastAsia="Arial" w:hAnsi="Arial"/>
          <w:sz w:val="18"/>
          <w:szCs w:val="18"/>
          <w:color w:val="auto"/>
        </w:rPr>
        <w:t>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maintain the operations.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Real Estate Assets. </w:t>
      </w:r>
      <w:r>
        <w:rPr>
          <w:rFonts w:ascii="Arial" w:cs="Arial" w:eastAsia="Arial" w:hAnsi="Arial"/>
          <w:sz w:val="17"/>
          <w:szCs w:val="17"/>
          <w:color w:val="auto"/>
        </w:rPr>
        <w:t>In recent years, market conditions for real estate in Florida have required us to review our land inventories for impairment. In 2015,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reevaluated its strategy related to the real estate assets of ALLETE Properties in response to market conditions and transaction activity. The revised strategy incorporated the possibility of a bulk sale of its entire portfolio which, if consummated, would likely result in sales proceeds below the book value of the real estate assets. Proceeds from such a sale would be strategically deployed to support growth in our energy infrastructure and related services businesses. ALLETE Properties also continues to pursue sales of individual parcels over time. ALLETE Properties will continue to maintain key entitlements and infrastructure without making additional investments or acquisitions.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implementing the revised strategy, management evaluated its impairment analysis for its real estate assets using updated assumptions to determine estimated future net cash flows on an undiscounted basis. Estimated fair values were based upon current market data and pricing for individual parcels. Our impairment analysis incorporates a probability-weighted approach considering the alternative courses of sales noted above.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0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results of the 2015 undiscounted cash flow analysis, the undiscounted future net cash flows were not adequate to recover the carrying value of the real estate assets leading to an adjustment of carrying value to estimated fair value. Estimated fair value was derived using Level 3 inputs, including current market interest in the property for a bulk sale of its entire portfolio, and discounted cash flow analysis of estimated selling price for sales over time. As a result, a non-cash impairment charge of $36.3 million was recorded in 2015 to reduce the carrying value of the real estate to its estimated fair value.</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2016 and 2014, impairment analyses of estimated undiscounted future net cash flows were conducted and indicated that the cash flows were adequate to recover the carrying value of ALLETE Properties real estate assets. As a result, no impairment was recorded in 2016 or 2014.</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We are required to make judgments regarding the potential tax effects of various financial transactions and our ongoing operations to estimate our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to taxing authorities. These tax obligations include income, real estate and sales/use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assets will not be realized.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taxes in various jurisdictions. We make assumptions and judgments each reporting period to estimate our income tax assets, liabilities, benefits, and expenses. Judgments and assumptions are supported by historical data and reasonable projections. Our assumptions and judgments include the application of tax statutes and regulations, and projections of future federal taxable income, state taxable income, and state apportionment to determine our ability to utilize NOL and credit carryforwards prior to their expiration. Significant changes in assumptions regarding future federal and state taxable income or a change in tax rates could require new or increased valuation allowances which could result in a material impact on our results of operations.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Valuation of Goodwill and Intangible Assets. </w:t>
      </w:r>
      <w:r>
        <w:rPr>
          <w:rFonts w:ascii="Arial" w:cs="Arial" w:eastAsia="Arial" w:hAnsi="Arial"/>
          <w:sz w:val="17"/>
          <w:szCs w:val="17"/>
          <w:color w:val="auto"/>
        </w:rPr>
        <w:t>When we acquire a business, the assets acquired and liabilities assumed are recorded at their respective fair</w:t>
      </w:r>
      <w:r>
        <w:rPr>
          <w:rFonts w:ascii="Arial" w:cs="Arial" w:eastAsia="Arial" w:hAnsi="Arial"/>
          <w:sz w:val="17"/>
          <w:szCs w:val="17"/>
          <w:b w:val="1"/>
          <w:bCs w:val="1"/>
          <w:color w:val="auto"/>
        </w:rPr>
        <w:t xml:space="preserve"> </w:t>
      </w:r>
      <w:r>
        <w:rPr>
          <w:rFonts w:ascii="Arial" w:cs="Arial" w:eastAsia="Arial" w:hAnsi="Arial"/>
          <w:sz w:val="17"/>
          <w:szCs w:val="17"/>
          <w:color w:val="auto"/>
        </w:rPr>
        <w:t>values as of the acquisition date. Determining the fair value of intangible assets acquired as part of a business combination requires us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intangible assets is determined by estimating the future cash flows of each project and discounting the net cash flows back to their present values. The discount rate used is determined at the time of measurement in accordance with accepted valuation standards.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the excess of the purchase price (consideration transferred) over the estimated fair value of net assets of acquired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GAAP, goodwill is not amortized. The Company assesses whether there has been an impairment of goodwill annually in the fourth quarter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Our estimates associated with the goodwill impairment test are considered critical due to the amount of goodwill recorded on our Consolidated Balance Sheet and the judgment required in determining fair value, including projected future cash flows. The results of our annual impairment test are discussed in Note 1. Operations and Significant Accounting Policies and Note 9. Fair Value in this Form 10-K. Goodwill was $131.2 million and $130.6 million as of December 31, 2016, and December 31, 2015, respectively.</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Intangible assets include customer relationships, patents, non-compete agreements and trademarks and trade names. Intangible assets with</w:t>
      </w:r>
      <w:r>
        <w:rPr>
          <w:rFonts w:ascii="Arial" w:cs="Arial" w:eastAsia="Arial" w:hAnsi="Arial"/>
          <w:sz w:val="16"/>
          <w:szCs w:val="16"/>
          <w:i w:val="1"/>
          <w:iCs w:val="1"/>
          <w:color w:val="auto"/>
        </w:rPr>
        <w:t xml:space="preserve"> </w:t>
      </w:r>
      <w:r>
        <w:rPr>
          <w:rFonts w:ascii="Arial" w:cs="Arial" w:eastAsia="Arial" w:hAnsi="Arial"/>
          <w:sz w:val="16"/>
          <w:szCs w:val="16"/>
          <w:color w:val="auto"/>
        </w:rPr>
        <w:t>definite lives consist of customer relationships, patents, and non-compete agreements, which are amortized on a straight-line or accelerated basis with estimated useful lives ranging from approximately 2 years to approximately 21 years. We review definite-lived intangible assets for impairment whenever events or circumstances indicate that the carrying amount of an asset may not be recoverable. Indefinite-lived intangible assets consist of trademarks and trade names, which are tested for impairment annually in the fourth quarter and whenever an event occurs or circumstances change that would indicate that the carrying amount may be impaired. Impairment is calculated as the excess of the asset’s carrying amount over its fair value. Our impairment reviews are based on an estimated future cash flow approach that requires significant judgment with respect to future revenue and expense growth rates, selection of an appropriate discount rate, and other assumptions and estimates. We use estimates that are consistent with our business plans and a market participant view of the assets being evaluated. The results of our annual impairment test are discussed in Note 9. Fair Value in this Form 10-K. Intangible assets, net of accumulated amortization, were $82.2 million and $84.6 million as of December 31, 2016, and December 31, 2015, respectively.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0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long-term objectives of achieving average annual earnings per share growth of a minimum of five percent and providing a dividend payout competitive with our industry.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businesses to complement its regulated businesses, balance exposure to the utility’s industrial customers, and provide potential long-term earnings growth. ALLETE expects net income from Regulated Operations to be approximately 85 percent to 90 percent of total consolidated net income in 2017. Over the next several years, the contribution of the Energy Infrastructure and Related Services businesses to net income is expected to increase as ALLETE grows these operations. ALLETE expects its businesses to provide regulated, contracted or recurring revenues, and to support sustained growth in net income and cash flow.</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Minnesota Power’s long-term strategy is to be the leading electric energy provider in northeastern Minnesota by providing safe,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8"/>
          <w:szCs w:val="18"/>
          <w:i w:val="1"/>
          <w:iCs w:val="1"/>
          <w:color w:val="auto"/>
        </w:rPr>
        <w:t>EnergyForward.</w:t>
      </w:r>
      <w:r>
        <w:rPr>
          <w:rFonts w:ascii="Arial" w:cs="Arial" w:eastAsia="Arial" w:hAnsi="Arial"/>
          <w:sz w:val="18"/>
          <w:szCs w:val="18"/>
          <w:color w:val="auto"/>
        </w:rPr>
        <w:t>)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regulators to earn a fair rate of return.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our Minnesota, FERC, Wisconsin and North Dakota jurisdictions.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2016 Minnesota General Rate Case. </w:t>
      </w:r>
      <w:r>
        <w:rPr>
          <w:rFonts w:ascii="Arial" w:cs="Arial" w:eastAsia="Arial" w:hAnsi="Arial"/>
          <w:sz w:val="16"/>
          <w:szCs w:val="16"/>
          <w:color w:val="auto"/>
        </w:rPr>
        <w:t>On November 2, 2016, Minnesota Power filed a retail rate increase request with the MPUC seeking an average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approximately 9 percent for retail customers. The rate filing seeks a return on equity of 10.25 percent and a 53.8 percent equity ratio. On an annualized basis, the requested final rate increase would generate approximately $55 million in additional revenue. On December 12, 2016, due to a change in its electric sales forecast, Minnesota Power filed a request to modify its original interim rate proposal reducing its requested interim rate increase to $34.7 million from the original request of approximately $49 million; Minnesota Power will file to update its final retail rate increase request by February 28, 2017, and expects the final retail rate increase request to decrease similar to the interim rate proposal. In orders dated December 30, 2016, the MPUC accepted the filing as complete and authorized an annual interim rate increase of $34.7 million beginning January 1, 2017. As part of this rate increase request, we are seeking an extension of the recovery period for Boswell to better reflect recent environmental investments at the facility and mitigate rate increases for our customers. If approved, annual depreciation expense will be reduced by approximately $25 million. If the requested recovery period extension is not approved, we would expect final rates to be increased by a similar amount. We cannot predict the level of final rates that may be authorized by the MPUC.</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2016 Wisconsin General Rate Case. </w:t>
      </w:r>
      <w:r>
        <w:rPr>
          <w:rFonts w:ascii="Arial" w:cs="Arial" w:eastAsia="Arial" w:hAnsi="Arial"/>
          <w:sz w:val="17"/>
          <w:szCs w:val="17"/>
          <w:color w:val="auto"/>
        </w:rPr>
        <w:t>On June 28, 2016, SWL&amp;P filed a rate increase request with the PSCW requesting an average overall increase of 3.1</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for retail customers (a 3.5 percent increase in electric rates, a 1.3 percent decrease in natural gas rates and a 7.8 percent increase in water rates). The rate filing seeks an overall return on equity of 10.9 percent and a 55 percent equity ratio. On an annualized basis, the requested rate increase would generate approximately $2.7 million in additional revenue. Hearings are expected to be scheduled in the first half of 2017. The Company anticipates new rates will take effect during the second quarter of 2017. We cannot predict the level of rates that may be approved by the PSCW.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Industrial Customers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power is one of several key inputs in the taconite mining, iron concentrate, paper, pulp and secondary wood products,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industries. Approximately 45 percent of our regulated utility kWh sales in 2016 (46 percent in 2015) were made to our industrial customers in these industries. We expect industrial sales of approximately 7.0 million to 7.5 million MWh in 2017 (6.5 million MWh in 2016; 6.6 million MWh in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0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Taconite and Iron Concentrate</w:t>
      </w:r>
      <w:r>
        <w:rPr>
          <w:rFonts w:ascii="Arial" w:cs="Arial" w:eastAsia="Arial" w:hAnsi="Arial"/>
          <w:sz w:val="17"/>
          <w:szCs w:val="17"/>
          <w:color w:val="auto"/>
        </w:rPr>
        <w:t xml:space="preserve">. Minnesota Power provides electric service to six taconite facilities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 Minnesota Power also provides electric service to three iron concentrate facilities capable of producing up to approximately 4 million tons of iron concentrate per year. Iron concentrate is used in the production of taconite pellets. These iron concentrate facilities are owned in whole, or in part, by Magnetation and are not currently operating. (See </w:t>
      </w:r>
      <w:r>
        <w:rPr>
          <w:rFonts w:ascii="Arial" w:cs="Arial" w:eastAsia="Arial" w:hAnsi="Arial"/>
          <w:sz w:val="17"/>
          <w:szCs w:val="17"/>
          <w:i w:val="1"/>
          <w:iCs w:val="1"/>
          <w:color w:val="auto"/>
        </w:rPr>
        <w:t>Magnetation</w:t>
      </w:r>
      <w:r>
        <w:rPr>
          <w:rFonts w:ascii="Arial" w:cs="Arial" w:eastAsia="Arial" w:hAnsi="Arial"/>
          <w:sz w:val="17"/>
          <w:szCs w:val="17"/>
          <w:color w:val="auto"/>
        </w:rPr>
        <w: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71 percent of capacity in 2016 (71 percent in 2015 and 77 percent in 2014). Many steel producers reduced production in 2015, citing higher levels of imports and lower prices. Some Minnesota taconite and iron concentrate producers reduced production in 2015 in response to declining U.S. steel production. There is a natural lag between U.S. steel consumption and Minnesota taconite production. The high level of imports and lower prices in 2015 continued to impact Minnesota taconite production with an estimated 28 million tons of taconite produced by Minnesota Power’s taconite customers during 2016 (31 million tons in 2015; 39 million tons in 2014). In 2015, petitions regarding unfairly traded cold-rolled, hot-rolled and corrosion-resistant steel products were filed by domestic steel producers with the U.S. Department of Commerce and the U.S. International Trade Commission resulting in countervailing duty and antidumping investigations. In 2016, the U.S. Department of Commerce and the U.S. International Trade Commission made final affirmative determinations concluding the investigations. As a result of the affirmative determinations, cash deposits are collected on these products when imported from certain countries. According to the U.S. Census Bureau, 2016 annual imports for consumption of steel products were down approximately 15 percent compared to 2015 annual imports. The World Steel Association, an association of over 160 steel producers, national and regional steel industry associations, and steel research institutes representing approximately 85 percent of world steel production, projected U.S. steel consumption in 2017 will increase by approximately 3 percent compared to 2016.</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$0.03,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u w:val="single" w:color="auto"/>
          <w:color w:val="auto"/>
        </w:rPr>
        <w:t>USS Corporation</w:t>
      </w:r>
      <w:r>
        <w:rPr>
          <w:rFonts w:ascii="Arial" w:cs="Arial" w:eastAsia="Arial" w:hAnsi="Arial"/>
          <w:sz w:val="16"/>
          <w:szCs w:val="16"/>
          <w:color w:val="auto"/>
        </w:rPr>
        <w:t>. In the second quarter of 2015, USS Corporation temporarily idled its Minnesota Ore Operations - Keetac plant in Keewatin,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and a portion of its Minnesota Ore Operations - Minntac plant in Mountain Iron, Minnesota. These actions were due to high inventory levels and ongoing adjustment of its steel producing operations throughout North America. Global influences in the market, including a higher level of imports, unfairly traded products and reduced steel prices, were cited as having an impact. In the third quarter of 2015, USS Corporation returned its Minntac plant to full production. On December 29, 2016, USS Corporation announced its Keetac plant is expected to restart production in March 2017. Both facilities are Large Power Customers of Minnesota Power. USS Corporation has the capability to produce approximately 5 million tons and 15 million tons of taconite annually at its Keetac and Minntac plants, respectively. On September 30, 2016, Minnesota Power extended its electric service agreement with USS Corporation through 2021 at USS Corporation’s Minntac and Keetac plants, which was approved by the MPUC in an order dated December 29, 2016.</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Magnetation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May 2015, Magnetation announced that it had filed voluntary petitions for reorganization under Chapter 11 of the Bankruptcy Code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Bankruptcy Court for the District of Minnesota, citing the significant decrease in global iron ore prices and its existing capital structure. In January 2016, Magnetation idled its Plant 2 facility in Bovey, Minnesota. On October 6, 2016, the bankruptcy court approved plans to idle Magnetation’s Plant 4 facility near Grand Rapids, Minnesota, and its pellet plant in Reynolds, Indiana, as well as terminate Magnetation’s pellet purchase agreement with AK Steel Corporation. The company subsequently idled the facilities and stated it was preserving the plants and their value for a potential buyer. On January 30, 2017, ERP Iron Ore, LLC purchased substantially all of Magnetation’s assets pursuant to an asset purchase agreement approved by the bankruptcy court. Although we cannot predict whether the facilities will be restarted, Minnesota Power will serve the Plant 2 and Plant 4 facilities through the buyer’s assumption of the existing electric service agreement with Magnetation.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0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United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In August 2016, Cliffs restarted operations at its United Taconite plant in Eveleth, Minnesota, which had been idled since August 2015,</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announcements of Cliffs’ 10-year supply agreement with a major steel customer and additional business contracted with another customer in June 2016. Cliffs also held a ground breaking ceremony at United Taconite in August 2016 to commence construction on its approximately $65 million project to produce a fully fluxed taconite pellet. That new product will replace a flux pellet made at Cliffs’ indefinitely idled Empire operation in Michigan. United Taconite has the capability to produce approximately 5 million tons of taconite annually. On May 23, 2016, Minnesota Power extended its electric service agreement with Cliffs for 10 years at Cliffs’ United Taconite and Babbitt facilities, which was approved by the MPUC in an order dated November 9, 2016.</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Silver Bay Power</w:t>
      </w:r>
      <w:r>
        <w:rPr>
          <w:rFonts w:ascii="Arial" w:cs="Arial" w:eastAsia="Arial" w:hAnsi="Arial"/>
          <w:sz w:val="18"/>
          <w:szCs w:val="18"/>
          <w:i w:val="1"/>
          <w:iCs w:val="1"/>
          <w:color w:val="auto"/>
        </w:rPr>
        <w:t xml:space="preserve">. </w:t>
      </w:r>
      <w:r>
        <w:rPr>
          <w:rFonts w:ascii="Arial" w:cs="Arial" w:eastAsia="Arial" w:hAnsi="Arial"/>
          <w:sz w:val="18"/>
          <w:szCs w:val="18"/>
          <w:color w:val="auto"/>
        </w:rPr>
        <w:t>On May 23, 2016, Minnesota Power entered into multiple agreements with Cliffs and its subsidiaries. Under one of the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paid $31.0 million in cash as part of a long-term PSA through 2031 between Minnesota Power and Silver Bay Power. Silver Bay Power provides the majority of the electric service requirements for Northshore Mining, which has the capability to produce approximately 6 million tons of taconite annually. (See Note 11. Commitments, Guarantees and Contingencies.)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Paper, Pulp and Secondary Wood Products</w:t>
      </w:r>
      <w:r>
        <w:rPr>
          <w:rFonts w:ascii="Arial" w:cs="Arial" w:eastAsia="Arial" w:hAnsi="Arial"/>
          <w:sz w:val="18"/>
          <w:szCs w:val="18"/>
          <w:color w:val="auto"/>
        </w:rPr>
        <w:t>. In addition to serving the taconite industry, Minnesota Power serves a number of customers in the paper, pulp and secondary wood products industry. The four major paper and pulp mills we serve reported operating at, or near, full capacity in 2016, and similar levels are expected in 2017.</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Nashwauk Public Utilities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Mesabi Metallics, which changed its name from Essar Steel Minnesota LLC in December 2016, is a retail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Nashwauk Public Utilities Commission, and Minnesota Power has a wholesale electric sales agreement with the Nashwauk Public Utilities Commission for electric service through at least June 2028. Mesabi Metallics also makes ongoing payments to Minnesota Power for electric transmission infrastructure costs. Mesabi Metallics filed for bankruptcy protection on July 8, 2016, under Chapter 11 of the Bankruptcy Code in the United States Bankruptcy Court for the District of Delaware. In its filings, Mesabi Metallics stated that it has arranged funding sources and intends to continue its project in Minnesota post-bankruptcy. Mesabi Metallics’ pre-petition debt to Minnesota Power is not material.</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8, 2016, the bankruptcy court approved an agreement that continued Mesabi Metallics’ obligation under its agreements with the Nashwauk Public Utilities Commission and Minnesota Power through at least March 31, 2017. This allowed Minnesota Power to draw down Mesabi Metallics’ cash deposit account to satisfy Mesabi Metallics’ commitments to Minnesota Power and the Nashwauk Public Utilities Commission in full through December 2016, and in part through March 31, 2017, at which point Mesabi Metallics will propose to reject, assume or modify the agreements with the Nashwauk Public Utilities Commission and Minnesota Power.</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u w:val="single" w:color="auto"/>
          <w:color w:val="auto"/>
        </w:rPr>
        <w:t>PolyMet</w:t>
      </w:r>
      <w:r>
        <w:rPr>
          <w:rFonts w:ascii="Arial" w:cs="Arial" w:eastAsia="Arial" w:hAnsi="Arial"/>
          <w:sz w:val="16"/>
          <w:szCs w:val="16"/>
          <w:color w:val="auto"/>
        </w:rPr>
        <w:t>. Minnesota Power has a long-term contract with PolyMet, which is planning to start a new copper-nickel and precious metal (non-ferrous) mining</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in northeastern Minnesota. In November 2015, PolyMet announced the completion of the final EIS by state and federal agencies, which was subsequently published in the Federal Register and Minnesota Environmental Quality Board Monitor. The Minnesota Department of Natural Resources (DNR) issued its Record of Decision on March 3, 2016, finding the final EIS adequate. The 30-day period allowed by law to challenge the Record of Decision passed without any legal challenges being filed. On July 11, 2016, PolyMet submitted applications for water-related permits with the State of Minnesota, and on August 24, 2016, an application for an air quality permit was submitted to the Minnesota Pollution Control Agency. On November 3, 2016, PolyMet submitted a state permit to mine application to the DNR detailing its operational plans for the mine. The final EIS also requires Records of Decision by the federal agencies, which are expected in 2017, before final action can be taken on the required federal permits to construct and operate the mining operation. On January 9, 2017, the U.S. Forest Service signed the Final Record of Decision authorizing a land exchange with PolyMet, which upon completion of title transfer will result in PolyMet obtaining surface rights to land needed to develop its mining operation. Minnesota Power could supply between 45 MW and 50 MW of load under a ten-year power supply contract that would begin upon start-up of the mining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02" w:right="239" w:bottom="1440" w:gutter="0" w:footer="0" w:header="0"/>
        </w:sectPr>
      </w:pPr>
    </w:p>
    <w:bookmarkStart w:id="49" w:name="page50"/>
    <w:bookmarkEnd w:id="49"/>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In 2013, Minnesota Power announced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improving environmental performance. The plan includes completed and planned investments in wind and hydroelectric power, the addition of natural gas as a generation fuel source, and the installation of emissions control technology. Significant elements of the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include:</w:t>
      </w:r>
    </w:p>
    <w:p>
      <w:pPr>
        <w:spacing w:after="0" w:line="16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Major wind investments in North Dakota. Bison added 205 MW of capacity in 2014, bringing total capacity to 497 MW. (See </w:t>
      </w:r>
      <w:r>
        <w:rPr>
          <w:rFonts w:ascii="Arial" w:cs="Arial" w:eastAsia="Arial" w:hAnsi="Arial"/>
          <w:sz w:val="16"/>
          <w:szCs w:val="16"/>
          <w:i w:val="1"/>
          <w:iCs w:val="1"/>
          <w:color w:val="auto"/>
        </w:rPr>
        <w:t>Renewable Energy.</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installation of emissions control technology at Boswell Unit 4 completed in December 2015 to further reduce emissions of SO</w:t>
      </w:r>
      <w:r>
        <w:rPr>
          <w:rFonts w:ascii="Arial" w:cs="Arial" w:eastAsia="Arial" w:hAnsi="Arial"/>
          <w:sz w:val="12"/>
          <w:szCs w:val="12"/>
          <w:color w:val="auto"/>
        </w:rPr>
        <w:t>2</w:t>
      </w:r>
      <w:r>
        <w:rPr>
          <w:rFonts w:ascii="Arial" w:cs="Arial" w:eastAsia="Arial" w:hAnsi="Arial"/>
          <w:sz w:val="18"/>
          <w:szCs w:val="18"/>
          <w:color w:val="auto"/>
        </w:rPr>
        <w:t>, particulates and mercury.</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Planning for the proposed GNTL to deliver hydroelectric power from northern Manitoba by 2020.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Laskin from coal to cleaner-burning natural gas which was completed in June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Retirement of Taconite Harbor Unit 3, one of three coal-fired units at Taconite Harbor, which was retired in May 2015.</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July 2015, Minnesota Power announced the next steps in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plan, which will reduce carbon emissions, increase the use of renewable resources and add natural gas to meet customer electric service needs in a balanced, reliable and cost-effective way. Significant additional elements of the plan include:</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Economic idling of Taconite Harbor Units 1 and 2 which occurred in September 2016 and the ceasing of coal-fired operations there in 2020.</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Adding between 200 MW and 300 MW of cleaner and flexible natural gas-fired generation to Minnesota Power’s portfolio within the next decade.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Building both large and small scale solar generation.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the potential for additional energy efficiency savings.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Integrated Resource Plan (IRP). </w:t>
      </w:r>
      <w:r>
        <w:rPr>
          <w:rFonts w:ascii="Arial" w:cs="Arial" w:eastAsia="Arial" w:hAnsi="Arial"/>
          <w:sz w:val="16"/>
          <w:szCs w:val="16"/>
          <w:color w:val="auto"/>
        </w:rPr>
        <w:t>In September 2015, Minnesota Power filed its 2015 IRP with the MPUC which contained the next steps in its</w:t>
      </w:r>
      <w:r>
        <w:rPr>
          <w:rFonts w:ascii="Arial" w:cs="Arial" w:eastAsia="Arial" w:hAnsi="Arial"/>
          <w:sz w:val="16"/>
          <w:szCs w:val="16"/>
          <w:i w:val="1"/>
          <w:iCs w:val="1"/>
          <w:color w:val="auto"/>
        </w:rPr>
        <w:t xml:space="preserve"> EnergyForward </w:t>
      </w:r>
      <w:r>
        <w:rPr>
          <w:rFonts w:ascii="Arial" w:cs="Arial" w:eastAsia="Arial" w:hAnsi="Arial"/>
          <w:sz w:val="16"/>
          <w:szCs w:val="16"/>
          <w:color w:val="auto"/>
        </w:rPr>
        <w:t>strategic plan, and included an analysis of a variety of existing and future energy resource alternatives and a projection of customer cost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impact by class. In an order dated July 18, 2016, the MPUC approved Minnesota Power’s 2015 IRP with modifications. The order accepts Minnesota Power’s plans for Taconite Harbor, directs Minnesota Power to retire Boswell Units 1 and 2 no later than 2022, requires an analysis of generation and demand response alternatives to be filed with a natural gas resource proposal, and requires Minnesota Power to conduct request for proposals for additional wind, solar and demand response resource additions subject to further MPUC approvals. On October 19, 2016, Minnesota Power announced that Boswell Units 1 and 2 will be retired in 2018 as the latest step in its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strategic plan. Minnesota Power’s next IRP must be filed by February 1, 2018.</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Power’s 2015 IRP includes an update on its plans and progress in meeting the Minnesota renewable energy milestones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2025. Minnesota Power continues to execute its renewable energy strategy through key renewable projects that will ensure it meets the identified state mandate at the lowest cost for customers. Minnesota Power has exceeded the interim milestone requirements to date and expects 29 percent of its applicable retail and municipal energy sales will be supplied by renewable energy sources in 2017. (See Item 1. Business – Regulated Operations – Minnesota Legislation and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u w:val="single" w:color="auto"/>
          <w:color w:val="auto"/>
        </w:rPr>
        <w:t>Minnesota Solar Energy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In 2013, legislation was enacted by the state of Minnesota requiring at least 1.5 percent of total retail electric sales,</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sales to certain customers, to be generated by solar energy by the end of 2020. At least 10 percent of the 1.5 percent mandate must be met by solar energy generated by or procured from solar photovoltaic devices with a nameplate capacity of 20 kW or less. Minnesota Power has one completed solar project and another under development. In August 2015, Minnesota Power filed for MPUC approval of a 10 MW utility scale solar project at the Camp Ripley Minnesota Army National Guard base and training facility near Little Falls, Minnesota. In an order dated February 24, 2016, the MPUC approved the Camp Ripley solar project as eligible to meet the solar energy standard and for current cost recovery, which was subsequently finalized by the MPUC in an order dated December 12, 2016. The Camp Ripley solar project was completed in the fourth quarter of 2016. In September 2015, Minnesota Power filed for MPUC approval of a community solar garden project in northeastern Minnesota, which is comprised of a 1 MW solar array to be owned and operated by a third party with the output purchased by Minnesota Power and a 40 kW solar array that will be owned and operated by Minnesota Power. In an order dated July 27, 2016, the MPUC approved the community solar garden project and cost recovery, subject to certain compliance requirements. Minnesota Power believes these projects will meet approximately one-third of the overall mandate. Additionally, on January 19, 2017, the MPUC approved Minnesota Power’s proposal to increase the amount of solar rebates available for customer-sited solar installations and recover costs of the program through Minnesota Power’s renewable cost recovery rider. This proposal to incentivize customer-sited solar installations is expected to meet a portion of the required mandate related to solar photovoltaic devices with a nameplate capacity of 20 kW or less.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0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has approval for current cost recovery of investments and expenditures related to compliance with the Minnesota Solar Energy Standard. Currently, there is no approved customer billing rate for solar costs, but Minnesota Power expects to file its first solar factor filing in 2017 for recovery of costs related to the Camp Ripley solar project and community solar garden project.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PPAs with an affiliate of NextEra Energy, Inc. to purchase the output from Oliver Wind I (50 MW) and Oliver Wind II (48 MW) located in North Dakota.</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Updated customer billing rates for the renewable cost recovery rider, which includes investments and expenditures related to Bison, were approved by the MPUC in an order dated December 21, 2016, which allows Minnesota Power to charge retail customers on a current basis for the costs of constructing certain renewable investments plus a return on the capital invested. The approval is on a provisional basis pending the outcome of Minnesota Power’s 2016 general rate case.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 order dated November 30, 2016, the MPUC directed Minnesota Power to attribute all North Dakota investment tax credits realized from Bison to Minnesota Power regulated retail customers. As a result of the adverse regulatory outcome, Minnesota Power has created a regulatory liability, and recorded a reduction in operating revenue for $15.0 million. The North Dakota investment tax credits previously recognized as income tax credits in Corporate and Other were reversed in 2016 resulting in an $8.8 million charge to net income. On December 20, 2016, Minnesota Power submitted a request for reconsideration with the MPUC. On February 9, 2017, the MPUC decided to reconsider its November 30, 2016 order and will be requesting further comments. Minnesota Power will provide further support on its position.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November 30, 2016, MPUC order, Minnesota Power accounted for North Dakota investment tax credits based on the long-standing regulatory precedents of stand-alone allocation methodology of accounting for income taxes. The stand-alone method provides that income taxes (and credits) are calculated as if Minnesota Power was the only entity included in ALLETE’s consolidated federal and unitary state income tax returns. Minnesota Power had recorded a regulatory liability for North Dakota investment tax credits generated by its jurisdictional activity and expected to be realized in the future. North Dakota investment tax credits attributable to ALLETE’s apportionment and income of ALLETE’s other subsidiaries were included in the ALLETE consolidated group.</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2011, Minnesota Power and Manitoba Hydro signed a third PPA. This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In September 2015, Manitoba Hydro submitted the final preferred route and EIS for the additional transmission capacity in Canada to the Manitoba Conservation and Water Stewardship for regulatory approval. Construction of Manitoba Hydro’s hydroelectric generation facility commenced in 2014.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0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2014, Minnesota Power and Manitoba Hydro signed a fourth PPA that provides for Minnesota Power to purchase up to 133 MW of energy from Manitoba Hydro for 20 years beginning in 2020. The pricing under this PPA is based on forward market prices. The PPA is subject to the construction of the GNTL. (See Item 1. Business – Regulated Operations – Transmission and Distribution – Great Northern Transmission Line.)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October 2015, Minnesota Power and Manitoba Hydro signed a fifth PPA that provides for Minnesota Power to purchase 50 MW of capacity at fixed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PPA begins in June 2017 and expires in May 2020.</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make investments in transmission opportunities that strengthen or enhance the transmission grid or take advantage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 See also Item 1. Business – Regulated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ALLETE Clean Energy focuses on developing, acquiring, and operating clean and renewable energy projects. ALLETE Clean Energy currently owns and operates, in four states, approximately 535 MW of nameplate capacity wind energy generation that is from PSAs under various durations. In addition, ALLETE Clean Energy constructed and sold a 107 MW wind energy facility in 2015. On January 3, 2017, ALLETE Clean Energy announced that it will develop another wind energy facility of up to 50 MW after securing a 25</w:t>
      </w:r>
      <w:r>
        <w:rPr>
          <w:rFonts w:ascii="MS PGothic" w:cs="MS PGothic" w:eastAsia="MS PGothic" w:hAnsi="MS PGothic"/>
          <w:sz w:val="18"/>
          <w:szCs w:val="18"/>
          <w:color w:val="auto"/>
        </w:rPr>
        <w:t>‑</w:t>
      </w:r>
      <w:r>
        <w:rPr>
          <w:rFonts w:ascii="Arial" w:cs="Arial" w:eastAsia="Arial" w:hAnsi="Arial"/>
          <w:sz w:val="18"/>
          <w:szCs w:val="18"/>
          <w:color w:val="auto"/>
        </w:rPr>
        <w:t>year PSA. The PSA includes an option for the counterparty to purchase the facility upon development completion; construction is expected to begin in 2018.</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Clean Energy will pursue growth through acquisitions or project development for others. ALLETE Clean Energy is targeting acquisitions of existing facilities up to 200 MW each, which have long-term PSAs in place for the facilities’ output. At this time, ALLETE Clean Energy expects acquisitions will be primarily wind or solar facilities in North America. ALLETE Clean Energy is also targeting the development of new facilities up to 200 MW each, which will have long-term PSAs in place for the output or may be sold upon completion. Federal production tax credit qualification is important to development project economics, and ALLETE Clean Energy invested approximately $100 million in equipment in 2016 to meet production tax credit safe harbor provisions.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02"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ALLETE Clean Energy will manage risk by having a diverse portfolio of assets, which will include PSA expiration and geographic diversity. The current mix of PSA expiration and geographic location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960" w:type="dxa"/>
            <w:vAlign w:val="bottom"/>
          </w:tcPr>
          <w:p>
            <w:pPr>
              <w:jc w:val="center"/>
              <w:ind w:left="1190"/>
              <w:spacing w:after="0"/>
              <w:rPr>
                <w:sz w:val="20"/>
                <w:szCs w:val="20"/>
                <w:color w:val="auto"/>
              </w:rPr>
            </w:pPr>
            <w:r>
              <w:rPr>
                <w:rFonts w:ascii="Arial" w:cs="Arial" w:eastAsia="Arial" w:hAnsi="Arial"/>
                <w:sz w:val="18"/>
                <w:szCs w:val="18"/>
                <w:b w:val="1"/>
                <w:bCs w:val="1"/>
                <w:color w:val="auto"/>
                <w:w w:val="90"/>
              </w:rPr>
              <w:t>Location</w:t>
            </w:r>
          </w:p>
        </w:tc>
        <w:tc>
          <w:tcPr>
            <w:tcW w:w="1820" w:type="dxa"/>
            <w:vAlign w:val="bottom"/>
          </w:tcPr>
          <w:p>
            <w:pPr>
              <w:ind w:left="340"/>
              <w:spacing w:after="0"/>
              <w:rPr>
                <w:sz w:val="20"/>
                <w:szCs w:val="20"/>
                <w:color w:val="auto"/>
              </w:rPr>
            </w:pPr>
            <w:r>
              <w:rPr>
                <w:rFonts w:ascii="Arial" w:cs="Arial" w:eastAsia="Arial" w:hAnsi="Arial"/>
                <w:sz w:val="18"/>
                <w:szCs w:val="18"/>
                <w:b w:val="1"/>
                <w:bCs w:val="1"/>
                <w:color w:val="auto"/>
              </w:rPr>
              <w:t>Capacity MW</w:t>
            </w:r>
          </w:p>
        </w:tc>
        <w:tc>
          <w:tcPr>
            <w:tcW w:w="1500" w:type="dxa"/>
            <w:vAlign w:val="bottom"/>
          </w:tcPr>
          <w:p>
            <w:pPr>
              <w:ind w:left="400"/>
              <w:spacing w:after="0"/>
              <w:rPr>
                <w:sz w:val="20"/>
                <w:szCs w:val="20"/>
                <w:color w:val="auto"/>
              </w:rPr>
            </w:pPr>
            <w:r>
              <w:rPr>
                <w:rFonts w:ascii="Arial" w:cs="Arial" w:eastAsia="Arial" w:hAnsi="Arial"/>
                <w:sz w:val="18"/>
                <w:szCs w:val="18"/>
                <w:b w:val="1"/>
                <w:bCs w:val="1"/>
                <w:color w:val="auto"/>
              </w:rPr>
              <w:t>PSA MW</w:t>
            </w:r>
          </w:p>
        </w:tc>
        <w:tc>
          <w:tcPr>
            <w:tcW w:w="182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9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Pennsylvania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2024</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29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5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9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2018</w:t>
            </w: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PSA 2</w:t>
            </w:r>
          </w:p>
        </w:tc>
        <w:tc>
          <w:tcPr>
            <w:tcW w:w="29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960" w:type="dxa"/>
            <w:vAlign w:val="bottom"/>
            <w:tcBorders>
              <w:bottom w:val="single" w:sz="8" w:color="CCEEFF"/>
            </w:tcBorders>
            <w:shd w:val="clear" w:color="auto" w:fill="CCEEFF"/>
          </w:tcPr>
          <w:p>
            <w:pPr>
              <w:jc w:val="center"/>
              <w:ind w:left="1210"/>
              <w:spacing w:after="0"/>
              <w:rPr>
                <w:sz w:val="20"/>
                <w:szCs w:val="20"/>
                <w:color w:val="auto"/>
              </w:rPr>
            </w:pPr>
            <w:r>
              <w:rPr>
                <w:rFonts w:ascii="Arial" w:cs="Arial" w:eastAsia="Arial" w:hAnsi="Arial"/>
                <w:sz w:val="18"/>
                <w:szCs w:val="18"/>
                <w:color w:val="auto"/>
                <w:w w:val="89"/>
              </w:rPr>
              <w:t>Oregon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Lake Benton</w:t>
            </w:r>
          </w:p>
        </w:tc>
        <w:tc>
          <w:tcPr>
            <w:tcW w:w="29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9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4"/>
              </w:rPr>
              <w:t>Iowa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II</w:t>
            </w:r>
          </w:p>
        </w:tc>
        <w:tc>
          <w:tcPr>
            <w:tcW w:w="29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4"/>
              </w:rPr>
              <w:t>Iowa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5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9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PSA 2</w:t>
            </w:r>
          </w:p>
        </w:tc>
        <w:tc>
          <w:tcPr>
            <w:tcW w:w="29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2032</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2015, ALLETE acquired U.S. Water Services. U.S. Water Services provides integrated water management for industry by combining chemical, equipment, engineering and service for customized solutions to reduce water and energy usage and improve efficiency. U.S. Water Services is located in 49 states and Canada, and has an established base of approximately 4,800 customers. U.S. Water Services differentiates itself from the competition by developing synergies between established solutions in engineering, equipment and chemical water treatment, and helping customers achieve efficient and sustainable use of their water and energy systems. U.S. Water Services is a leading provider to the biofuels industry, and also serves the food and beverage, industrial, power generation, and midstream oil and gas industries. U.S. Water Services principally relies upon recurring revenues from a diverse mix of industrial customers. U.S. Water Services sells certain products which are seasonal in nature, with higher demand typically realized in warmer months; generally, lower sales occur in the first quarter of each year.</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North American presence by adding customers, products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a purchase price in the $10 million to $50 million range. Priority will be given to acquisitions which expand its geographic reach, add new technology, or deepen its capabilities to serve its expanding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 xml:space="preserve">BNI Energy. </w:t>
      </w:r>
      <w:r>
        <w:rPr>
          <w:rFonts w:ascii="Arial" w:cs="Arial" w:eastAsia="Arial" w:hAnsi="Arial"/>
          <w:sz w:val="16"/>
          <w:szCs w:val="16"/>
          <w:color w:val="auto"/>
        </w:rPr>
        <w:t>In 2016, BNI Energy sold 3.8 million tons of coal (4.3 million tons in 2015) and anticipates 2017 sales will be higher than 2016 primarily due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unexpected outage at Square Butte in 2016. BNI Energy operates under cost-plus fixed fee agreements extending through December 31, 2037.</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ALLETE Properties. </w:t>
      </w:r>
      <w:r>
        <w:rPr>
          <w:rFonts w:ascii="Arial" w:cs="Arial" w:eastAsia="Arial" w:hAnsi="Arial"/>
          <w:sz w:val="18"/>
          <w:szCs w:val="18"/>
          <w:color w:val="auto"/>
        </w:rPr>
        <w:t>ALLETE Properties represents our legacy Florida real estate investment. Market conditions can impact land sales and could result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inability to cover our cost basis, operating expenses or fixed carrying costs such as community development district assessments and property taxes. ALLETE Properties’ major projects in Florida are Town Center at Palm Coast and Palm Coast Park, with approximately 4,100 acres combined of land available-for-sale. (See Item 1. Business – Corporate and Other – ALLETE Properties.) In addition to these two projects, ALLETE Properties has approximately 1,100 acres of other land available-for-sale.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recent years, market conditions for real estate in Florida have required us to review our land inventories for impairment. In 2015, the Company reevaluated its strategy related to the real estate assets of ALLETE Properties in response to market conditions and transaction activity. Proceeds will be strategically deployed to support growth in our energy infrastructure and related services businesses. ALLETE Properties also continues to pursue sales of individual parcels over time. ALLETE Properties will continue to maintain key entitlements and infrastructure without making additional investments or acquisitions.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0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ALLETE’s aggregate federal and multi-state statutory tax rate is approximately 41 percent for 2016. On an ongoing basis, ALLETE has tax</w:t>
      </w:r>
      <w:r>
        <w:rPr>
          <w:rFonts w:ascii="Arial" w:cs="Arial" w:eastAsia="Arial" w:hAnsi="Arial"/>
          <w:sz w:val="16"/>
          <w:szCs w:val="16"/>
          <w:b w:val="1"/>
          <w:bCs w:val="1"/>
          <w:color w:val="auto"/>
        </w:rPr>
        <w:t xml:space="preserve"> </w:t>
      </w:r>
      <w:r>
        <w:rPr>
          <w:rFonts w:ascii="Arial" w:cs="Arial" w:eastAsia="Arial" w:hAnsi="Arial"/>
          <w:sz w:val="16"/>
          <w:szCs w:val="16"/>
          <w:color w:val="auto"/>
        </w:rPr>
        <w:t>credits and other tax adjustments that reduce the combined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before non-controlling interest and income taxes, state and federal tax law changes that become effective during the year, business combinations, tax planning initiatives and resolution of prior years’ tax matters. We expect our effective tax rate to be approximately 20 percent for 2017 primarily due to federal production tax credits as a result of wind energy generation. We also expect that our effective tax rate will be lower than the combined statutory rate over the next eight years due to production tax credits attributable to our wind energy generation.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its liquidity needs. As of December 31, 2016, we had cash and cash equivalents of $27.5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$397.9 million in available consolidated lines of credit and a debt-to-capital ratio of 45 percent.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for each of the last three years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r>
      <w:tr>
        <w:trPr>
          <w:trHeight w:val="27"/>
        </w:trPr>
        <w:tc>
          <w:tcPr>
            <w:tcW w:w="4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19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$1,893.0</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55</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$1,820.2</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53</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$1,609.4</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1.8</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19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1,569.1</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1,605.0</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1,373.5</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1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3.7</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$3,462.1</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$3,429.0</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$2,988.4</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0"/>
        </w:trPr>
        <w:tc>
          <w:tcPr>
            <w:tcW w:w="44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w w:val="94"/>
              </w:rPr>
              <w:t xml:space="preserve">Cash Flows. </w:t>
            </w:r>
            <w:r>
              <w:rPr>
                <w:rFonts w:ascii="Arial" w:cs="Arial" w:eastAsia="Arial" w:hAnsi="Arial"/>
                <w:sz w:val="18"/>
                <w:szCs w:val="18"/>
                <w:color w:val="auto"/>
                <w:w w:val="94"/>
              </w:rPr>
              <w:t>Selected information from ALLETE’s Consolidated Statement of Cash Flows is as follows:</w:t>
            </w: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7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$97.0</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$145.8</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332.0</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340.1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269.8</w:t>
            </w:r>
          </w:p>
        </w:tc>
      </w:tr>
      <w:tr>
        <w:trPr>
          <w:trHeight w:val="243"/>
        </w:trPr>
        <w:tc>
          <w:tcPr>
            <w:tcW w:w="784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(276.2)</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(618.8)</w:t>
            </w:r>
          </w:p>
        </w:tc>
        <w:tc>
          <w:tcPr>
            <w:tcW w:w="1000" w:type="dxa"/>
            <w:vAlign w:val="bottom"/>
          </w:tcPr>
          <w:p>
            <w:pPr>
              <w:jc w:val="right"/>
              <w:spacing w:after="0"/>
              <w:rPr>
                <w:sz w:val="20"/>
                <w:szCs w:val="20"/>
                <w:color w:val="auto"/>
              </w:rPr>
            </w:pPr>
            <w:r>
              <w:rPr>
                <w:rFonts w:ascii="Arial" w:cs="Arial" w:eastAsia="Arial" w:hAnsi="Arial"/>
                <w:sz w:val="18"/>
                <w:szCs w:val="18"/>
                <w:color w:val="auto"/>
              </w:rPr>
              <w:t>(625.7)</w:t>
            </w:r>
          </w:p>
        </w:tc>
      </w:tr>
      <w:tr>
        <w:trPr>
          <w:trHeight w:val="27"/>
        </w:trPr>
        <w:tc>
          <w:tcPr>
            <w:tcW w:w="7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(125.3)</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229.9</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404.4</w:t>
            </w:r>
          </w:p>
        </w:tc>
      </w:tr>
      <w:tr>
        <w:trPr>
          <w:trHeight w:val="237"/>
        </w:trPr>
        <w:tc>
          <w:tcPr>
            <w:tcW w:w="78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12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(69.5)</w:t>
            </w:r>
          </w:p>
        </w:tc>
        <w:tc>
          <w:tcPr>
            <w:tcW w:w="13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(48.8)</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7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$27.5</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$97.0</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r>
      <w:tr>
        <w:trPr>
          <w:trHeight w:val="20"/>
        </w:trPr>
        <w:tc>
          <w:tcPr>
            <w:tcW w:w="78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from operating activities was lower in 2016 compared to 2015 primarily due to a payment of $31.0 million made as part of a long-term PSA between Minnesota Power and Silver Bay Power, cash contributions to our defined benefit pension plan and non-cash items, partially offset by higher net income, lower fuel inventory and increased recoveries through our cost recovery riders.</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from operating activities was higher in 2015 compared to 2014 primarily due to higher net income and non-cash items (primarily depreciation expense and impairment of real estate), and increased recoveries through our cost recovery riders, partially offset by timing of accounts payable payments.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0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(Continued)</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for investing activities was lower in 2016 compared to 2015 primarily due to a decrease in cash used for the acquisitions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as well as fewer capital expenditures in 2016. In 2015, we acquired U.S. Water Services, and ALLETE Clean Energy acquired the Chanarambie/Viking and Armenia Mountain wind energy facilities. (See Note 6. Acquisitions.)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for investing activities in 2015 was lower than 2014 primarily due to lower capital expenditures in 2015, partially offset by increased acquisitions of subsidiaries.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for financing activities decreased in 2016 compared to 2015 primarily due to lower proceeds from the issuance of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and common stock.</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from financing activities in 2015 was lower than 2014 primarily due to lower proceeds from the net issuance of long-term debt and common stock in 2015, increased dividends on common stock in 2015 and construction deposits received for the development of a wind energy facility sold to Montana-Dakota Utilities in 2015.</w:t>
      </w:r>
    </w:p>
    <w:p>
      <w:pPr>
        <w:spacing w:after="0" w:line="17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Working Capital</w:t>
      </w:r>
      <w:r>
        <w:rPr>
          <w:rFonts w:ascii="Arial" w:cs="Arial" w:eastAsia="Arial" w:hAnsi="Arial"/>
          <w:sz w:val="16"/>
          <w:szCs w:val="16"/>
          <w:color w:val="auto"/>
        </w:rPr>
        <w:t>. Additional working capital, if and when needed, generally is provided by consolidated bank lines of credit, the sale of securities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commercial paper. As of December 31, 2016, we had consolidated bank lines of credit aggregating $409.0 million ($408.4 million as of December 31, 2015), the majority of which expire in November 2019. We had $11.1 million outstanding in standby letters of credit and no outstanding draws under our lines of credit as of December 31, 2016 ($12.4 million in standby letters of credit and $1.6 million outstanding in draws as of December 31, 2015). In addition, as of December 31, 2016, we had 3.4 million original issue shares of our common stock available for issuance through Invest Direct, our direct stock purchase and dividend reinvestment plan, and 3.9 million original issue shares of common stock available for issuance through a distribution agreement with Lampert Capital Markets, Inc. (See </w:t>
      </w:r>
      <w:r>
        <w:rPr>
          <w:rFonts w:ascii="Arial" w:cs="Arial" w:eastAsia="Arial" w:hAnsi="Arial"/>
          <w:sz w:val="16"/>
          <w:szCs w:val="16"/>
          <w:i w:val="1"/>
          <w:iCs w:val="1"/>
          <w:color w:val="auto"/>
        </w:rPr>
        <w:t>Securities.</w:t>
      </w:r>
      <w:r>
        <w:rPr>
          <w:rFonts w:ascii="Arial" w:cs="Arial" w:eastAsia="Arial" w:hAnsi="Arial"/>
          <w:sz w:val="16"/>
          <w:szCs w:val="16"/>
          <w:color w:val="auto"/>
        </w:rPr>
        <w:t>) The amount and timing of future sales of our securities will depend upon market conditions and our specific needs.</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Securities</w:t>
      </w:r>
      <w:r>
        <w:rPr>
          <w:rFonts w:ascii="Arial" w:cs="Arial" w:eastAsia="Arial" w:hAnsi="Arial"/>
          <w:sz w:val="17"/>
          <w:szCs w:val="17"/>
          <w:color w:val="auto"/>
        </w:rPr>
        <w:t>. We entered into a distribution agreement with Lampert Capital Markets, Inc., in 2008, as amended most recently in August 2016,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and sale of up to an aggregate of 13.6 million shares of our common stock, without par value, of which 3.9 million shares remain available for issuance. For the year ended December 31, 2016, 0.1 million shares of common stock were issued under this agreement, resulting in net proceeds of $8.0 million (1.3 million shares for net proceeds of $69.9 million in 2015; 1.9 million shares for net proceeds of $90.0 million in 2014). The shares issued in 2015 and 2014 were offered and sold pursuant to Registration Statement No. 333-190335. On August 1, 2016, we filed Registration Statement No. 333-212794, pursuant to which the remaining shares will continue to be offered for sale, from time to time.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2016, we issued 0.4 million shares of common stock through Invest Direct, the ESPP, and the RSOP, resulting in net proceeds of $22.9 million (0.4 million shares were issued in 2015, resulting in net proceeds of $25.9 million; 0.5 million shares were issued in 2014, resulting in net proceeds of $25.4 million). These shares of common stock were registered under Registration Statement Nos. 333-211075, 333-188315, 333-183051 and 333-162890.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8, 2016, ALLETE entered into an agreement to sell $80.0 million of the Company's senior unsecured notes (the Notes) to certain institutional buyers in the private placement market. The Notes will be sold in reliance on an exemption from registration under Section 4(a)(2) of the Securities Act of 1933, as amended, to institutional accredited investors. The Notes will be issued on or about June 1, 2017, carry an interest rate of 3.11 percent and mature on June 1, 2027. (See Note 10. Short-Term and Long-Term Debt.)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17, 2017, we contributed approximately 0.2 million shares of ALLETE common stock to our pension plan, which had an aggregate value of $13.5 million when contributed. No shares of ALLETE common stock were contributed to the pension plan for the years ended December 31, 2016 and 2015. In 2014, we contributed approximately 0.4 million shares of ALLETE common stock to our pension plan, which had an aggregate value of $19.5 million when contributed. These shares of ALLETE common stock were contributed in reliance upon an exemption available pursuant to Section 4(a)(2) of the Securities Act of 1933,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r>
        <w:rPr>
          <w:rFonts w:ascii="Arial" w:cs="Arial" w:eastAsia="Arial" w:hAnsi="Arial"/>
          <w:sz w:val="18"/>
          <w:szCs w:val="18"/>
          <w:color w:val="auto"/>
        </w:rPr>
        <w:t>. See Note 10. Short-Term and Long-Term Debt for information regarding our financial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Off-balance sheet arrangements are discussed in Note 11. Commitments, Guarantees and Contingencies.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02"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Contractual Obligations and Commercial Commitments</w:t>
      </w:r>
      <w:r>
        <w:rPr>
          <w:rFonts w:ascii="Arial" w:cs="Arial" w:eastAsia="Arial" w:hAnsi="Arial"/>
          <w:sz w:val="18"/>
          <w:szCs w:val="18"/>
          <w:color w:val="auto"/>
        </w:rPr>
        <w:t>. ALLETE has contractual obligations and other commitments that will need to be funded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in addition to its capital expenditure programs. The following table summarizes contractual obligations and other commercial commitments as of December 31, 2016.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Less than</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1 to 3</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4 to 5</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After</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6"/>
                <w:szCs w:val="16"/>
                <w:i w:val="1"/>
                <w:iCs w:val="1"/>
                <w:color w:val="auto"/>
              </w:rPr>
              <w:t>(a)</w:t>
            </w: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1 Year</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Years</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Years</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$2,348.0</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$250.0</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$230.5</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$298.9</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Pension </w:t>
            </w:r>
            <w:r>
              <w:rPr>
                <w:rFonts w:ascii="Arial" w:cs="Arial" w:eastAsia="Arial" w:hAnsi="Arial"/>
                <w:sz w:val="16"/>
                <w:szCs w:val="16"/>
                <w:i w:val="1"/>
                <w:iCs w:val="1"/>
                <w:color w:val="auto"/>
              </w:rPr>
              <w:t>(b)</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457.9</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45.0</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90.6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91.3</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231.0</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Postretirement Benefit Plans </w:t>
            </w:r>
            <w:r>
              <w:rPr>
                <w:rFonts w:ascii="Arial" w:cs="Arial" w:eastAsia="Arial" w:hAnsi="Arial"/>
                <w:sz w:val="16"/>
                <w:szCs w:val="16"/>
                <w:i w:val="1"/>
                <w:iCs w:val="1"/>
                <w:color w:val="auto"/>
              </w:rPr>
              <w:t>(b)</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99.6</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9.3</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19.1</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19.8</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68.1</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13.7</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22.7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13.4</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PPA Obligations </w:t>
            </w:r>
            <w:r>
              <w:rPr>
                <w:rFonts w:ascii="Arial" w:cs="Arial" w:eastAsia="Arial" w:hAnsi="Arial"/>
                <w:sz w:val="16"/>
                <w:szCs w:val="16"/>
                <w:i w:val="1"/>
                <w:iCs w:val="1"/>
                <w:color w:val="auto"/>
              </w:rPr>
              <w:t>(c)</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2,367.0</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98.0</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208.4</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256.7</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1,803.9</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Purchase Obligations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82.8</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47.1</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34.8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0.7</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4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$5,423.4</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$463.1</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$606.1</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$680.8</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$3,673.4</w:t>
            </w:r>
          </w:p>
        </w:tc>
      </w:tr>
      <w:tr>
        <w:trPr>
          <w:trHeight w:val="20"/>
        </w:trPr>
        <w:tc>
          <w:tcPr>
            <w:tcW w:w="45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Excludes $2.0 million of non-current unrecognized tax benefits due to uncertainty regarding the timing of future cash payments related to uncertain tax positions.</w:t>
      </w:r>
    </w:p>
    <w:p>
      <w:pPr>
        <w:spacing w:after="0" w:line="20" w:lineRule="exact"/>
        <w:rPr>
          <w:rFonts w:ascii="Arial" w:cs="Arial" w:eastAsia="Arial" w:hAnsi="Arial"/>
          <w:sz w:val="15"/>
          <w:szCs w:val="15"/>
          <w:i w:val="1"/>
          <w:iCs w:val="1"/>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estimated future benefit payments for our defined benefit pension and other postretirement plans through 2026.</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Excludes the agreement with Manitoba Hydro expiring in 2022, as this contract is for surplus energy only, and the 133 MW agreement with Manitoba Hydro commencing in 2020, as Minnesota Power’s obligation under this contract is subject to construction of additional transmission capacity. Also excludes Oliver Wind I and Oliver Wind II, as Minnesota Power only pays for energy as it is delivered. (See Note 11. Commitments, Guarantees and Contingencies.)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Our long-term debt obligations, including long-term debt due within one year, represent the principal amount of bonds, notes and loans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recorded on the Consolidated Balance Sheet, plus interest. The table above assumes that the interest rates in effect at December 31, 2016, remain constant through the remaining term. (See Note 10. Short-Term and Long-Term Debt.)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Pension and Other Postretirement Benefit Plans. </w:t>
      </w:r>
      <w:r>
        <w:rPr>
          <w:rFonts w:ascii="Arial" w:cs="Arial" w:eastAsia="Arial" w:hAnsi="Arial"/>
          <w:sz w:val="17"/>
          <w:szCs w:val="17"/>
          <w:color w:val="auto"/>
        </w:rPr>
        <w:t>Our pension and other postretirement benefit plan obligations represent our current estimate of future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through 2026. Pension contributions will be dependent on several factors including realized asset performance, future discount rate and other actuarial assumptions, Internal Revenue Service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 These amounts are estimates and will change based on actual market performance, changes in interest rates and any changes in governmental regulations. (See Note 15. Pension and Other Postretirement Benefit Plans.)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PPA Obligations. </w:t>
      </w:r>
      <w:r>
        <w:rPr>
          <w:rFonts w:ascii="Arial" w:cs="Arial" w:eastAsia="Arial" w:hAnsi="Arial"/>
          <w:sz w:val="18"/>
          <w:szCs w:val="18"/>
          <w:color w:val="auto"/>
        </w:rPr>
        <w:t>PPA obligations represent our Square Butte, Manitoba Hydro, Minnkota Power and other PPA’s. (See Note 11. Commitments, Guarantees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Contingencies.)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Purchase Obligations. </w:t>
      </w:r>
      <w:r>
        <w:rPr>
          <w:rFonts w:ascii="Arial" w:cs="Arial" w:eastAsia="Arial" w:hAnsi="Arial"/>
          <w:sz w:val="18"/>
          <w:szCs w:val="18"/>
          <w:color w:val="auto"/>
        </w:rPr>
        <w:t>Other purchase obligations represents our minimum purchase commitments under coal and rail contracts, and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for certain capital expenditure projects. (See Note 11. Commitments, Guarantees and Contingencies.)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0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Standard &amp; Poor’s</w:t>
      </w:r>
      <w:r>
        <w:rPr>
          <w:rFonts w:ascii="Arial" w:cs="Arial" w:eastAsia="Arial" w:hAnsi="Arial"/>
          <w:sz w:val="18"/>
          <w:szCs w:val="18"/>
          <w:b w:val="1"/>
          <w:bCs w:val="1"/>
          <w:color w:val="auto"/>
        </w:rPr>
        <w:t xml:space="preserve"> </w:t>
      </w:r>
      <w:r>
        <w:rPr>
          <w:rFonts w:ascii="Arial" w:cs="Arial" w:eastAsia="Arial" w:hAnsi="Arial"/>
          <w:sz w:val="18"/>
          <w:szCs w:val="18"/>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Credit Ratings</w:t>
            </w:r>
          </w:p>
        </w:tc>
        <w:tc>
          <w:tcPr>
            <w:tcW w:w="5120" w:type="dxa"/>
            <w:vAlign w:val="bottom"/>
          </w:tcPr>
          <w:p>
            <w:pPr>
              <w:jc w:val="center"/>
              <w:ind w:left="2930"/>
              <w:spacing w:after="0"/>
              <w:rPr>
                <w:sz w:val="20"/>
                <w:szCs w:val="20"/>
                <w:color w:val="auto"/>
              </w:rPr>
            </w:pPr>
            <w:r>
              <w:rPr>
                <w:rFonts w:ascii="Arial" w:cs="Arial" w:eastAsia="Arial" w:hAnsi="Arial"/>
                <w:sz w:val="18"/>
                <w:szCs w:val="18"/>
                <w:b w:val="1"/>
                <w:bCs w:val="1"/>
                <w:color w:val="auto"/>
                <w:w w:val="92"/>
              </w:rPr>
              <w:t>Standard &amp; Poor’s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496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Issuer Credit Rating</w:t>
            </w:r>
          </w:p>
        </w:tc>
        <w:tc>
          <w:tcPr>
            <w:tcW w:w="512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8"/>
              </w:rPr>
              <w:t>BBB+</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5120" w:type="dxa"/>
            <w:vAlign w:val="bottom"/>
          </w:tcPr>
          <w:p>
            <w:pPr>
              <w:jc w:val="center"/>
              <w:ind w:left="2910"/>
              <w:spacing w:after="0"/>
              <w:rPr>
                <w:sz w:val="20"/>
                <w:szCs w:val="20"/>
                <w:color w:val="auto"/>
              </w:rPr>
            </w:pPr>
            <w:r>
              <w:rPr>
                <w:rFonts w:ascii="Arial" w:cs="Arial" w:eastAsia="Arial" w:hAnsi="Arial"/>
                <w:sz w:val="18"/>
                <w:szCs w:val="18"/>
                <w:color w:val="auto"/>
                <w:w w:val="99"/>
              </w:rPr>
              <w:t>A-2</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P-2</w:t>
            </w:r>
          </w:p>
        </w:tc>
      </w:tr>
      <w:tr>
        <w:trPr>
          <w:trHeight w:val="27"/>
        </w:trPr>
        <w:tc>
          <w:tcPr>
            <w:tcW w:w="49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Mortgage Bonds</w:t>
            </w:r>
          </w:p>
        </w:tc>
        <w:tc>
          <w:tcPr>
            <w:tcW w:w="512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rPr>
              <w:t>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r>
      <w:tr>
        <w:trPr>
          <w:trHeight w:val="20"/>
        </w:trPr>
        <w:tc>
          <w:tcPr>
            <w:tcW w:w="4960" w:type="dxa"/>
            <w:vAlign w:val="bottom"/>
            <w:shd w:val="clear" w:color="auto" w:fill="000000"/>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Common Stock Dividends</w:t>
      </w:r>
      <w:r>
        <w:rPr>
          <w:rFonts w:ascii="Arial" w:cs="Arial" w:eastAsia="Arial" w:hAnsi="Arial"/>
          <w:sz w:val="18"/>
          <w:szCs w:val="18"/>
          <w:color w:val="auto"/>
        </w:rPr>
        <w:t>. ALLETE is committed to providing a competitive dividend to its shareholders while at the same time funding its growth.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long-term objective is to maintain a dividend payout ratio similar to our peers and provide for future dividend increases. Our targeted payout range is between 60 percent and 65 percent. In 2016, we paid out 66 percent (69 percent in 2015; 68 percent in 2014) of our per share earnings in dividends. On January 25, 2017, our Board of Directors declared a dividend of $0.535 per share, which is payable on March 1, 2017, to shareholders of record at the close of business on February 15, 2017.</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ALLETE’s projected capital expenditures for the years 2017 through 2021 are presented in the following table. Actual capital expenditures may vary from the estimates due to changes in forecasted plant maintenance, regulatory decisions or approvals, future environmental requirements, base load growth, capital market conditions or executions of new business strategies.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w:t>
            </w:r>
          </w:p>
        </w:tc>
        <w:tc>
          <w:tcPr>
            <w:tcW w:w="1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720"/>
              <w:spacing w:after="0"/>
              <w:rPr>
                <w:sz w:val="20"/>
                <w:szCs w:val="20"/>
                <w:color w:val="auto"/>
              </w:rPr>
            </w:pPr>
            <w:r>
              <w:rPr>
                <w:rFonts w:ascii="Arial" w:cs="Arial" w:eastAsia="Arial" w:hAnsi="Arial"/>
                <w:sz w:val="18"/>
                <w:szCs w:val="18"/>
                <w:color w:val="auto"/>
              </w:rPr>
              <w:t>Base and Other</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$120</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$215</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$180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$175</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$165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$855</w:t>
            </w:r>
          </w:p>
        </w:tc>
      </w:tr>
      <w:tr>
        <w:trPr>
          <w:trHeight w:val="27"/>
        </w:trPr>
        <w:tc>
          <w:tcPr>
            <w:tcW w:w="4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Cost Recovery </w:t>
            </w:r>
            <w:r>
              <w:rPr>
                <w:rFonts w:ascii="Arial" w:cs="Arial" w:eastAsia="Arial" w:hAnsi="Arial"/>
                <w:sz w:val="16"/>
                <w:szCs w:val="16"/>
                <w:i w:val="1"/>
                <w:iCs w:val="1"/>
                <w:color w:val="auto"/>
              </w:rPr>
              <w:t>(a)</w:t>
            </w:r>
          </w:p>
        </w:tc>
        <w:tc>
          <w:tcPr>
            <w:tcW w:w="1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180"/>
              <w:spacing w:after="0"/>
              <w:rPr>
                <w:sz w:val="20"/>
                <w:szCs w:val="20"/>
                <w:color w:val="auto"/>
              </w:rPr>
            </w:pPr>
            <w:r>
              <w:rPr>
                <w:rFonts w:ascii="Arial" w:cs="Arial" w:eastAsia="Arial" w:hAnsi="Arial"/>
                <w:sz w:val="18"/>
                <w:szCs w:val="18"/>
                <w:color w:val="auto"/>
              </w:rPr>
              <w:t>Renewable</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 xml:space="preserve">Transmission </w:t>
            </w:r>
            <w:r>
              <w:rPr>
                <w:rFonts w:ascii="Arial" w:cs="Arial" w:eastAsia="Arial" w:hAnsi="Arial"/>
                <w:sz w:val="16"/>
                <w:szCs w:val="16"/>
                <w:i w:val="1"/>
                <w:iCs w:val="1"/>
                <w:color w:val="auto"/>
              </w:rPr>
              <w:t>(b)</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120</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80</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r>
      <w:tr>
        <w:trPr>
          <w:trHeight w:val="237"/>
        </w:trPr>
        <w:tc>
          <w:tcPr>
            <w:tcW w:w="42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Cost Recovery</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125</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80</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85</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50</w:t>
            </w:r>
          </w:p>
        </w:tc>
        <w:tc>
          <w:tcPr>
            <w:tcW w:w="1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4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 Capital Expenditures</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245</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265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225</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165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6"/>
                <w:szCs w:val="16"/>
                <w:i w:val="1"/>
                <w:iCs w:val="1"/>
                <w:color w:val="auto"/>
              </w:rPr>
              <w:t>(c)</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50</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70</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35</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45</w:t>
            </w:r>
          </w:p>
        </w:tc>
        <w:tc>
          <w:tcPr>
            <w:tcW w:w="1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20</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w:t>
            </w:r>
          </w:p>
        </w:tc>
      </w:tr>
      <w:tr>
        <w:trPr>
          <w:trHeight w:val="27"/>
        </w:trPr>
        <w:tc>
          <w:tcPr>
            <w:tcW w:w="4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$295</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$365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$300</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$270</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w:t>
            </w:r>
          </w:p>
        </w:tc>
      </w:tr>
      <w:tr>
        <w:trPr>
          <w:trHeight w:val="20"/>
        </w:trPr>
        <w:tc>
          <w:tcPr>
            <w:tcW w:w="42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Estimated capital expenditures eligible for cost recovery outside of a general rate case.</w:t>
      </w:r>
    </w:p>
    <w:p>
      <w:pPr>
        <w:spacing w:after="0" w:line="9" w:lineRule="exact"/>
        <w:rPr>
          <w:rFonts w:ascii="Arial" w:cs="Arial" w:eastAsia="Arial" w:hAnsi="Arial"/>
          <w:sz w:val="16"/>
          <w:szCs w:val="16"/>
          <w:i w:val="1"/>
          <w:iCs w:val="1"/>
          <w:color w:val="auto"/>
        </w:rPr>
      </w:pPr>
    </w:p>
    <w:p>
      <w:pPr>
        <w:ind w:left="340" w:right="20" w:hanging="332"/>
        <w:spacing w:after="0" w:line="246" w:lineRule="auto"/>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Our portion of transmission capital expenditures related to construction of the GNTL is estimated at approximately $330 million through 2020. (See Item 1. Business – Regulated Operations – Transmission and Distribution.)</w:t>
      </w: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projected capital expenditures for our non-regulated operations.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are well positioned to meet our financing needs due to adequate operating cash flows, available additional working capital and access to capital markets. We will finance capital expenditures from a combination of internally generated funds, debt and equity issuance proceeds. We intend to maintain a capital structure with capital ratios near current levels. (See </w:t>
      </w:r>
      <w:r>
        <w:rPr>
          <w:rFonts w:ascii="Arial" w:cs="Arial" w:eastAsia="Arial" w:hAnsi="Arial"/>
          <w:sz w:val="18"/>
          <w:szCs w:val="18"/>
          <w:i w:val="1"/>
          <w:iCs w:val="1"/>
          <w:color w:val="auto"/>
        </w:rPr>
        <w:t>Capital Structure.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02"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Environmental and Other Matters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regulation under many of these regulations. In response to these regulations, Minnesota Power is reshaping its generation portfolio over time to reduce its reliance on coal, has installed cost-effective emission control technology, and advocates for sound science and policy during rulemaking implementation. (See Note 11. Commitments, Guarantees and Contingencies.)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As of December 31, 2016,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 (See Note 8. Investments.)</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Interest Rate Risk</w:t>
      </w:r>
      <w:r>
        <w:rPr>
          <w:rFonts w:ascii="Arial" w:cs="Arial" w:eastAsia="Arial" w:hAnsi="Arial"/>
          <w:sz w:val="16"/>
          <w:szCs w:val="16"/>
          <w:color w:val="auto"/>
        </w:rPr>
        <w:t>. We are exposed to risks resulting from changes in interest rates as a result of our issuance of variable rate debt. We manage our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The following table presents the long-term debt obligations and the corresponding weighted average interest rate as of December 31, 2016: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Expected Maturity Date</w:t>
            </w: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Rate Sensitive</w:t>
            </w: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Thereafter</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Rate – Millions</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$62.0</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$62.0</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$54.7</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$87.6</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$96.4</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$1,037.1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$1,399.8</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$1,484.5</w:t>
            </w: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Average Interest Rate – %</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5.4</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Variable Rate – Millions</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$126.3</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$13.6</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$27.8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$169.3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Interest Rate – %</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6.2</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0.8</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rates on variable rate long-term debt are reset on a periodic basis reflecting prevailing market conditions. Based on the variable rate debt outstanding as of December 31, 2016, an increase of 100 basis points in interest rates would impact the amount of pre-tax interest expense by $1.7 million. This amount was determined by considering the impact of a hypothetical 100 basis point increase to the average variable interest rate on the variable rate debt outstanding as of December 31, 2016.</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Commodity Price Risk</w:t>
      </w:r>
      <w:r>
        <w:rPr>
          <w:rFonts w:ascii="Arial" w:cs="Arial" w:eastAsia="Arial" w:hAnsi="Arial"/>
          <w:sz w:val="18"/>
          <w:szCs w:val="18"/>
          <w:color w:val="auto"/>
        </w:rPr>
        <w:t>. Our regulated utility operations incur costs for power and fuel (primarily coal and related transportation) in Minnesota, and power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SWL&amp;P’s exposure to price risk for natural gas is significantly mitigated by the current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Power Marketing</w:t>
      </w:r>
      <w:r>
        <w:rPr>
          <w:rFonts w:ascii="Arial" w:cs="Arial" w:eastAsia="Arial" w:hAnsi="Arial"/>
          <w:sz w:val="18"/>
          <w:szCs w:val="18"/>
          <w:color w:val="auto"/>
        </w:rPr>
        <w:t>. Minnesota Power’s power marketing activities consist of: (1) purchasing energy in the wholesale market to serve its regulated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when energy requirements exceed generation output; and (2) selling excess available energy and purchased power. From time to time, Minnesota Power may have excess energy that is temporarily not required by retail and municipal customers in its regulated service territory. Minnesota Power actively sells any excess energy to the wholesale market to optimize the value of its generating facilities.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0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 of this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Market Risk for information related to quantitative and qualitative disclosure about market risk.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our Consolidated Financial Statements as of December 31, 2016 and 2015, and for the years ended December 31, 2016, 2015 and 2014, and supplementary data, which are indexed in Item 15(a).</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2016, evaluations were performed, under the supervision and with the 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based on the updated Internal Control – Integrated Framework (framework) issued by the Committee of Sponsoring Organizations of the Treadway Commission. Based on our evaluation under the framework, our management concluded that our internal control over financial reporting was effective as of December 31, 2016.</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2016, has been audited by PricewaterhouseCoopers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02"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stated, the information required by this Item is incorporated by reference herein from our Proxy Statement for the 2017 Annual Meeting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(2017 Proxy Statement) under the following headings:</w:t>
      </w:r>
    </w:p>
    <w:p>
      <w:pPr>
        <w:spacing w:after="0" w:line="20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The information regarding directors will be included in the “Election of Directors” section;</w:t>
      </w:r>
    </w:p>
    <w:p>
      <w:pPr>
        <w:spacing w:after="0" w:line="225" w:lineRule="exact"/>
        <w:rPr>
          <w:rFonts w:ascii="Arial" w:cs="Arial" w:eastAsia="Arial" w:hAnsi="Arial"/>
          <w:sz w:val="18"/>
          <w:szCs w:val="18"/>
          <w:color w:val="auto"/>
        </w:rPr>
      </w:pPr>
    </w:p>
    <w:p>
      <w:pPr>
        <w:ind w:left="660" w:right="86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The information regarding the Audit Committee financial expert will be included in the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section and the “Audit Committee Report” section;</w:t>
      </w:r>
    </w:p>
    <w:p>
      <w:pPr>
        <w:spacing w:after="0" w:line="161" w:lineRule="exact"/>
        <w:rPr>
          <w:rFonts w:ascii="Arial" w:cs="Arial" w:eastAsia="Arial" w:hAnsi="Arial"/>
          <w:sz w:val="18"/>
          <w:szCs w:val="18"/>
          <w:color w:val="auto"/>
        </w:rPr>
      </w:pPr>
    </w:p>
    <w:p>
      <w:pPr>
        <w:ind w:left="660" w:right="8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Members. </w:t>
      </w:r>
      <w:r>
        <w:rPr>
          <w:rFonts w:ascii="Arial" w:cs="Arial" w:eastAsia="Arial" w:hAnsi="Arial"/>
          <w:sz w:val="18"/>
          <w:szCs w:val="18"/>
          <w:color w:val="auto"/>
        </w:rPr>
        <w:t>The identity of the Audit Committee members will be included in the “Corporate Governance” section and the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Report” section;</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The information regarding executive officers is included in Part I of this Form 10-K; and</w:t>
      </w:r>
    </w:p>
    <w:p>
      <w:pPr>
        <w:spacing w:after="0" w:line="225" w:lineRule="exact"/>
        <w:rPr>
          <w:rFonts w:ascii="Arial" w:cs="Arial" w:eastAsia="Arial" w:hAnsi="Arial"/>
          <w:sz w:val="18"/>
          <w:szCs w:val="18"/>
          <w:color w:val="auto"/>
        </w:rPr>
      </w:pPr>
    </w:p>
    <w:p>
      <w:pPr>
        <w:ind w:left="660" w:right="12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Section 16(a) Compliance. </w:t>
      </w:r>
      <w:r>
        <w:rPr>
          <w:rFonts w:ascii="Arial" w:cs="Arial" w:eastAsia="Arial" w:hAnsi="Arial"/>
          <w:sz w:val="18"/>
          <w:szCs w:val="18"/>
          <w:color w:val="auto"/>
        </w:rPr>
        <w:t>The information regarding Section 16(a) compliance will be included in the “Ownership of ALLETE Common Stock –</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16(a) Beneficial Ownership Reporting Compliance”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2017 Proxy Statement will be filed with the SEC within 120 days after the end of our 2016 fiscal year.</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Code of Ethics. </w:t>
      </w:r>
      <w:r>
        <w:rPr>
          <w:rFonts w:ascii="Arial" w:cs="Arial" w:eastAsia="Arial" w:hAnsi="Arial"/>
          <w:sz w:val="17"/>
          <w:szCs w:val="17"/>
          <w:color w:val="auto"/>
        </w:rPr>
        <w:t>We have adopted a written Code of Ethics that applies to all of our employees, including our Chief Executive Officer, 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Chief Accounting Officer.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Governance. </w:t>
      </w:r>
      <w:r>
        <w:rPr>
          <w:rFonts w:ascii="Arial" w:cs="Arial" w:eastAsia="Arial" w:hAnsi="Arial"/>
          <w:sz w:val="18"/>
          <w:szCs w:val="18"/>
          <w:color w:val="auto"/>
        </w:rPr>
        <w:t>The following documents are available on our website at www.allete.com and print copies are available upon request:</w:t>
      </w:r>
    </w:p>
    <w:p>
      <w:pPr>
        <w:spacing w:after="0" w:line="22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Compensation Committee Charter;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Governance and Nominating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amendment to these documents will be disclosed on our website at www.allete.com promptly following the date of such amendment.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required for this Item is incorporated by reference herein from the “Compensation Discussion and Analysis,” the “Compensation of Executive Officers,” the “Compensation Committee Report” and the “Director Compensation” sections in our 2017 Proxy Statement.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for this Item is incorporated by reference herein from the “Ownership of ALLETE Common Stock – Securities Owned by Certain Beneficial Owners” and the “Ownership of ALLETE Common Stock – Securities Owned by Directors and Management” sections in our 2017 Proxy Statement.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02"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shares of ALLETE common stock available for issuance under the Company's equity compensation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 to be</w:t>
            </w:r>
          </w:p>
        </w:tc>
        <w:tc>
          <w:tcPr>
            <w:tcW w:w="24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42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7"/>
              </w:rPr>
              <w:t>Issued Upon Exercise of</w:t>
            </w:r>
          </w:p>
        </w:tc>
        <w:tc>
          <w:tcPr>
            <w:tcW w:w="248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Weighted-Average Exercise</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42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Options,</w:t>
            </w:r>
          </w:p>
        </w:tc>
        <w:tc>
          <w:tcPr>
            <w:tcW w:w="4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Price of Outstanding Options, Future Issuance Under Equity</w:t>
            </w:r>
          </w:p>
        </w:tc>
      </w:tr>
      <w:tr>
        <w:trPr>
          <w:trHeight w:val="234"/>
        </w:trPr>
        <w:tc>
          <w:tcPr>
            <w:tcW w:w="4200" w:type="dxa"/>
            <w:vAlign w:val="bottom"/>
          </w:tcPr>
          <w:p>
            <w:pPr>
              <w:ind w:left="1560"/>
              <w:spacing w:after="0"/>
              <w:rPr>
                <w:sz w:val="20"/>
                <w:szCs w:val="20"/>
                <w:color w:val="auto"/>
              </w:rPr>
            </w:pPr>
            <w:r>
              <w:rPr>
                <w:rFonts w:ascii="Arial" w:cs="Arial" w:eastAsia="Arial" w:hAnsi="Arial"/>
                <w:sz w:val="18"/>
                <w:szCs w:val="18"/>
                <w:b w:val="1"/>
                <w:bCs w:val="1"/>
                <w:color w:val="auto"/>
              </w:rPr>
              <w:t>Plan Category</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Warrants, and Rights</w:t>
            </w:r>
          </w:p>
        </w:tc>
        <w:tc>
          <w:tcPr>
            <w:tcW w:w="2480" w:type="dxa"/>
            <w:vAlign w:val="bottom"/>
          </w:tcPr>
          <w:p>
            <w:pPr>
              <w:jc w:val="right"/>
              <w:ind w:right="330"/>
              <w:spacing w:after="0"/>
              <w:rPr>
                <w:sz w:val="20"/>
                <w:szCs w:val="20"/>
                <w:color w:val="auto"/>
              </w:rPr>
            </w:pPr>
            <w:r>
              <w:rPr>
                <w:rFonts w:ascii="Arial" w:cs="Arial" w:eastAsia="Arial" w:hAnsi="Arial"/>
                <w:sz w:val="18"/>
                <w:szCs w:val="18"/>
                <w:b w:val="1"/>
                <w:bCs w:val="1"/>
                <w:color w:val="auto"/>
              </w:rPr>
              <w:t>Warrants, and Rights</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 xml:space="preserve">Compensation Plans </w:t>
            </w:r>
            <w:r>
              <w:rPr>
                <w:rFonts w:ascii="Arial" w:cs="Arial" w:eastAsia="Arial" w:hAnsi="Arial"/>
                <w:sz w:val="16"/>
                <w:szCs w:val="16"/>
                <w:i w:val="1"/>
                <w:iCs w:val="1"/>
                <w:color w:val="auto"/>
                <w:w w:val="88"/>
              </w:rPr>
              <w:t>(a)</w:t>
            </w:r>
          </w:p>
        </w:tc>
      </w:tr>
      <w:tr>
        <w:trPr>
          <w:trHeight w:val="27"/>
        </w:trPr>
        <w:tc>
          <w:tcPr>
            <w:tcW w:w="4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64"/>
        </w:trPr>
        <w:tc>
          <w:tcPr>
            <w:tcW w:w="42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29"/>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4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3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2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$40.29</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1,296,940</w:t>
            </w:r>
          </w:p>
        </w:tc>
      </w:tr>
      <w:tr>
        <w:trPr>
          <w:trHeight w:val="229"/>
        </w:trPr>
        <w:tc>
          <w:tcPr>
            <w:tcW w:w="4200" w:type="dxa"/>
            <w:vAlign w:val="bottom"/>
          </w:tcPr>
          <w:p>
            <w:pPr>
              <w:ind w:left="40"/>
              <w:spacing w:after="0"/>
              <w:rPr>
                <w:sz w:val="20"/>
                <w:szCs w:val="20"/>
                <w:color w:val="auto"/>
              </w:rPr>
            </w:pPr>
            <w:r>
              <w:rPr>
                <w:rFonts w:ascii="Arial" w:cs="Arial" w:eastAsia="Arial" w:hAnsi="Arial"/>
                <w:sz w:val="18"/>
                <w:szCs w:val="18"/>
                <w:color w:val="auto"/>
                <w:w w:val="96"/>
              </w:rPr>
              <w:t>Equity Compensation Plans Not Approved by Security</w:t>
            </w:r>
          </w:p>
        </w:tc>
        <w:tc>
          <w:tcPr>
            <w:tcW w:w="24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30"/>
        </w:trPr>
        <w:tc>
          <w:tcPr>
            <w:tcW w:w="4200" w:type="dxa"/>
            <w:vAlign w:val="bottom"/>
          </w:tcPr>
          <w:p>
            <w:pPr>
              <w:ind w:left="40"/>
              <w:spacing w:after="0"/>
              <w:rPr>
                <w:sz w:val="20"/>
                <w:szCs w:val="20"/>
                <w:color w:val="auto"/>
              </w:rPr>
            </w:pPr>
            <w:r>
              <w:rPr>
                <w:rFonts w:ascii="Arial" w:cs="Arial" w:eastAsia="Arial" w:hAnsi="Arial"/>
                <w:sz w:val="18"/>
                <w:szCs w:val="18"/>
                <w:color w:val="auto"/>
              </w:rPr>
              <w:t>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2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$40.29</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1,296,940</w:t>
            </w:r>
          </w:p>
        </w:tc>
      </w:tr>
      <w:tr>
        <w:trPr>
          <w:trHeight w:val="20"/>
        </w:trPr>
        <w:tc>
          <w:tcPr>
            <w:tcW w:w="420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number of securities shown in the first column as to be issued upon exercise of outstanding options, warrants, and rights. The amount shown is comprised of:</w:t>
      </w:r>
    </w:p>
    <w:p>
      <w:pPr>
        <w:spacing w:after="0" w:line="32" w:lineRule="exact"/>
        <w:rPr>
          <w:rFonts w:ascii="Arial" w:cs="Arial" w:eastAsia="Arial" w:hAnsi="Arial"/>
          <w:sz w:val="14"/>
          <w:szCs w:val="14"/>
          <w:i w:val="1"/>
          <w:iCs w:val="1"/>
          <w:color w:val="auto"/>
        </w:rPr>
      </w:pPr>
    </w:p>
    <w:p>
      <w:pPr>
        <w:jc w:val="both"/>
        <w:ind w:left="340"/>
        <w:spacing w:after="0" w:line="250" w:lineRule="auto"/>
        <w:rPr>
          <w:rFonts w:ascii="Arial" w:cs="Arial" w:eastAsia="Arial" w:hAnsi="Arial"/>
          <w:sz w:val="14"/>
          <w:szCs w:val="14"/>
          <w:i w:val="1"/>
          <w:iCs w:val="1"/>
          <w:color w:val="auto"/>
        </w:rPr>
      </w:pPr>
      <w:r>
        <w:rPr>
          <w:rFonts w:ascii="Arial" w:cs="Arial" w:eastAsia="Arial" w:hAnsi="Arial"/>
          <w:sz w:val="16"/>
          <w:szCs w:val="16"/>
          <w:i w:val="1"/>
          <w:iCs w:val="1"/>
          <w:color w:val="auto"/>
        </w:rPr>
        <w:t>(i) 1,019,561 shares available for issuance under the long-term incentive plan in the form of options, rights, restricted stock units, performance share awards, and other grants as approved by the Executive Compensation Committee of the Company’s Board of Directors; (ii) 140,794 shares available for issuance under the Director Stock Plan as payment for a portion of the annual retainer payable to non-employee Directors; and (iii) 136,585 shares available for issuance under the ALLETE and Affiliated Companies Employee Stock Purchase Plan.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“Corporate Governance” section in our 2017 Proxy Statement.</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“Audit Committee Report” section in our 2017 Proxy Statement.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02"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36" w:lineRule="exact"/>
        <w:rPr>
          <w:sz w:val="20"/>
          <w:szCs w:val="20"/>
          <w:color w:val="auto"/>
        </w:rPr>
      </w:pPr>
    </w:p>
    <w:p>
      <w:pPr>
        <w:ind w:left="720" w:hanging="68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Documents Filed as Part of this Form 10-K.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99"/>
              </w:rPr>
              <w:t>(1)</w:t>
            </w:r>
          </w:p>
        </w:tc>
        <w:tc>
          <w:tcPr>
            <w:tcW w:w="10480" w:type="dxa"/>
            <w:vAlign w:val="bottom"/>
            <w:gridSpan w:val="10"/>
          </w:tcPr>
          <w:p>
            <w:pPr>
              <w:ind w:left="240"/>
              <w:spacing w:after="0"/>
              <w:rPr>
                <w:sz w:val="20"/>
                <w:szCs w:val="20"/>
                <w:color w:val="auto"/>
              </w:rPr>
            </w:pPr>
            <w:r>
              <w:rPr>
                <w:rFonts w:ascii="Arial" w:cs="Arial" w:eastAsia="Arial" w:hAnsi="Arial"/>
                <w:sz w:val="18"/>
                <w:szCs w:val="18"/>
                <w:color w:val="auto"/>
              </w:rPr>
              <w:t>Financial Statements</w:t>
            </w: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Page</w:t>
            </w: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ALLETE</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0" w:type="dxa"/>
            <w:vAlign w:val="bottom"/>
            <w:gridSpan w:val="9"/>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w:t>
              </w:r>
            </w:hyperlink>
          </w:p>
        </w:tc>
        <w:tc>
          <w:tcPr>
            <w:tcW w:w="440" w:type="dxa"/>
            <w:vAlign w:val="bottom"/>
            <w:gridSpan w:val="4"/>
          </w:tcPr>
          <w:p>
            <w:pPr>
              <w:jc w:val="right"/>
              <w:ind w:righ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6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0" w:type="dxa"/>
            <w:vAlign w:val="bottom"/>
            <w:gridSpan w:val="9"/>
            <w:shd w:val="clear" w:color="auto" w:fill="CCEEFF"/>
          </w:tcPr>
          <w:p>
            <w:pPr>
              <w:spacing w:after="0" w:line="202" w:lineRule="exact"/>
              <w:rPr>
                <w:sz w:val="20"/>
                <w:szCs w:val="20"/>
                <w:color w:val="auto"/>
              </w:rPr>
            </w:pPr>
            <w:r>
              <w:rPr>
                <w:rFonts w:ascii="Arial" w:cs="Arial" w:eastAsia="Arial" w:hAnsi="Arial"/>
                <w:sz w:val="18"/>
                <w:szCs w:val="18"/>
                <w:color w:val="auto"/>
              </w:rPr>
              <w:t>Consolidated Balance Sheet as of December 31, 2016 and 2015</w:t>
            </w:r>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43"/>
        </w:trPr>
        <w:tc>
          <w:tcPr>
            <w:tcW w:w="48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0000" w:type="dxa"/>
            <w:vAlign w:val="bottom"/>
            <w:tcBorders>
              <w:top w:val="single" w:sz="8" w:color="CCEEFF"/>
            </w:tcBorders>
            <w:gridSpan w:val="9"/>
          </w:tcPr>
          <w:p>
            <w:pPr>
              <w:spacing w:after="0"/>
              <w:rPr>
                <w:sz w:val="20"/>
                <w:szCs w:val="20"/>
                <w:color w:val="auto"/>
              </w:rPr>
            </w:pPr>
            <w:r>
              <w:rPr>
                <w:rFonts w:ascii="Arial" w:cs="Arial" w:eastAsia="Arial" w:hAnsi="Arial"/>
                <w:sz w:val="18"/>
                <w:szCs w:val="18"/>
                <w:color w:val="auto"/>
              </w:rPr>
              <w:t>For the Years Ended December 31, 2016, 2015 and 2014</w:t>
            </w: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 of Income</w:t>
              </w:r>
            </w:hyperlink>
          </w:p>
        </w:tc>
        <w:tc>
          <w:tcPr>
            <w:tcW w:w="7280" w:type="dxa"/>
            <w:vAlign w:val="bottom"/>
            <w:gridSpan w:val="6"/>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72</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8"/>
          </w:tcPr>
          <w:p>
            <w:pPr>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 of Comprehensive Income</w:t>
              </w:r>
            </w:hyperlink>
          </w:p>
        </w:tc>
        <w:tc>
          <w:tcPr>
            <w:tcW w:w="440" w:type="dxa"/>
            <w:vAlign w:val="bottom"/>
            <w:gridSpan w:val="4"/>
          </w:tcPr>
          <w:p>
            <w:pPr>
              <w:jc w:val="right"/>
              <w:ind w:right="4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80" w:type="dxa"/>
            <w:vAlign w:val="bottom"/>
            <w:gridSpan w:val="8"/>
            <w:shd w:val="clear" w:color="auto" w:fill="CCEEFF"/>
          </w:tcPr>
          <w:p>
            <w:pPr>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 of Cash Flows</w:t>
              </w:r>
            </w:hyperlink>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3"/>
          </w:tcPr>
          <w:p>
            <w:pPr>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 of Equity</w:t>
              </w:r>
            </w:hyperlink>
          </w:p>
        </w:tc>
        <w:tc>
          <w:tcPr>
            <w:tcW w:w="6980" w:type="dxa"/>
            <w:vAlign w:val="bottom"/>
            <w:gridSpan w:val="5"/>
          </w:tcPr>
          <w:p>
            <w:pPr>
              <w:spacing w:after="0"/>
              <w:rPr>
                <w:sz w:val="17"/>
                <w:szCs w:val="17"/>
                <w:color w:val="auto"/>
              </w:rPr>
            </w:pPr>
          </w:p>
        </w:tc>
        <w:tc>
          <w:tcPr>
            <w:tcW w:w="220" w:type="dxa"/>
            <w:vAlign w:val="bottom"/>
            <w:gridSpan w:val="2"/>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75</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160" w:type="dxa"/>
            <w:vAlign w:val="bottom"/>
            <w:gridSpan w:val="5"/>
            <w:shd w:val="clear" w:color="auto" w:fill="CCEEFF"/>
          </w:tcPr>
          <w:p>
            <w:pPr>
              <w:spacing w:after="0" w:line="20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Notes to Consolidated Financial Statements</w:t>
              </w:r>
            </w:hyperlink>
          </w:p>
        </w:tc>
        <w:tc>
          <w:tcPr>
            <w:tcW w:w="6840" w:type="dxa"/>
            <w:vAlign w:val="bottom"/>
            <w:gridSpan w:val="4"/>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76</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43"/>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99"/>
              </w:rPr>
              <w:t>(2)</w:t>
            </w:r>
          </w:p>
        </w:tc>
        <w:tc>
          <w:tcPr>
            <w:tcW w:w="10480" w:type="dxa"/>
            <w:vAlign w:val="bottom"/>
            <w:gridSpan w:val="10"/>
          </w:tcPr>
          <w:p>
            <w:pPr>
              <w:ind w:left="240"/>
              <w:spacing w:after="0"/>
              <w:rPr>
                <w:sz w:val="20"/>
                <w:szCs w:val="20"/>
                <w:color w:val="auto"/>
              </w:rPr>
            </w:pPr>
            <w:r>
              <w:rPr>
                <w:rFonts w:ascii="Arial" w:cs="Arial" w:eastAsia="Arial" w:hAnsi="Arial"/>
                <w:sz w:val="18"/>
                <w:szCs w:val="18"/>
                <w:color w:val="auto"/>
              </w:rPr>
              <w:t>Financial Statement Schedules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spacing w:after="0" w:line="202" w:lineRule="exact"/>
              <w:rPr>
                <w:rFonts w:ascii="Arial" w:cs="Arial" w:eastAsia="Arial" w:hAnsi="Arial"/>
                <w:sz w:val="18"/>
                <w:szCs w:val="18"/>
                <w:color w:val="0000EE"/>
              </w:rPr>
            </w:pPr>
            <w:hyperlink w:anchor="page140">
              <w:r>
                <w:rPr>
                  <w:rFonts w:ascii="Arial" w:cs="Arial" w:eastAsia="Arial" w:hAnsi="Arial"/>
                  <w:sz w:val="18"/>
                  <w:szCs w:val="18"/>
                  <w:color w:val="0000EE"/>
                </w:rPr>
                <w:t>Schedule II – ALLETE Valuation and Qualifying Accounts and Reserves</w:t>
              </w:r>
            </w:hyperlink>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140">
              <w:r>
                <w:rPr>
                  <w:rFonts w:ascii="Arial" w:cs="Arial" w:eastAsia="Arial" w:hAnsi="Arial"/>
                  <w:sz w:val="18"/>
                  <w:szCs w:val="18"/>
                  <w:color w:val="0000EE"/>
                </w:rPr>
                <w:t>139</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29"/>
        </w:trPr>
        <w:tc>
          <w:tcPr>
            <w:tcW w:w="480" w:type="dxa"/>
            <w:vAlign w:val="bottom"/>
          </w:tcPr>
          <w:p>
            <w:pPr>
              <w:spacing w:after="0"/>
              <w:rPr>
                <w:sz w:val="19"/>
                <w:szCs w:val="19"/>
                <w:color w:val="auto"/>
              </w:rPr>
            </w:pPr>
          </w:p>
        </w:tc>
        <w:tc>
          <w:tcPr>
            <w:tcW w:w="10480" w:type="dxa"/>
            <w:vAlign w:val="bottom"/>
            <w:gridSpan w:val="10"/>
          </w:tcPr>
          <w:p>
            <w:pPr>
              <w:ind w:left="240"/>
              <w:spacing w:after="0"/>
              <w:rPr>
                <w:sz w:val="20"/>
                <w:szCs w:val="20"/>
                <w:color w:val="auto"/>
              </w:rPr>
            </w:pPr>
            <w:r>
              <w:rPr>
                <w:rFonts w:ascii="Arial" w:cs="Arial" w:eastAsia="Arial" w:hAnsi="Arial"/>
                <w:sz w:val="18"/>
                <w:szCs w:val="18"/>
                <w:color w:val="auto"/>
                <w:w w:val="91"/>
              </w:rPr>
              <w:t>All other schedules have been omitted either because the information is not required to be reported by ALLETE or because the information is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80" w:type="dxa"/>
            <w:vAlign w:val="bottom"/>
          </w:tcPr>
          <w:p>
            <w:pPr>
              <w:spacing w:after="0"/>
              <w:rPr>
                <w:sz w:val="20"/>
                <w:szCs w:val="20"/>
                <w:color w:val="auto"/>
              </w:rPr>
            </w:pPr>
          </w:p>
        </w:tc>
        <w:tc>
          <w:tcPr>
            <w:tcW w:w="10480" w:type="dxa"/>
            <w:vAlign w:val="bottom"/>
            <w:gridSpan w:val="10"/>
          </w:tcPr>
          <w:p>
            <w:pPr>
              <w:ind w:left="240"/>
              <w:spacing w:after="0"/>
              <w:rPr>
                <w:sz w:val="20"/>
                <w:szCs w:val="20"/>
                <w:color w:val="auto"/>
              </w:rPr>
            </w:pPr>
            <w:r>
              <w:rPr>
                <w:rFonts w:ascii="Arial" w:cs="Arial" w:eastAsia="Arial" w:hAnsi="Arial"/>
                <w:sz w:val="18"/>
                <w:szCs w:val="18"/>
                <w:color w:val="auto"/>
              </w:rPr>
              <w:t>included in the Consolidated Financial Statements or the notes.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 including those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702"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*3(a)1</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tcBorders>
              <w:bottom w:val="single" w:sz="8" w:color="CCEEFF"/>
            </w:tcBorders>
            <w:gridSpan w:val="4"/>
            <w:shd w:val="clear" w:color="auto" w:fill="CCEEFF"/>
          </w:tcPr>
          <w:p>
            <w:pPr>
              <w:ind w:left="160"/>
              <w:spacing w:after="0" w:line="184" w:lineRule="exact"/>
              <w:rPr>
                <w:sz w:val="20"/>
                <w:szCs w:val="20"/>
                <w:color w:val="auto"/>
              </w:rPr>
            </w:pPr>
            <w:r>
              <w:rPr>
                <w:rFonts w:ascii="Arial" w:cs="Arial" w:eastAsia="Arial" w:hAnsi="Arial"/>
                <w:sz w:val="16"/>
                <w:szCs w:val="16"/>
                <w:color w:val="auto"/>
                <w:w w:val="98"/>
              </w:rPr>
              <w:t>Articles of Incorporation, amended and restated as of May 8, 2001 (filed as Exhibit 3(b) to the March 31, 2001, Form 10</w:t>
            </w:r>
            <w:r>
              <w:rPr>
                <w:rFonts w:ascii="MS PGothic" w:cs="MS PGothic" w:eastAsia="MS PGothic" w:hAnsi="MS PGothic"/>
                <w:sz w:val="16"/>
                <w:szCs w:val="16"/>
                <w:color w:val="auto"/>
                <w:w w:val="98"/>
              </w:rPr>
              <w:t>‑</w:t>
            </w:r>
            <w:r>
              <w:rPr>
                <w:rFonts w:ascii="Arial" w:cs="Arial" w:eastAsia="Arial" w:hAnsi="Arial"/>
                <w:sz w:val="16"/>
                <w:szCs w:val="16"/>
                <w:color w:val="auto"/>
                <w:w w:val="98"/>
              </w:rPr>
              <w:t>Q, File No. 1-3548).</w:t>
            </w:r>
          </w:p>
        </w:tc>
      </w:tr>
      <w:tr>
        <w:trPr>
          <w:trHeight w:val="224"/>
        </w:trPr>
        <w:tc>
          <w:tcPr>
            <w:tcW w:w="820" w:type="dxa"/>
            <w:vAlign w:val="bottom"/>
          </w:tcPr>
          <w:p>
            <w:pPr>
              <w:ind w:left="40"/>
              <w:spacing w:after="0"/>
              <w:rPr>
                <w:sz w:val="20"/>
                <w:szCs w:val="20"/>
                <w:color w:val="auto"/>
              </w:rPr>
            </w:pPr>
            <w:r>
              <w:rPr>
                <w:rFonts w:ascii="Arial" w:cs="Arial" w:eastAsia="Arial" w:hAnsi="Arial"/>
                <w:sz w:val="16"/>
                <w:szCs w:val="16"/>
                <w:color w:val="auto"/>
              </w:rPr>
              <w:t>*3(a)2</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
          </w:tcPr>
          <w:p>
            <w:pPr>
              <w:ind w:left="160"/>
              <w:spacing w:after="0"/>
              <w:rPr>
                <w:sz w:val="20"/>
                <w:szCs w:val="20"/>
                <w:color w:val="auto"/>
              </w:rPr>
            </w:pPr>
            <w:r>
              <w:rPr>
                <w:rFonts w:ascii="Arial" w:cs="Arial" w:eastAsia="Arial" w:hAnsi="Arial"/>
                <w:sz w:val="16"/>
                <w:szCs w:val="16"/>
                <w:color w:val="auto"/>
                <w:w w:val="93"/>
              </w:rPr>
              <w:t>Amendment to Articles of Incorporation, dated as of September 20, 2004 (filed as Exhibit 3 to the September 21, 2004, Form 8-K, File No. 1-3548).</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900" w:type="dxa"/>
            <w:vAlign w:val="bottom"/>
            <w:gridSpan w:val="4"/>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*3(a)3</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Amendment to Articles of Incorporation, dated as of May 12, 2009 (filed as Exhibit 3 to the June 30, 2009, Form 10-Q, File No. 1-3548).</w:t>
            </w:r>
          </w:p>
        </w:tc>
      </w:tr>
      <w:tr>
        <w:trPr>
          <w:trHeight w:val="224"/>
        </w:trPr>
        <w:tc>
          <w:tcPr>
            <w:tcW w:w="820" w:type="dxa"/>
            <w:vAlign w:val="bottom"/>
          </w:tcPr>
          <w:p>
            <w:pPr>
              <w:ind w:left="40"/>
              <w:spacing w:after="0"/>
              <w:rPr>
                <w:sz w:val="20"/>
                <w:szCs w:val="20"/>
                <w:color w:val="auto"/>
              </w:rPr>
            </w:pPr>
            <w:r>
              <w:rPr>
                <w:rFonts w:ascii="Arial" w:cs="Arial" w:eastAsia="Arial" w:hAnsi="Arial"/>
                <w:sz w:val="16"/>
                <w:szCs w:val="16"/>
                <w:color w:val="auto"/>
              </w:rPr>
              <w:t>*3(a)4</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
          </w:tcPr>
          <w:p>
            <w:pPr>
              <w:ind w:left="160"/>
              <w:spacing w:after="0"/>
              <w:rPr>
                <w:sz w:val="20"/>
                <w:szCs w:val="20"/>
                <w:color w:val="auto"/>
              </w:rPr>
            </w:pPr>
            <w:r>
              <w:rPr>
                <w:rFonts w:ascii="Arial" w:cs="Arial" w:eastAsia="Arial" w:hAnsi="Arial"/>
                <w:sz w:val="16"/>
                <w:szCs w:val="16"/>
                <w:color w:val="auto"/>
              </w:rPr>
              <w:t>Amendment to Articles of Incorporation, dated as of May 11, 2010 (filed as Exhibit 3(a) to the May 14, 2010, Form 8-K, File No. 1-3548).</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900" w:type="dxa"/>
            <w:vAlign w:val="bottom"/>
            <w:gridSpan w:val="4"/>
          </w:tcPr>
          <w:p>
            <w:pPr>
              <w:spacing w:after="0"/>
              <w:rPr>
                <w:sz w:val="2"/>
                <w:szCs w:val="2"/>
                <w:color w:val="auto"/>
              </w:rPr>
            </w:pPr>
          </w:p>
        </w:tc>
      </w:tr>
      <w:tr>
        <w:trPr>
          <w:trHeight w:val="220"/>
        </w:trPr>
        <w:tc>
          <w:tcPr>
            <w:tcW w:w="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*3(a)5</w:t>
            </w:r>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w w:val="96"/>
              </w:rPr>
              <w:t>Amendment to Certificate of Assumed Name, filed with the Minnesota Secretary of State on May 8, 2001 (filed as Exhibit 3(a) to the March 31,</w:t>
            </w:r>
          </w:p>
        </w:tc>
      </w:tr>
      <w:tr>
        <w:trPr>
          <w:trHeight w:val="219"/>
        </w:trPr>
        <w:tc>
          <w:tcPr>
            <w:tcW w:w="8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2001, Form 10-Q, File No. 1-3548).</w:t>
            </w:r>
          </w:p>
        </w:tc>
        <w:tc>
          <w:tcPr>
            <w:tcW w:w="43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224"/>
        </w:trPr>
        <w:tc>
          <w:tcPr>
            <w:tcW w:w="820" w:type="dxa"/>
            <w:vAlign w:val="bottom"/>
          </w:tcPr>
          <w:p>
            <w:pPr>
              <w:ind w:left="40"/>
              <w:spacing w:after="0"/>
              <w:rPr>
                <w:sz w:val="20"/>
                <w:szCs w:val="20"/>
                <w:color w:val="auto"/>
              </w:rPr>
            </w:pPr>
            <w:r>
              <w:rPr>
                <w:rFonts w:ascii="Arial" w:cs="Arial" w:eastAsia="Arial" w:hAnsi="Arial"/>
                <w:sz w:val="16"/>
                <w:szCs w:val="16"/>
                <w:color w:val="auto"/>
              </w:rPr>
              <w:t>*3(b)</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7840" w:type="dxa"/>
            <w:vAlign w:val="bottom"/>
            <w:gridSpan w:val="3"/>
          </w:tcPr>
          <w:p>
            <w:pPr>
              <w:ind w:left="160"/>
              <w:spacing w:after="0"/>
              <w:rPr>
                <w:sz w:val="20"/>
                <w:szCs w:val="20"/>
                <w:color w:val="auto"/>
              </w:rPr>
            </w:pPr>
            <w:r>
              <w:rPr>
                <w:rFonts w:ascii="Arial" w:cs="Arial" w:eastAsia="Arial" w:hAnsi="Arial"/>
                <w:sz w:val="16"/>
                <w:szCs w:val="16"/>
                <w:color w:val="auto"/>
                <w:w w:val="94"/>
              </w:rPr>
              <w:t>Bylaws, as amended effective May 11, 2010 (filed as Exhibit 3(b) to the May 14, 2010, Form 8-K, File No. 1-3548).</w:t>
            </w:r>
          </w:p>
        </w:tc>
        <w:tc>
          <w:tcPr>
            <w:tcW w:w="2060" w:type="dxa"/>
            <w:vAlign w:val="bottom"/>
          </w:tcPr>
          <w:p>
            <w:pPr>
              <w:spacing w:after="0"/>
              <w:rPr>
                <w:sz w:val="19"/>
                <w:szCs w:val="19"/>
                <w:color w:val="auto"/>
              </w:rPr>
            </w:pP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900" w:type="dxa"/>
            <w:vAlign w:val="bottom"/>
            <w:gridSpan w:val="4"/>
          </w:tcPr>
          <w:p>
            <w:pPr>
              <w:spacing w:after="0"/>
              <w:rPr>
                <w:sz w:val="2"/>
                <w:szCs w:val="2"/>
                <w:color w:val="auto"/>
              </w:rPr>
            </w:pPr>
          </w:p>
        </w:tc>
      </w:tr>
      <w:tr>
        <w:trPr>
          <w:trHeight w:val="220"/>
        </w:trPr>
        <w:tc>
          <w:tcPr>
            <w:tcW w:w="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*4(a)1</w:t>
            </w:r>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w w:val="95"/>
              </w:rPr>
              <w:t>Mortgage and Deed of Trust, dated as of September 1, 1945, between Minnesota Power &amp; Light Company (now ALLETE) and The Bank of New</w:t>
            </w:r>
          </w:p>
        </w:tc>
      </w:tr>
      <w:tr>
        <w:trPr>
          <w:trHeight w:val="219"/>
        </w:trPr>
        <w:tc>
          <w:tcPr>
            <w:tcW w:w="8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99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w w:val="94"/>
              </w:rPr>
              <w:t>York Mellon (formerly Irving Trust Company) and Andres Serrano (successor to Richard H. West), Trustees (filed as Exhibit 7(c), File No. 2-5865).</w:t>
            </w:r>
          </w:p>
        </w:tc>
      </w:tr>
      <w:tr>
        <w:trPr>
          <w:trHeight w:val="224"/>
        </w:trPr>
        <w:tc>
          <w:tcPr>
            <w:tcW w:w="820" w:type="dxa"/>
            <w:vAlign w:val="bottom"/>
          </w:tcPr>
          <w:p>
            <w:pPr>
              <w:ind w:left="40"/>
              <w:spacing w:after="0"/>
              <w:rPr>
                <w:sz w:val="20"/>
                <w:szCs w:val="20"/>
                <w:color w:val="auto"/>
              </w:rPr>
            </w:pPr>
            <w:r>
              <w:rPr>
                <w:rFonts w:ascii="Arial" w:cs="Arial" w:eastAsia="Arial" w:hAnsi="Arial"/>
                <w:sz w:val="16"/>
                <w:szCs w:val="16"/>
                <w:color w:val="auto"/>
              </w:rPr>
              <w:t>*4(a)2</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7840" w:type="dxa"/>
            <w:vAlign w:val="bottom"/>
            <w:gridSpan w:val="3"/>
          </w:tcPr>
          <w:p>
            <w:pPr>
              <w:ind w:left="160"/>
              <w:spacing w:after="0"/>
              <w:rPr>
                <w:sz w:val="20"/>
                <w:szCs w:val="20"/>
                <w:color w:val="auto"/>
              </w:rPr>
            </w:pPr>
            <w:r>
              <w:rPr>
                <w:rFonts w:ascii="Arial" w:cs="Arial" w:eastAsia="Arial" w:hAnsi="Arial"/>
                <w:sz w:val="16"/>
                <w:szCs w:val="16"/>
                <w:color w:val="auto"/>
              </w:rPr>
              <w:t>Supplemental Indentures to ALLETE’s Mortgage and Deed of Trust:</w:t>
            </w:r>
          </w:p>
        </w:tc>
        <w:tc>
          <w:tcPr>
            <w:tcW w:w="2060" w:type="dxa"/>
            <w:vAlign w:val="bottom"/>
          </w:tcPr>
          <w:p>
            <w:pPr>
              <w:spacing w:after="0"/>
              <w:rPr>
                <w:sz w:val="19"/>
                <w:szCs w:val="19"/>
                <w:color w:val="auto"/>
              </w:rPr>
            </w:pP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Number</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Dated as of</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Reference File</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Exhibit</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First</w:t>
            </w:r>
          </w:p>
        </w:tc>
        <w:tc>
          <w:tcPr>
            <w:tcW w:w="1920" w:type="dxa"/>
            <w:vAlign w:val="bottom"/>
          </w:tcPr>
          <w:p>
            <w:pPr>
              <w:ind w:left="400"/>
              <w:spacing w:after="0"/>
              <w:rPr>
                <w:sz w:val="20"/>
                <w:szCs w:val="20"/>
                <w:color w:val="auto"/>
              </w:rPr>
            </w:pPr>
            <w:r>
              <w:rPr>
                <w:rFonts w:ascii="Arial" w:cs="Arial" w:eastAsia="Arial" w:hAnsi="Arial"/>
                <w:sz w:val="16"/>
                <w:szCs w:val="16"/>
                <w:color w:val="auto"/>
              </w:rPr>
              <w:t>March 1, 1949</w:t>
            </w:r>
          </w:p>
        </w:tc>
        <w:tc>
          <w:tcPr>
            <w:tcW w:w="4340" w:type="dxa"/>
            <w:vAlign w:val="bottom"/>
          </w:tcPr>
          <w:p>
            <w:pPr>
              <w:ind w:left="280"/>
              <w:spacing w:after="0"/>
              <w:rPr>
                <w:sz w:val="20"/>
                <w:szCs w:val="20"/>
                <w:color w:val="auto"/>
              </w:rPr>
            </w:pPr>
            <w:r>
              <w:rPr>
                <w:rFonts w:ascii="Arial" w:cs="Arial" w:eastAsia="Arial" w:hAnsi="Arial"/>
                <w:sz w:val="16"/>
                <w:szCs w:val="16"/>
                <w:color w:val="auto"/>
              </w:rPr>
              <w:t>2-7826</w:t>
            </w:r>
          </w:p>
        </w:tc>
        <w:tc>
          <w:tcPr>
            <w:tcW w:w="2060" w:type="dxa"/>
            <w:vAlign w:val="bottom"/>
          </w:tcPr>
          <w:p>
            <w:pPr>
              <w:ind w:left="140"/>
              <w:spacing w:after="0"/>
              <w:rPr>
                <w:sz w:val="20"/>
                <w:szCs w:val="20"/>
                <w:color w:val="auto"/>
              </w:rPr>
            </w:pPr>
            <w:r>
              <w:rPr>
                <w:rFonts w:ascii="Arial" w:cs="Arial" w:eastAsia="Arial" w:hAnsi="Arial"/>
                <w:sz w:val="16"/>
                <w:szCs w:val="16"/>
                <w:color w:val="auto"/>
              </w:rPr>
              <w:t>7(b)</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Second</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July 1, 1951</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2-9036</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7(c)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Third</w:t>
            </w:r>
          </w:p>
        </w:tc>
        <w:tc>
          <w:tcPr>
            <w:tcW w:w="1920" w:type="dxa"/>
            <w:vAlign w:val="bottom"/>
          </w:tcPr>
          <w:p>
            <w:pPr>
              <w:ind w:left="400"/>
              <w:spacing w:after="0"/>
              <w:rPr>
                <w:sz w:val="20"/>
                <w:szCs w:val="20"/>
                <w:color w:val="auto"/>
              </w:rPr>
            </w:pPr>
            <w:r>
              <w:rPr>
                <w:rFonts w:ascii="Arial" w:cs="Arial" w:eastAsia="Arial" w:hAnsi="Arial"/>
                <w:sz w:val="16"/>
                <w:szCs w:val="16"/>
                <w:color w:val="auto"/>
              </w:rPr>
              <w:t>March 1, 1957</w:t>
            </w:r>
          </w:p>
        </w:tc>
        <w:tc>
          <w:tcPr>
            <w:tcW w:w="4340" w:type="dxa"/>
            <w:vAlign w:val="bottom"/>
          </w:tcPr>
          <w:p>
            <w:pPr>
              <w:ind w:left="280"/>
              <w:spacing w:after="0"/>
              <w:rPr>
                <w:sz w:val="20"/>
                <w:szCs w:val="20"/>
                <w:color w:val="auto"/>
              </w:rPr>
            </w:pPr>
            <w:r>
              <w:rPr>
                <w:rFonts w:ascii="Arial" w:cs="Arial" w:eastAsia="Arial" w:hAnsi="Arial"/>
                <w:sz w:val="16"/>
                <w:szCs w:val="16"/>
                <w:color w:val="auto"/>
              </w:rPr>
              <w:t>2-13075</w:t>
            </w:r>
          </w:p>
        </w:tc>
        <w:tc>
          <w:tcPr>
            <w:tcW w:w="2060" w:type="dxa"/>
            <w:vAlign w:val="bottom"/>
          </w:tcPr>
          <w:p>
            <w:pPr>
              <w:ind w:left="14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Fourth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January 1, 1968</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2-27794</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Fifth</w:t>
            </w:r>
          </w:p>
        </w:tc>
        <w:tc>
          <w:tcPr>
            <w:tcW w:w="1920" w:type="dxa"/>
            <w:vAlign w:val="bottom"/>
          </w:tcPr>
          <w:p>
            <w:pPr>
              <w:ind w:left="400"/>
              <w:spacing w:after="0"/>
              <w:rPr>
                <w:sz w:val="20"/>
                <w:szCs w:val="20"/>
                <w:color w:val="auto"/>
              </w:rPr>
            </w:pPr>
            <w:r>
              <w:rPr>
                <w:rFonts w:ascii="Arial" w:cs="Arial" w:eastAsia="Arial" w:hAnsi="Arial"/>
                <w:sz w:val="16"/>
                <w:szCs w:val="16"/>
                <w:color w:val="auto"/>
              </w:rPr>
              <w:t>April 1, 1971</w:t>
            </w:r>
          </w:p>
        </w:tc>
        <w:tc>
          <w:tcPr>
            <w:tcW w:w="4340" w:type="dxa"/>
            <w:vAlign w:val="bottom"/>
          </w:tcPr>
          <w:p>
            <w:pPr>
              <w:ind w:left="280"/>
              <w:spacing w:after="0"/>
              <w:rPr>
                <w:sz w:val="20"/>
                <w:szCs w:val="20"/>
                <w:color w:val="auto"/>
              </w:rPr>
            </w:pPr>
            <w:r>
              <w:rPr>
                <w:rFonts w:ascii="Arial" w:cs="Arial" w:eastAsia="Arial" w:hAnsi="Arial"/>
                <w:sz w:val="16"/>
                <w:szCs w:val="16"/>
                <w:color w:val="auto"/>
              </w:rPr>
              <w:t>2-39537</w:t>
            </w:r>
          </w:p>
        </w:tc>
        <w:tc>
          <w:tcPr>
            <w:tcW w:w="2060" w:type="dxa"/>
            <w:vAlign w:val="bottom"/>
          </w:tcPr>
          <w:p>
            <w:pPr>
              <w:ind w:left="14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Sixth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August 1, 1975</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2-54116</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Seventh</w:t>
            </w:r>
          </w:p>
        </w:tc>
        <w:tc>
          <w:tcPr>
            <w:tcW w:w="1920" w:type="dxa"/>
            <w:vAlign w:val="bottom"/>
          </w:tcPr>
          <w:p>
            <w:pPr>
              <w:ind w:left="400"/>
              <w:spacing w:after="0"/>
              <w:rPr>
                <w:sz w:val="20"/>
                <w:szCs w:val="20"/>
                <w:color w:val="auto"/>
              </w:rPr>
            </w:pPr>
            <w:r>
              <w:rPr>
                <w:rFonts w:ascii="Arial" w:cs="Arial" w:eastAsia="Arial" w:hAnsi="Arial"/>
                <w:sz w:val="16"/>
                <w:szCs w:val="16"/>
                <w:color w:val="auto"/>
              </w:rPr>
              <w:t>September 1, 1976</w:t>
            </w:r>
          </w:p>
        </w:tc>
        <w:tc>
          <w:tcPr>
            <w:tcW w:w="4340" w:type="dxa"/>
            <w:vAlign w:val="bottom"/>
          </w:tcPr>
          <w:p>
            <w:pPr>
              <w:ind w:left="280"/>
              <w:spacing w:after="0"/>
              <w:rPr>
                <w:sz w:val="20"/>
                <w:szCs w:val="20"/>
                <w:color w:val="auto"/>
              </w:rPr>
            </w:pPr>
            <w:r>
              <w:rPr>
                <w:rFonts w:ascii="Arial" w:cs="Arial" w:eastAsia="Arial" w:hAnsi="Arial"/>
                <w:sz w:val="16"/>
                <w:szCs w:val="16"/>
                <w:color w:val="auto"/>
              </w:rPr>
              <w:t>2-57014</w:t>
            </w:r>
          </w:p>
        </w:tc>
        <w:tc>
          <w:tcPr>
            <w:tcW w:w="2060" w:type="dxa"/>
            <w:vAlign w:val="bottom"/>
          </w:tcPr>
          <w:p>
            <w:pPr>
              <w:ind w:left="14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Eighth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September 1, 1977</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2-59690</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Ninth</w:t>
            </w:r>
          </w:p>
        </w:tc>
        <w:tc>
          <w:tcPr>
            <w:tcW w:w="1920" w:type="dxa"/>
            <w:vAlign w:val="bottom"/>
          </w:tcPr>
          <w:p>
            <w:pPr>
              <w:ind w:left="400"/>
              <w:spacing w:after="0"/>
              <w:rPr>
                <w:sz w:val="20"/>
                <w:szCs w:val="20"/>
                <w:color w:val="auto"/>
              </w:rPr>
            </w:pPr>
            <w:r>
              <w:rPr>
                <w:rFonts w:ascii="Arial" w:cs="Arial" w:eastAsia="Arial" w:hAnsi="Arial"/>
                <w:sz w:val="16"/>
                <w:szCs w:val="16"/>
                <w:color w:val="auto"/>
              </w:rPr>
              <w:t>April 1, 1978</w:t>
            </w:r>
          </w:p>
        </w:tc>
        <w:tc>
          <w:tcPr>
            <w:tcW w:w="4340" w:type="dxa"/>
            <w:vAlign w:val="bottom"/>
          </w:tcPr>
          <w:p>
            <w:pPr>
              <w:ind w:left="280"/>
              <w:spacing w:after="0"/>
              <w:rPr>
                <w:sz w:val="20"/>
                <w:szCs w:val="20"/>
                <w:color w:val="auto"/>
              </w:rPr>
            </w:pPr>
            <w:r>
              <w:rPr>
                <w:rFonts w:ascii="Arial" w:cs="Arial" w:eastAsia="Arial" w:hAnsi="Arial"/>
                <w:sz w:val="16"/>
                <w:szCs w:val="16"/>
                <w:color w:val="auto"/>
              </w:rPr>
              <w:t>2-60866</w:t>
            </w:r>
          </w:p>
        </w:tc>
        <w:tc>
          <w:tcPr>
            <w:tcW w:w="2060" w:type="dxa"/>
            <w:vAlign w:val="bottom"/>
          </w:tcPr>
          <w:p>
            <w:pPr>
              <w:ind w:left="14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August 1, 1978</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2-62852</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2(d)2</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Eleventh</w:t>
            </w:r>
          </w:p>
        </w:tc>
        <w:tc>
          <w:tcPr>
            <w:tcW w:w="1920" w:type="dxa"/>
            <w:vAlign w:val="bottom"/>
          </w:tcPr>
          <w:p>
            <w:pPr>
              <w:ind w:left="400"/>
              <w:spacing w:after="0"/>
              <w:rPr>
                <w:sz w:val="20"/>
                <w:szCs w:val="20"/>
                <w:color w:val="auto"/>
              </w:rPr>
            </w:pPr>
            <w:r>
              <w:rPr>
                <w:rFonts w:ascii="Arial" w:cs="Arial" w:eastAsia="Arial" w:hAnsi="Arial"/>
                <w:sz w:val="16"/>
                <w:szCs w:val="16"/>
                <w:color w:val="auto"/>
              </w:rPr>
              <w:t>December 1, 1982</w:t>
            </w:r>
          </w:p>
        </w:tc>
        <w:tc>
          <w:tcPr>
            <w:tcW w:w="4340" w:type="dxa"/>
            <w:vAlign w:val="bottom"/>
          </w:tcPr>
          <w:p>
            <w:pPr>
              <w:ind w:left="280"/>
              <w:spacing w:after="0"/>
              <w:rPr>
                <w:sz w:val="20"/>
                <w:szCs w:val="20"/>
                <w:color w:val="auto"/>
              </w:rPr>
            </w:pPr>
            <w:r>
              <w:rPr>
                <w:rFonts w:ascii="Arial" w:cs="Arial" w:eastAsia="Arial" w:hAnsi="Arial"/>
                <w:sz w:val="16"/>
                <w:szCs w:val="16"/>
                <w:color w:val="auto"/>
              </w:rPr>
              <w:t>2-56649</w:t>
            </w:r>
          </w:p>
        </w:tc>
        <w:tc>
          <w:tcPr>
            <w:tcW w:w="2060" w:type="dxa"/>
            <w:vAlign w:val="bottom"/>
          </w:tcPr>
          <w:p>
            <w:pPr>
              <w:ind w:left="140"/>
              <w:spacing w:after="0"/>
              <w:rPr>
                <w:sz w:val="20"/>
                <w:szCs w:val="20"/>
                <w:color w:val="auto"/>
              </w:rPr>
            </w:pPr>
            <w:r>
              <w:rPr>
                <w:rFonts w:ascii="Arial" w:cs="Arial" w:eastAsia="Arial" w:hAnsi="Arial"/>
                <w:sz w:val="16"/>
                <w:szCs w:val="16"/>
                <w:color w:val="auto"/>
              </w:rPr>
              <w:t>4(a)3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Twelfth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April 1, 1987</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33-30224</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4(a)3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March 1, 1992</w:t>
            </w:r>
          </w:p>
        </w:tc>
        <w:tc>
          <w:tcPr>
            <w:tcW w:w="4340" w:type="dxa"/>
            <w:vAlign w:val="bottom"/>
          </w:tcPr>
          <w:p>
            <w:pPr>
              <w:ind w:left="280"/>
              <w:spacing w:after="0"/>
              <w:rPr>
                <w:sz w:val="20"/>
                <w:szCs w:val="20"/>
                <w:color w:val="auto"/>
              </w:rPr>
            </w:pPr>
            <w:r>
              <w:rPr>
                <w:rFonts w:ascii="Arial" w:cs="Arial" w:eastAsia="Arial" w:hAnsi="Arial"/>
                <w:sz w:val="16"/>
                <w:szCs w:val="16"/>
                <w:color w:val="auto"/>
              </w:rPr>
              <w:t>33-47438</w:t>
            </w:r>
          </w:p>
        </w:tc>
        <w:tc>
          <w:tcPr>
            <w:tcW w:w="2060" w:type="dxa"/>
            <w:vAlign w:val="bottom"/>
          </w:tcPr>
          <w:p>
            <w:pPr>
              <w:ind w:left="140"/>
              <w:spacing w:after="0"/>
              <w:rPr>
                <w:sz w:val="20"/>
                <w:szCs w:val="20"/>
                <w:color w:val="auto"/>
              </w:rPr>
            </w:pPr>
            <w:r>
              <w:rPr>
                <w:rFonts w:ascii="Arial" w:cs="Arial" w:eastAsia="Arial" w:hAnsi="Arial"/>
                <w:sz w:val="16"/>
                <w:szCs w:val="16"/>
                <w:color w:val="auto"/>
              </w:rPr>
              <w:t>4(b)</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Fourteenth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June 1, 1992</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33-55240</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4(b)</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Fifteenth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July 1, 1992</w:t>
            </w:r>
          </w:p>
        </w:tc>
        <w:tc>
          <w:tcPr>
            <w:tcW w:w="4340" w:type="dxa"/>
            <w:vAlign w:val="bottom"/>
          </w:tcPr>
          <w:p>
            <w:pPr>
              <w:ind w:left="280"/>
              <w:spacing w:after="0"/>
              <w:rPr>
                <w:sz w:val="20"/>
                <w:szCs w:val="20"/>
                <w:color w:val="auto"/>
              </w:rPr>
            </w:pPr>
            <w:r>
              <w:rPr>
                <w:rFonts w:ascii="Arial" w:cs="Arial" w:eastAsia="Arial" w:hAnsi="Arial"/>
                <w:sz w:val="16"/>
                <w:szCs w:val="16"/>
                <w:color w:val="auto"/>
              </w:rPr>
              <w:t>33-55240</w:t>
            </w:r>
          </w:p>
        </w:tc>
        <w:tc>
          <w:tcPr>
            <w:tcW w:w="2060" w:type="dxa"/>
            <w:vAlign w:val="bottom"/>
          </w:tcPr>
          <w:p>
            <w:pPr>
              <w:ind w:left="140"/>
              <w:spacing w:after="0"/>
              <w:rPr>
                <w:sz w:val="20"/>
                <w:szCs w:val="20"/>
                <w:color w:val="auto"/>
              </w:rPr>
            </w:pPr>
            <w:r>
              <w:rPr>
                <w:rFonts w:ascii="Arial" w:cs="Arial" w:eastAsia="Arial" w:hAnsi="Arial"/>
                <w:sz w:val="16"/>
                <w:szCs w:val="16"/>
                <w:color w:val="auto"/>
              </w:rPr>
              <w:t>4(c)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Sixteenth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July 1, 1992</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33-55240</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4(d)</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Seventeenth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February 1, 1993</w:t>
            </w:r>
          </w:p>
        </w:tc>
        <w:tc>
          <w:tcPr>
            <w:tcW w:w="4340" w:type="dxa"/>
            <w:vAlign w:val="bottom"/>
          </w:tcPr>
          <w:p>
            <w:pPr>
              <w:ind w:left="280"/>
              <w:spacing w:after="0"/>
              <w:rPr>
                <w:sz w:val="20"/>
                <w:szCs w:val="20"/>
                <w:color w:val="auto"/>
              </w:rPr>
            </w:pPr>
            <w:r>
              <w:rPr>
                <w:rFonts w:ascii="Arial" w:cs="Arial" w:eastAsia="Arial" w:hAnsi="Arial"/>
                <w:sz w:val="16"/>
                <w:szCs w:val="16"/>
                <w:color w:val="auto"/>
              </w:rPr>
              <w:t>33-50143</w:t>
            </w:r>
          </w:p>
        </w:tc>
        <w:tc>
          <w:tcPr>
            <w:tcW w:w="2060" w:type="dxa"/>
            <w:vAlign w:val="bottom"/>
          </w:tcPr>
          <w:p>
            <w:pPr>
              <w:ind w:left="140"/>
              <w:spacing w:after="0"/>
              <w:rPr>
                <w:sz w:val="20"/>
                <w:szCs w:val="20"/>
                <w:color w:val="auto"/>
              </w:rPr>
            </w:pPr>
            <w:r>
              <w:rPr>
                <w:rFonts w:ascii="Arial" w:cs="Arial" w:eastAsia="Arial" w:hAnsi="Arial"/>
                <w:sz w:val="16"/>
                <w:szCs w:val="16"/>
                <w:color w:val="auto"/>
              </w:rPr>
              <w:t>4(b)</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Eighteenth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July 1, 1993</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33-50143</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Nineteenth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February 1, 1997</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(1996 Form 10-K)</w:t>
            </w:r>
          </w:p>
        </w:tc>
        <w:tc>
          <w:tcPr>
            <w:tcW w:w="2060" w:type="dxa"/>
            <w:vAlign w:val="bottom"/>
          </w:tcPr>
          <w:p>
            <w:pPr>
              <w:ind w:left="140"/>
              <w:spacing w:after="0"/>
              <w:rPr>
                <w:sz w:val="20"/>
                <w:szCs w:val="20"/>
                <w:color w:val="auto"/>
              </w:rPr>
            </w:pPr>
            <w:r>
              <w:rPr>
                <w:rFonts w:ascii="Arial" w:cs="Arial" w:eastAsia="Arial" w:hAnsi="Arial"/>
                <w:sz w:val="16"/>
                <w:szCs w:val="16"/>
                <w:color w:val="auto"/>
              </w:rPr>
              <w:t>4(a)3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Twentieth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November 1, 1997</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(1997 Form 10-K)</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4(a)3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Twenty-first</w:t>
            </w:r>
          </w:p>
        </w:tc>
        <w:tc>
          <w:tcPr>
            <w:tcW w:w="1920" w:type="dxa"/>
            <w:vAlign w:val="bottom"/>
          </w:tcPr>
          <w:p>
            <w:pPr>
              <w:ind w:left="400"/>
              <w:spacing w:after="0"/>
              <w:rPr>
                <w:sz w:val="20"/>
                <w:szCs w:val="20"/>
                <w:color w:val="auto"/>
              </w:rPr>
            </w:pPr>
            <w:r>
              <w:rPr>
                <w:rFonts w:ascii="Arial" w:cs="Arial" w:eastAsia="Arial" w:hAnsi="Arial"/>
                <w:sz w:val="16"/>
                <w:szCs w:val="16"/>
                <w:color w:val="auto"/>
              </w:rPr>
              <w:t>October 1, 2000</w:t>
            </w:r>
          </w:p>
        </w:tc>
        <w:tc>
          <w:tcPr>
            <w:tcW w:w="4340" w:type="dxa"/>
            <w:vAlign w:val="bottom"/>
          </w:tcPr>
          <w:p>
            <w:pPr>
              <w:ind w:left="280"/>
              <w:spacing w:after="0"/>
              <w:rPr>
                <w:sz w:val="20"/>
                <w:szCs w:val="20"/>
                <w:color w:val="auto"/>
              </w:rPr>
            </w:pPr>
            <w:r>
              <w:rPr>
                <w:rFonts w:ascii="Arial" w:cs="Arial" w:eastAsia="Arial" w:hAnsi="Arial"/>
                <w:sz w:val="16"/>
                <w:szCs w:val="16"/>
                <w:color w:val="auto"/>
              </w:rPr>
              <w:t>333-54330</w:t>
            </w:r>
          </w:p>
        </w:tc>
        <w:tc>
          <w:tcPr>
            <w:tcW w:w="2060" w:type="dxa"/>
            <w:vAlign w:val="bottom"/>
          </w:tcPr>
          <w:p>
            <w:pPr>
              <w:ind w:left="140"/>
              <w:spacing w:after="0"/>
              <w:rPr>
                <w:sz w:val="20"/>
                <w:szCs w:val="20"/>
                <w:color w:val="auto"/>
              </w:rPr>
            </w:pPr>
            <w:r>
              <w:rPr>
                <w:rFonts w:ascii="Arial" w:cs="Arial" w:eastAsia="Arial" w:hAnsi="Arial"/>
                <w:sz w:val="16"/>
                <w:szCs w:val="16"/>
                <w:color w:val="auto"/>
              </w:rPr>
              <w:t>4(c)3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Twenty-second</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July 1, 2003</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(June 30, 2003, Form 10-Q)</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Twenty-third</w:t>
            </w:r>
          </w:p>
        </w:tc>
        <w:tc>
          <w:tcPr>
            <w:tcW w:w="1920" w:type="dxa"/>
            <w:vAlign w:val="bottom"/>
          </w:tcPr>
          <w:p>
            <w:pPr>
              <w:ind w:left="400"/>
              <w:spacing w:after="0"/>
              <w:rPr>
                <w:sz w:val="20"/>
                <w:szCs w:val="20"/>
                <w:color w:val="auto"/>
              </w:rPr>
            </w:pPr>
            <w:r>
              <w:rPr>
                <w:rFonts w:ascii="Arial" w:cs="Arial" w:eastAsia="Arial" w:hAnsi="Arial"/>
                <w:sz w:val="16"/>
                <w:szCs w:val="16"/>
                <w:color w:val="auto"/>
              </w:rPr>
              <w:t>August 1, 2004</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(Sept. 30, 2004, Form 10-Q)</w:t>
            </w:r>
          </w:p>
        </w:tc>
        <w:tc>
          <w:tcPr>
            <w:tcW w:w="2060" w:type="dxa"/>
            <w:vAlign w:val="bottom"/>
          </w:tcPr>
          <w:p>
            <w:pPr>
              <w:ind w:left="140"/>
              <w:spacing w:after="0"/>
              <w:rPr>
                <w:sz w:val="20"/>
                <w:szCs w:val="20"/>
                <w:color w:val="auto"/>
              </w:rPr>
            </w:pPr>
            <w:r>
              <w:rPr>
                <w:rFonts w:ascii="Arial" w:cs="Arial" w:eastAsia="Arial" w:hAnsi="Arial"/>
                <w:sz w:val="16"/>
                <w:szCs w:val="16"/>
                <w:color w:val="auto"/>
              </w:rPr>
              <w:t>4(a)</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Twenty-fourth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March 1, 2005</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(March 31, 2005, Form 10-Q)</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Twenty-fifth</w:t>
            </w:r>
          </w:p>
        </w:tc>
        <w:tc>
          <w:tcPr>
            <w:tcW w:w="1920" w:type="dxa"/>
            <w:vAlign w:val="bottom"/>
          </w:tcPr>
          <w:p>
            <w:pPr>
              <w:ind w:left="400"/>
              <w:spacing w:after="0"/>
              <w:rPr>
                <w:sz w:val="20"/>
                <w:szCs w:val="20"/>
                <w:color w:val="auto"/>
              </w:rPr>
            </w:pPr>
            <w:r>
              <w:rPr>
                <w:rFonts w:ascii="Arial" w:cs="Arial" w:eastAsia="Arial" w:hAnsi="Arial"/>
                <w:sz w:val="16"/>
                <w:szCs w:val="16"/>
                <w:color w:val="auto"/>
              </w:rPr>
              <w:t>December 1, 2005</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(March 31, 2006, Form 10-Q)</w:t>
            </w:r>
          </w:p>
        </w:tc>
        <w:tc>
          <w:tcPr>
            <w:tcW w:w="2060" w:type="dxa"/>
            <w:vAlign w:val="bottom"/>
          </w:tcPr>
          <w:p>
            <w:pPr>
              <w:ind w:left="140"/>
              <w:spacing w:after="0"/>
              <w:rPr>
                <w:sz w:val="20"/>
                <w:szCs w:val="20"/>
                <w:color w:val="auto"/>
              </w:rPr>
            </w:pPr>
            <w:r>
              <w:rPr>
                <w:rFonts w:ascii="Arial" w:cs="Arial" w:eastAsia="Arial" w:hAnsi="Arial"/>
                <w:sz w:val="16"/>
                <w:szCs w:val="16"/>
                <w:color w:val="auto"/>
              </w:rPr>
              <w:t>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Twenty-sixth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October 1, 2006</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(2006 Form 10-K)</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Twenty-seventh</w:t>
            </w:r>
          </w:p>
        </w:tc>
        <w:tc>
          <w:tcPr>
            <w:tcW w:w="1920" w:type="dxa"/>
            <w:vAlign w:val="bottom"/>
          </w:tcPr>
          <w:p>
            <w:pPr>
              <w:ind w:left="400"/>
              <w:spacing w:after="0"/>
              <w:rPr>
                <w:sz w:val="20"/>
                <w:szCs w:val="20"/>
                <w:color w:val="auto"/>
              </w:rPr>
            </w:pPr>
            <w:r>
              <w:rPr>
                <w:rFonts w:ascii="Arial" w:cs="Arial" w:eastAsia="Arial" w:hAnsi="Arial"/>
                <w:sz w:val="16"/>
                <w:szCs w:val="16"/>
                <w:color w:val="auto"/>
              </w:rPr>
              <w:t>February 1, 2008</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(2007 Form 10-K)</w:t>
            </w:r>
          </w:p>
        </w:tc>
        <w:tc>
          <w:tcPr>
            <w:tcW w:w="2060" w:type="dxa"/>
            <w:vAlign w:val="bottom"/>
          </w:tcPr>
          <w:p>
            <w:pPr>
              <w:ind w:left="140"/>
              <w:spacing w:after="0"/>
              <w:rPr>
                <w:sz w:val="20"/>
                <w:szCs w:val="20"/>
                <w:color w:val="auto"/>
              </w:rPr>
            </w:pPr>
            <w:r>
              <w:rPr>
                <w:rFonts w:ascii="Arial" w:cs="Arial" w:eastAsia="Arial" w:hAnsi="Arial"/>
                <w:sz w:val="16"/>
                <w:szCs w:val="16"/>
                <w:color w:val="auto"/>
              </w:rPr>
              <w:t>4(a)3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Twenty-eighth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May 1, 2008</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(June 30, 2008, Form 10-Q)</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Twenty-ninth</w:t>
            </w:r>
          </w:p>
        </w:tc>
        <w:tc>
          <w:tcPr>
            <w:tcW w:w="1920" w:type="dxa"/>
            <w:vAlign w:val="bottom"/>
          </w:tcPr>
          <w:p>
            <w:pPr>
              <w:ind w:left="400"/>
              <w:spacing w:after="0"/>
              <w:rPr>
                <w:sz w:val="20"/>
                <w:szCs w:val="20"/>
                <w:color w:val="auto"/>
              </w:rPr>
            </w:pPr>
            <w:r>
              <w:rPr>
                <w:rFonts w:ascii="Arial" w:cs="Arial" w:eastAsia="Arial" w:hAnsi="Arial"/>
                <w:sz w:val="16"/>
                <w:szCs w:val="16"/>
                <w:color w:val="auto"/>
              </w:rPr>
              <w:t>November 1, 2008</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(2008 Form 10-K)</w:t>
            </w:r>
          </w:p>
        </w:tc>
        <w:tc>
          <w:tcPr>
            <w:tcW w:w="2060" w:type="dxa"/>
            <w:vAlign w:val="bottom"/>
          </w:tcPr>
          <w:p>
            <w:pPr>
              <w:ind w:left="140"/>
              <w:spacing w:after="0"/>
              <w:rPr>
                <w:sz w:val="20"/>
                <w:szCs w:val="20"/>
                <w:color w:val="auto"/>
              </w:rPr>
            </w:pPr>
            <w:r>
              <w:rPr>
                <w:rFonts w:ascii="Arial" w:cs="Arial" w:eastAsia="Arial" w:hAnsi="Arial"/>
                <w:sz w:val="16"/>
                <w:szCs w:val="16"/>
                <w:color w:val="auto"/>
              </w:rPr>
              <w:t>4(a)3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Thirtieth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January 1, 2009</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(2008 Form 10-K)</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4(a)4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Thirty-first</w:t>
            </w:r>
          </w:p>
        </w:tc>
        <w:tc>
          <w:tcPr>
            <w:tcW w:w="1920" w:type="dxa"/>
            <w:vAlign w:val="bottom"/>
          </w:tcPr>
          <w:p>
            <w:pPr>
              <w:ind w:left="400"/>
              <w:spacing w:after="0"/>
              <w:rPr>
                <w:sz w:val="20"/>
                <w:szCs w:val="20"/>
                <w:color w:val="auto"/>
              </w:rPr>
            </w:pPr>
            <w:r>
              <w:rPr>
                <w:rFonts w:ascii="Arial" w:cs="Arial" w:eastAsia="Arial" w:hAnsi="Arial"/>
                <w:sz w:val="16"/>
                <w:szCs w:val="16"/>
                <w:color w:val="auto"/>
              </w:rPr>
              <w:t>February 1, 2010</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(March 31, 2010, Form 10-Q)</w:t>
            </w:r>
          </w:p>
        </w:tc>
        <w:tc>
          <w:tcPr>
            <w:tcW w:w="2060" w:type="dxa"/>
            <w:vAlign w:val="bottom"/>
          </w:tcPr>
          <w:p>
            <w:pPr>
              <w:ind w:left="140"/>
              <w:spacing w:after="0"/>
              <w:rPr>
                <w:sz w:val="20"/>
                <w:szCs w:val="20"/>
                <w:color w:val="auto"/>
              </w:rPr>
            </w:pPr>
            <w:r>
              <w:rPr>
                <w:rFonts w:ascii="Arial" w:cs="Arial" w:eastAsia="Arial" w:hAnsi="Arial"/>
                <w:sz w:val="16"/>
                <w:szCs w:val="16"/>
                <w:color w:val="auto"/>
              </w:rPr>
              <w:t>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Thirty-second</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August 1, 2010</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(Sept. 30, 2010, Form 10-Q)</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Thirty-third</w:t>
            </w:r>
          </w:p>
        </w:tc>
        <w:tc>
          <w:tcPr>
            <w:tcW w:w="1920" w:type="dxa"/>
            <w:vAlign w:val="bottom"/>
          </w:tcPr>
          <w:p>
            <w:pPr>
              <w:ind w:left="400"/>
              <w:spacing w:after="0"/>
              <w:rPr>
                <w:sz w:val="20"/>
                <w:szCs w:val="20"/>
                <w:color w:val="auto"/>
              </w:rPr>
            </w:pPr>
            <w:r>
              <w:rPr>
                <w:rFonts w:ascii="Arial" w:cs="Arial" w:eastAsia="Arial" w:hAnsi="Arial"/>
                <w:sz w:val="16"/>
                <w:szCs w:val="16"/>
                <w:color w:val="auto"/>
              </w:rPr>
              <w:t>July 1, 2012</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(July 2, 2012, Form 8-K)</w:t>
            </w:r>
          </w:p>
        </w:tc>
        <w:tc>
          <w:tcPr>
            <w:tcW w:w="2060" w:type="dxa"/>
            <w:vAlign w:val="bottom"/>
          </w:tcPr>
          <w:p>
            <w:pPr>
              <w:ind w:left="140"/>
              <w:spacing w:after="0"/>
              <w:rPr>
                <w:sz w:val="20"/>
                <w:szCs w:val="20"/>
                <w:color w:val="auto"/>
              </w:rPr>
            </w:pPr>
            <w:r>
              <w:rPr>
                <w:rFonts w:ascii="Arial" w:cs="Arial" w:eastAsia="Arial" w:hAnsi="Arial"/>
                <w:sz w:val="16"/>
                <w:szCs w:val="16"/>
                <w:color w:val="auto"/>
              </w:rPr>
              <w:t>4</w:t>
            </w:r>
          </w:p>
        </w:tc>
      </w:tr>
      <w:tr>
        <w:trPr>
          <w:trHeight w:val="47"/>
        </w:trPr>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Thirty-fourth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April 1, 2013</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(April 2, 2013, Form 8-K)</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Thirty-fifth</w:t>
            </w:r>
          </w:p>
        </w:tc>
        <w:tc>
          <w:tcPr>
            <w:tcW w:w="1920" w:type="dxa"/>
            <w:vAlign w:val="bottom"/>
          </w:tcPr>
          <w:p>
            <w:pPr>
              <w:ind w:left="400"/>
              <w:spacing w:after="0"/>
              <w:rPr>
                <w:sz w:val="20"/>
                <w:szCs w:val="20"/>
                <w:color w:val="auto"/>
              </w:rPr>
            </w:pPr>
            <w:r>
              <w:rPr>
                <w:rFonts w:ascii="Arial" w:cs="Arial" w:eastAsia="Arial" w:hAnsi="Arial"/>
                <w:sz w:val="16"/>
                <w:szCs w:val="16"/>
                <w:color w:val="auto"/>
              </w:rPr>
              <w:t>March 1, 2014</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(March 31, 2014, Form 10-Q)</w:t>
            </w:r>
          </w:p>
        </w:tc>
        <w:tc>
          <w:tcPr>
            <w:tcW w:w="2060" w:type="dxa"/>
            <w:vAlign w:val="bottom"/>
          </w:tcPr>
          <w:p>
            <w:pPr>
              <w:ind w:left="140"/>
              <w:spacing w:after="0"/>
              <w:rPr>
                <w:sz w:val="20"/>
                <w:szCs w:val="20"/>
                <w:color w:val="auto"/>
              </w:rPr>
            </w:pPr>
            <w:r>
              <w:rPr>
                <w:rFonts w:ascii="Arial" w:cs="Arial" w:eastAsia="Arial" w:hAnsi="Arial"/>
                <w:sz w:val="16"/>
                <w:szCs w:val="16"/>
                <w:color w:val="auto"/>
              </w:rPr>
              <w:t>4</w:t>
            </w:r>
          </w:p>
        </w:tc>
      </w:tr>
      <w:tr>
        <w:trPr>
          <w:trHeight w:val="47"/>
        </w:trPr>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Thirty-sixth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June 1, 2014</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(June 30, 2014, Form 10-Q)</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Thirty-seventh</w:t>
            </w:r>
          </w:p>
        </w:tc>
        <w:tc>
          <w:tcPr>
            <w:tcW w:w="1920" w:type="dxa"/>
            <w:vAlign w:val="bottom"/>
          </w:tcPr>
          <w:p>
            <w:pPr>
              <w:ind w:left="400"/>
              <w:spacing w:after="0"/>
              <w:rPr>
                <w:sz w:val="20"/>
                <w:szCs w:val="20"/>
                <w:color w:val="auto"/>
              </w:rPr>
            </w:pPr>
            <w:r>
              <w:rPr>
                <w:rFonts w:ascii="Arial" w:cs="Arial" w:eastAsia="Arial" w:hAnsi="Arial"/>
                <w:sz w:val="16"/>
                <w:szCs w:val="16"/>
                <w:color w:val="auto"/>
              </w:rPr>
              <w:t>September 1, 2014</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(Sept. 30, 2014, Form 10-Q)</w:t>
            </w:r>
          </w:p>
        </w:tc>
        <w:tc>
          <w:tcPr>
            <w:tcW w:w="2060" w:type="dxa"/>
            <w:vAlign w:val="bottom"/>
          </w:tcPr>
          <w:p>
            <w:pPr>
              <w:ind w:left="140"/>
              <w:spacing w:after="0"/>
              <w:rPr>
                <w:sz w:val="20"/>
                <w:szCs w:val="20"/>
                <w:color w:val="auto"/>
              </w:rPr>
            </w:pPr>
            <w:r>
              <w:rPr>
                <w:rFonts w:ascii="Arial" w:cs="Arial" w:eastAsia="Arial" w:hAnsi="Arial"/>
                <w:sz w:val="16"/>
                <w:szCs w:val="16"/>
                <w:color w:val="auto"/>
              </w:rPr>
              <w:t>4</w:t>
            </w:r>
          </w:p>
        </w:tc>
      </w:tr>
      <w:tr>
        <w:trPr>
          <w:trHeight w:val="47"/>
        </w:trPr>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224"/>
        </w:trPr>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Thirty-eighth</w:t>
            </w:r>
          </w:p>
        </w:tc>
        <w:tc>
          <w:tcPr>
            <w:tcW w:w="1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September 1, 2015</w:t>
            </w:r>
          </w:p>
        </w:tc>
        <w:tc>
          <w:tcPr>
            <w:tcW w:w="4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1-3548 (Sept. 30, 2015, Form 10-Q)</w:t>
            </w:r>
          </w:p>
        </w:tc>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4(a)</w:t>
            </w:r>
          </w:p>
        </w:tc>
      </w:tr>
      <w:tr>
        <w:trPr>
          <w:trHeight w:val="47"/>
        </w:trPr>
        <w:tc>
          <w:tcPr>
            <w:tcW w:w="8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1920" w:type="dxa"/>
            <w:vAlign w:val="bottom"/>
            <w:shd w:val="clear" w:color="auto" w:fill="CCEEFF"/>
          </w:tcPr>
          <w:p>
            <w:pPr>
              <w:spacing w:after="0"/>
              <w:rPr>
                <w:sz w:val="4"/>
                <w:szCs w:val="4"/>
                <w:color w:val="auto"/>
              </w:rPr>
            </w:pPr>
          </w:p>
        </w:tc>
        <w:tc>
          <w:tcPr>
            <w:tcW w:w="4340" w:type="dxa"/>
            <w:vAlign w:val="bottom"/>
            <w:shd w:val="clear" w:color="auto" w:fill="CCEEFF"/>
          </w:tcPr>
          <w:p>
            <w:pPr>
              <w:spacing w:after="0"/>
              <w:rPr>
                <w:sz w:val="4"/>
                <w:szCs w:val="4"/>
                <w:color w:val="auto"/>
              </w:rPr>
            </w:pPr>
          </w:p>
        </w:tc>
        <w:tc>
          <w:tcPr>
            <w:tcW w:w="206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00"/>
          </w:cols>
          <w:pgMar w:left="240" w:top="891"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Inc. 2016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891" w:right="2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294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79" w:lineRule="exact"/>
        <w:rPr>
          <w:sz w:val="20"/>
          <w:szCs w:val="20"/>
          <w:color w:val="auto"/>
        </w:rPr>
      </w:pPr>
    </w:p>
    <w:p>
      <w:pPr>
        <w:ind w:left="1340" w:right="40" w:hanging="1620"/>
        <w:spacing w:after="0" w:line="319" w:lineRule="auto"/>
        <w:tabs>
          <w:tab w:leader="none" w:pos="1320" w:val="left"/>
        </w:tabs>
        <w:rPr>
          <w:sz w:val="20"/>
          <w:szCs w:val="20"/>
          <w:color w:val="auto"/>
        </w:rPr>
      </w:pPr>
      <w:r>
        <w:rPr>
          <w:rFonts w:ascii="Arial" w:cs="Arial" w:eastAsia="Arial" w:hAnsi="Arial"/>
          <w:sz w:val="16"/>
          <w:szCs w:val="16"/>
          <w:color w:val="auto"/>
        </w:rPr>
        <w:t>*4(b)1</w:t>
      </w:r>
      <w:r>
        <w:rPr>
          <w:sz w:val="20"/>
          <w:szCs w:val="20"/>
          <w:color w:val="auto"/>
        </w:rPr>
        <w:tab/>
      </w:r>
      <w:r>
        <w:rPr>
          <w:rFonts w:ascii="Arial" w:cs="Arial" w:eastAsia="Arial" w:hAnsi="Arial"/>
          <w:sz w:val="15"/>
          <w:szCs w:val="15"/>
          <w:color w:val="auto"/>
        </w:rPr>
        <w:t>— Mortgage and Deed of Trust, dated as of March 1, 1943, between Superior Water, Light and Power Company and Chemical Bank &amp; Trust Company and Howard B. Smith, as Trustees, both succeeded by U.S. Bank National Association, as Trustee (filed as Exhibit 7(c), File No. 2-8668).</w:t>
      </w:r>
    </w:p>
    <w:p>
      <w:pPr>
        <w:spacing w:after="0" w:line="1"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*4(b)2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Supplemental Indentures to Superior Water, Light and Power Company’s Mortgage and Deed of Trust: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b w:val="1"/>
                <w:bCs w:val="1"/>
                <w:color w:val="auto"/>
              </w:rPr>
              <w:t>Number</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Dated as of</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Reference File</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b w:val="1"/>
                <w:bCs w:val="1"/>
                <w:color w:val="auto"/>
              </w:rPr>
              <w:t>Exhibit</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First</w:t>
            </w:r>
          </w:p>
        </w:tc>
        <w:tc>
          <w:tcPr>
            <w:tcW w:w="2120" w:type="dxa"/>
            <w:vAlign w:val="bottom"/>
          </w:tcPr>
          <w:p>
            <w:pPr>
              <w:ind w:left="620"/>
              <w:spacing w:after="0"/>
              <w:rPr>
                <w:sz w:val="20"/>
                <w:szCs w:val="20"/>
                <w:color w:val="auto"/>
              </w:rPr>
            </w:pPr>
            <w:r>
              <w:rPr>
                <w:rFonts w:ascii="Arial" w:cs="Arial" w:eastAsia="Arial" w:hAnsi="Arial"/>
                <w:sz w:val="16"/>
                <w:szCs w:val="16"/>
                <w:color w:val="auto"/>
              </w:rPr>
              <w:t>March 1, 1951</w:t>
            </w:r>
          </w:p>
        </w:tc>
        <w:tc>
          <w:tcPr>
            <w:tcW w:w="3260" w:type="dxa"/>
            <w:vAlign w:val="bottom"/>
          </w:tcPr>
          <w:p>
            <w:pPr>
              <w:ind w:left="300"/>
              <w:spacing w:after="0"/>
              <w:rPr>
                <w:sz w:val="20"/>
                <w:szCs w:val="20"/>
                <w:color w:val="auto"/>
              </w:rPr>
            </w:pPr>
            <w:r>
              <w:rPr>
                <w:rFonts w:ascii="Arial" w:cs="Arial" w:eastAsia="Arial" w:hAnsi="Arial"/>
                <w:sz w:val="16"/>
                <w:szCs w:val="16"/>
                <w:color w:val="auto"/>
              </w:rPr>
              <w:t>2-59690</w:t>
            </w:r>
          </w:p>
        </w:tc>
        <w:tc>
          <w:tcPr>
            <w:tcW w:w="3160" w:type="dxa"/>
            <w:vAlign w:val="bottom"/>
          </w:tcPr>
          <w:p>
            <w:pPr>
              <w:ind w:left="1240"/>
              <w:spacing w:after="0"/>
              <w:rPr>
                <w:sz w:val="20"/>
                <w:szCs w:val="20"/>
                <w:color w:val="auto"/>
              </w:rPr>
            </w:pPr>
            <w:r>
              <w:rPr>
                <w:rFonts w:ascii="Arial" w:cs="Arial" w:eastAsia="Arial" w:hAnsi="Arial"/>
                <w:sz w:val="16"/>
                <w:szCs w:val="16"/>
                <w:color w:val="auto"/>
              </w:rPr>
              <w:t>2(d)(1)</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Second</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March 1, 1962</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2-27794</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2(d)1</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Third</w:t>
            </w:r>
          </w:p>
        </w:tc>
        <w:tc>
          <w:tcPr>
            <w:tcW w:w="2120" w:type="dxa"/>
            <w:vAlign w:val="bottom"/>
          </w:tcPr>
          <w:p>
            <w:pPr>
              <w:ind w:left="620"/>
              <w:spacing w:after="0"/>
              <w:rPr>
                <w:sz w:val="20"/>
                <w:szCs w:val="20"/>
                <w:color w:val="auto"/>
              </w:rPr>
            </w:pPr>
            <w:r>
              <w:rPr>
                <w:rFonts w:ascii="Arial" w:cs="Arial" w:eastAsia="Arial" w:hAnsi="Arial"/>
                <w:sz w:val="16"/>
                <w:szCs w:val="16"/>
                <w:color w:val="auto"/>
              </w:rPr>
              <w:t>July 1, 1976</w:t>
            </w:r>
          </w:p>
        </w:tc>
        <w:tc>
          <w:tcPr>
            <w:tcW w:w="3260" w:type="dxa"/>
            <w:vAlign w:val="bottom"/>
          </w:tcPr>
          <w:p>
            <w:pPr>
              <w:ind w:left="300"/>
              <w:spacing w:after="0"/>
              <w:rPr>
                <w:sz w:val="20"/>
                <w:szCs w:val="20"/>
                <w:color w:val="auto"/>
              </w:rPr>
            </w:pPr>
            <w:r>
              <w:rPr>
                <w:rFonts w:ascii="Arial" w:cs="Arial" w:eastAsia="Arial" w:hAnsi="Arial"/>
                <w:sz w:val="16"/>
                <w:szCs w:val="16"/>
                <w:color w:val="auto"/>
              </w:rPr>
              <w:t>2-57478</w:t>
            </w:r>
          </w:p>
        </w:tc>
        <w:tc>
          <w:tcPr>
            <w:tcW w:w="3160" w:type="dxa"/>
            <w:vAlign w:val="bottom"/>
          </w:tcPr>
          <w:p>
            <w:pPr>
              <w:ind w:left="1240"/>
              <w:spacing w:after="0"/>
              <w:rPr>
                <w:sz w:val="20"/>
                <w:szCs w:val="20"/>
                <w:color w:val="auto"/>
              </w:rPr>
            </w:pPr>
            <w:r>
              <w:rPr>
                <w:rFonts w:ascii="Arial" w:cs="Arial" w:eastAsia="Arial" w:hAnsi="Arial"/>
                <w:sz w:val="16"/>
                <w:szCs w:val="16"/>
                <w:color w:val="auto"/>
              </w:rPr>
              <w:t>2(e)1</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Fourth</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March 1, 1985</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2-78641</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4(b)</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Fifth</w:t>
            </w:r>
          </w:p>
        </w:tc>
        <w:tc>
          <w:tcPr>
            <w:tcW w:w="2120" w:type="dxa"/>
            <w:vAlign w:val="bottom"/>
          </w:tcPr>
          <w:p>
            <w:pPr>
              <w:ind w:left="620"/>
              <w:spacing w:after="0"/>
              <w:rPr>
                <w:sz w:val="20"/>
                <w:szCs w:val="20"/>
                <w:color w:val="auto"/>
              </w:rPr>
            </w:pPr>
            <w:r>
              <w:rPr>
                <w:rFonts w:ascii="Arial" w:cs="Arial" w:eastAsia="Arial" w:hAnsi="Arial"/>
                <w:sz w:val="16"/>
                <w:szCs w:val="16"/>
                <w:color w:val="auto"/>
              </w:rPr>
              <w:t>December 1, 1992</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(1992 Form 10-K)</w:t>
            </w:r>
          </w:p>
        </w:tc>
        <w:tc>
          <w:tcPr>
            <w:tcW w:w="3160" w:type="dxa"/>
            <w:vAlign w:val="bottom"/>
          </w:tcPr>
          <w:p>
            <w:pPr>
              <w:ind w:left="1240"/>
              <w:spacing w:after="0"/>
              <w:rPr>
                <w:sz w:val="20"/>
                <w:szCs w:val="20"/>
                <w:color w:val="auto"/>
              </w:rPr>
            </w:pPr>
            <w:r>
              <w:rPr>
                <w:rFonts w:ascii="Arial" w:cs="Arial" w:eastAsia="Arial" w:hAnsi="Arial"/>
                <w:sz w:val="16"/>
                <w:szCs w:val="16"/>
                <w:color w:val="auto"/>
              </w:rPr>
              <w:t>4(b)1</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Sixth</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March 24, 1994</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(1996 Form 10-K)</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4(b)1</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Seventh</w:t>
            </w:r>
          </w:p>
        </w:tc>
        <w:tc>
          <w:tcPr>
            <w:tcW w:w="2120" w:type="dxa"/>
            <w:vAlign w:val="bottom"/>
          </w:tcPr>
          <w:p>
            <w:pPr>
              <w:ind w:left="620"/>
              <w:spacing w:after="0"/>
              <w:rPr>
                <w:sz w:val="20"/>
                <w:szCs w:val="20"/>
                <w:color w:val="auto"/>
              </w:rPr>
            </w:pPr>
            <w:r>
              <w:rPr>
                <w:rFonts w:ascii="Arial" w:cs="Arial" w:eastAsia="Arial" w:hAnsi="Arial"/>
                <w:sz w:val="16"/>
                <w:szCs w:val="16"/>
                <w:color w:val="auto"/>
              </w:rPr>
              <w:t>November 1, 1994</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(1996 Form 10-K)</w:t>
            </w:r>
          </w:p>
        </w:tc>
        <w:tc>
          <w:tcPr>
            <w:tcW w:w="3160" w:type="dxa"/>
            <w:vAlign w:val="bottom"/>
          </w:tcPr>
          <w:p>
            <w:pPr>
              <w:ind w:left="1240"/>
              <w:spacing w:after="0"/>
              <w:rPr>
                <w:sz w:val="20"/>
                <w:szCs w:val="20"/>
                <w:color w:val="auto"/>
              </w:rPr>
            </w:pPr>
            <w:r>
              <w:rPr>
                <w:rFonts w:ascii="Arial" w:cs="Arial" w:eastAsia="Arial" w:hAnsi="Arial"/>
                <w:sz w:val="16"/>
                <w:szCs w:val="16"/>
                <w:color w:val="auto"/>
              </w:rPr>
              <w:t>4(b)2</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Eighth</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January 1, 1997</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(1996 Form 10-K)</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4(b)3</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Ninth</w:t>
            </w:r>
          </w:p>
        </w:tc>
        <w:tc>
          <w:tcPr>
            <w:tcW w:w="2120" w:type="dxa"/>
            <w:vAlign w:val="bottom"/>
          </w:tcPr>
          <w:p>
            <w:pPr>
              <w:ind w:left="620"/>
              <w:spacing w:after="0"/>
              <w:rPr>
                <w:sz w:val="20"/>
                <w:szCs w:val="20"/>
                <w:color w:val="auto"/>
              </w:rPr>
            </w:pPr>
            <w:r>
              <w:rPr>
                <w:rFonts w:ascii="Arial" w:cs="Arial" w:eastAsia="Arial" w:hAnsi="Arial"/>
                <w:sz w:val="16"/>
                <w:szCs w:val="16"/>
                <w:color w:val="auto"/>
              </w:rPr>
              <w:t>October 1, 2007</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(2007 Form 10-K)</w:t>
            </w:r>
          </w:p>
        </w:tc>
        <w:tc>
          <w:tcPr>
            <w:tcW w:w="3160" w:type="dxa"/>
            <w:vAlign w:val="bottom"/>
          </w:tcPr>
          <w:p>
            <w:pPr>
              <w:ind w:left="1240"/>
              <w:spacing w:after="0"/>
              <w:rPr>
                <w:sz w:val="20"/>
                <w:szCs w:val="20"/>
                <w:color w:val="auto"/>
              </w:rPr>
            </w:pPr>
            <w:r>
              <w:rPr>
                <w:rFonts w:ascii="Arial" w:cs="Arial" w:eastAsia="Arial" w:hAnsi="Arial"/>
                <w:sz w:val="16"/>
                <w:szCs w:val="16"/>
                <w:color w:val="auto"/>
              </w:rPr>
              <w:t>4(c)3</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Tenth</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October 1, 2007</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(2007 Form 10-K)</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4(c)4</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Eleventh</w:t>
            </w:r>
          </w:p>
        </w:tc>
        <w:tc>
          <w:tcPr>
            <w:tcW w:w="2120" w:type="dxa"/>
            <w:vAlign w:val="bottom"/>
          </w:tcPr>
          <w:p>
            <w:pPr>
              <w:ind w:left="620"/>
              <w:spacing w:after="0"/>
              <w:rPr>
                <w:sz w:val="20"/>
                <w:szCs w:val="20"/>
                <w:color w:val="auto"/>
              </w:rPr>
            </w:pPr>
            <w:r>
              <w:rPr>
                <w:rFonts w:ascii="Arial" w:cs="Arial" w:eastAsia="Arial" w:hAnsi="Arial"/>
                <w:sz w:val="16"/>
                <w:szCs w:val="16"/>
                <w:color w:val="auto"/>
              </w:rPr>
              <w:t>December 1, 2008</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(2008 Form 10-K)</w:t>
            </w:r>
          </w:p>
        </w:tc>
        <w:tc>
          <w:tcPr>
            <w:tcW w:w="3160" w:type="dxa"/>
            <w:vAlign w:val="bottom"/>
          </w:tcPr>
          <w:p>
            <w:pPr>
              <w:ind w:left="1240"/>
              <w:spacing w:after="0"/>
              <w:rPr>
                <w:sz w:val="20"/>
                <w:szCs w:val="20"/>
                <w:color w:val="auto"/>
              </w:rPr>
            </w:pPr>
            <w:r>
              <w:rPr>
                <w:rFonts w:ascii="Arial" w:cs="Arial" w:eastAsia="Arial" w:hAnsi="Arial"/>
                <w:sz w:val="16"/>
                <w:szCs w:val="16"/>
                <w:color w:val="auto"/>
              </w:rPr>
              <w:t>4(c)3</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Twelfth</w:t>
            </w:r>
          </w:p>
        </w:tc>
        <w:tc>
          <w:tcPr>
            <w:tcW w:w="21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December 2, 2013</w:t>
            </w:r>
          </w:p>
        </w:tc>
        <w:tc>
          <w:tcPr>
            <w:tcW w:w="32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1-3548 (2013 Form 10-K)</w:t>
            </w:r>
          </w:p>
        </w:tc>
        <w:tc>
          <w:tcPr>
            <w:tcW w:w="31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4(c)3</w:t>
            </w:r>
          </w:p>
        </w:tc>
      </w:tr>
      <w:tr>
        <w:trPr>
          <w:trHeight w:val="33"/>
        </w:trPr>
        <w:tc>
          <w:tcPr>
            <w:tcW w:w="28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00"/>
          </w:cols>
          <w:pgMar w:left="240" w:top="891" w:right="259" w:bottom="1440" w:gutter="0" w:footer="0" w:header="0"/>
        </w:sectPr>
      </w:pPr>
    </w:p>
    <w:p>
      <w:pPr>
        <w:ind w:left="40"/>
        <w:spacing w:after="0"/>
        <w:rPr>
          <w:sz w:val="20"/>
          <w:szCs w:val="20"/>
          <w:color w:val="auto"/>
        </w:rPr>
      </w:pPr>
      <w:r>
        <w:rPr>
          <w:rFonts w:ascii="Arial" w:cs="Arial" w:eastAsia="Arial" w:hAnsi="Arial"/>
          <w:sz w:val="16"/>
          <w:szCs w:val="16"/>
          <w:color w:val="auto"/>
        </w:rPr>
        <w:t>*4(c)</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*4(d)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*4(e)</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*4(f)</w:t>
      </w:r>
    </w:p>
    <w:p>
      <w:pPr>
        <w:spacing w:after="0" w:line="20" w:lineRule="exact"/>
        <w:rPr>
          <w:sz w:val="20"/>
          <w:szCs w:val="20"/>
          <w:color w:val="auto"/>
        </w:rPr>
      </w:pPr>
      <w:r>
        <w:rPr>
          <w:sz w:val="20"/>
          <w:szCs w:val="20"/>
          <w:color w:val="auto"/>
        </w:rPr>
        <w:br w:type="column"/>
      </w:r>
    </w:p>
    <w:p>
      <w:pPr>
        <w:ind w:right="40" w:hanging="311"/>
        <w:spacing w:after="0" w:line="213"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Note Purchase Agreement, dated as of June 8, 2007, between ALLETE and Thrivent Financial for Lutherans and The Northwestern Mutual Life Insurance Company (filed as Exhibit 10(a) to the June 30, 2007, Form 10-Q, File No. 1-3548).</w:t>
      </w:r>
    </w:p>
    <w:p>
      <w:pPr>
        <w:spacing w:after="0" w:line="131" w:lineRule="exact"/>
        <w:rPr>
          <w:sz w:val="20"/>
          <w:szCs w:val="20"/>
          <w:color w:val="auto"/>
        </w:rPr>
      </w:pPr>
    </w:p>
    <w:p>
      <w:pPr>
        <w:ind w:right="40" w:hanging="311"/>
        <w:spacing w:after="0" w:line="225"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Term Loan Agreement dated as of August 25, 2015, among ALLETE, as Borrower, the Lenders party hereto, JPMorgan Chase Bank, N.A., as Administrative Agent, and J.P. Morgan Securities LLC, as Sole Lead Arranger and Sole Book Runner (filed as Exhibit 4 to the August 28, 2015, Form 8-K, File No. 1-3548).</w:t>
      </w:r>
    </w:p>
    <w:p>
      <w:pPr>
        <w:spacing w:after="0" w:line="133" w:lineRule="exact"/>
        <w:rPr>
          <w:sz w:val="20"/>
          <w:szCs w:val="20"/>
          <w:color w:val="auto"/>
        </w:rPr>
      </w:pPr>
    </w:p>
    <w:p>
      <w:pPr>
        <w:ind w:right="40" w:hanging="311"/>
        <w:spacing w:after="0" w:line="293" w:lineRule="auto"/>
        <w:rPr>
          <w:sz w:val="20"/>
          <w:szCs w:val="20"/>
          <w:color w:val="auto"/>
        </w:rPr>
      </w:pPr>
      <w:r>
        <w:rPr>
          <w:rFonts w:ascii="Arial" w:cs="Arial" w:eastAsia="Arial" w:hAnsi="Arial"/>
          <w:sz w:val="16"/>
          <w:szCs w:val="16"/>
          <w:color w:val="auto"/>
        </w:rPr>
        <w:t>— Note Purchase and Guarantee Agreement dated as of November 5, 2015, among Armenia Mountain Wind LLC, AMW I Holding, LLC and the purchasers named therein (filed as Exhibit 4 to the November 12, 2015, Form 8-K, File No. 1-3548).</w:t>
      </w:r>
    </w:p>
    <w:p>
      <w:pPr>
        <w:spacing w:after="0" w:line="9" w:lineRule="exact"/>
        <w:rPr>
          <w:sz w:val="20"/>
          <w:szCs w:val="20"/>
          <w:color w:val="auto"/>
        </w:rPr>
      </w:pPr>
    </w:p>
    <w:p>
      <w:pPr>
        <w:ind w:right="40" w:hanging="311"/>
        <w:spacing w:after="0" w:line="225"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Note Purchase Agreement, dated December 8, 2016, between ALLETE and Hartford Investment Management Company, Northwestern Mutual Investment Management Company, The Northwestern Mutual Life Insurance Company and Nationwide Life insurance Company (filed as Exhibit 4 to the December 12, 2016, Form 8-K,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-1263015</wp:posOffset>
            </wp:positionV>
            <wp:extent cx="7229475" cy="523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52324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-448310</wp:posOffset>
            </wp:positionV>
            <wp:extent cx="7229475" cy="523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52324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940" w:space="720"/>
            <w:col w:w="9740"/>
          </w:cols>
          <w:pgMar w:left="240" w:top="891" w:right="259" w:bottom="1440" w:gutter="0" w:footer="0" w:header="0"/>
          <w:type w:val="continuous"/>
        </w:sectPr>
      </w:pPr>
    </w:p>
    <w:p>
      <w:pPr>
        <w:jc w:val="both"/>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*10(a)</w:t>
      </w:r>
      <w:r>
        <w:rPr>
          <w:sz w:val="20"/>
          <w:szCs w:val="20"/>
          <w:color w:val="auto"/>
        </w:rPr>
        <w:tab/>
      </w:r>
      <w:r>
        <w:rPr>
          <w:rFonts w:ascii="Arial" w:cs="Arial" w:eastAsia="Arial" w:hAnsi="Arial"/>
          <w:sz w:val="16"/>
          <w:szCs w:val="16"/>
          <w:color w:val="auto"/>
        </w:rPr>
        <w:t>— Power Purchase and Sale Agreement, dated as of May 29, 1998, between Minnesota Power, Inc. (now ALLETE) and Square Butte Electric Cooperative (filed as Exhibit 10 to the June 30, 1998,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jc w:val="both"/>
        <w:ind w:left="1340" w:right="40" w:hanging="1620"/>
        <w:spacing w:after="0" w:line="278" w:lineRule="auto"/>
        <w:tabs>
          <w:tab w:leader="none" w:pos="1320" w:val="left"/>
        </w:tabs>
        <w:rPr>
          <w:sz w:val="20"/>
          <w:szCs w:val="20"/>
          <w:color w:val="auto"/>
        </w:rPr>
      </w:pPr>
      <w:r>
        <w:rPr>
          <w:rFonts w:ascii="Arial" w:cs="Arial" w:eastAsia="Arial" w:hAnsi="Arial"/>
          <w:sz w:val="16"/>
          <w:szCs w:val="16"/>
          <w:color w:val="auto"/>
        </w:rPr>
        <w:t>*10(b)</w:t>
      </w:r>
      <w:r>
        <w:rPr>
          <w:sz w:val="20"/>
          <w:szCs w:val="20"/>
          <w:color w:val="auto"/>
        </w:rPr>
        <w:tab/>
      </w:r>
      <w:r>
        <w:rPr>
          <w:rFonts w:ascii="Arial" w:cs="Arial" w:eastAsia="Arial" w:hAnsi="Arial"/>
          <w:sz w:val="16"/>
          <w:szCs w:val="16"/>
          <w:color w:val="auto"/>
        </w:rPr>
        <w:t>— Credit Agreement dated as of November 4, 2013 among ALLETE, as Borrower, the lenders party thereto, JPMorgan Chase Bank, N.A., as Administrative Agent, and J.P. Morgan Securities LLC, as Sole Lead Arranger and Sole Book Runner (filed as Exhibit 10 to the November 4, 2013, Form 8-K, File No. 1-3548).</w:t>
      </w:r>
    </w:p>
    <w:p>
      <w:pPr>
        <w:spacing w:after="0" w:line="22" w:lineRule="exact"/>
        <w:rPr>
          <w:sz w:val="20"/>
          <w:szCs w:val="20"/>
          <w:color w:val="auto"/>
        </w:rPr>
      </w:pPr>
    </w:p>
    <w:p>
      <w:pPr>
        <w:jc w:val="both"/>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*10(c)1</w:t>
      </w:r>
      <w:r>
        <w:rPr>
          <w:sz w:val="20"/>
          <w:szCs w:val="20"/>
          <w:color w:val="auto"/>
        </w:rPr>
        <w:tab/>
      </w:r>
      <w:r>
        <w:rPr>
          <w:rFonts w:ascii="Arial" w:cs="Arial" w:eastAsia="Arial" w:hAnsi="Arial"/>
          <w:sz w:val="16"/>
          <w:szCs w:val="16"/>
          <w:color w:val="auto"/>
        </w:rPr>
        <w:t>— Financing Agreement between Collier County Industrial Development Authority and ALLETE dated as of July 1, 2006 (filed as Exhibit 10(b)1 to the June 30, 2006,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jc w:val="both"/>
        <w:ind w:left="1340" w:right="40" w:hanging="1620"/>
        <w:spacing w:after="0" w:line="319" w:lineRule="auto"/>
        <w:tabs>
          <w:tab w:leader="none" w:pos="1320" w:val="left"/>
        </w:tabs>
        <w:rPr>
          <w:sz w:val="20"/>
          <w:szCs w:val="20"/>
          <w:color w:val="auto"/>
        </w:rPr>
      </w:pPr>
      <w:r>
        <w:rPr>
          <w:rFonts w:ascii="Arial" w:cs="Arial" w:eastAsia="Arial" w:hAnsi="Arial"/>
          <w:sz w:val="16"/>
          <w:szCs w:val="16"/>
          <w:color w:val="auto"/>
        </w:rPr>
        <w:t>*10(c)2</w:t>
      </w:r>
      <w:r>
        <w:rPr>
          <w:sz w:val="20"/>
          <w:szCs w:val="20"/>
          <w:color w:val="auto"/>
        </w:rPr>
        <w:tab/>
      </w:r>
      <w:r>
        <w:rPr>
          <w:rFonts w:ascii="Arial" w:cs="Arial" w:eastAsia="Arial" w:hAnsi="Arial"/>
          <w:sz w:val="15"/>
          <w:szCs w:val="15"/>
          <w:color w:val="auto"/>
        </w:rPr>
        <w:t>— Amended and Restated Letter of Credit Agreement, dated as of June 3, 2011, among ALLETE, the participating banks and Wells Fargo Bank, National Association, as Administrative Agent and Issuing Bank (filed as Exhibit 10(b) to the June 30, 2011, Form 10-Q, File No. 1-3548).</w:t>
      </w:r>
    </w:p>
    <w:p>
      <w:pPr>
        <w:spacing w:after="0" w:line="1" w:lineRule="exact"/>
        <w:rPr>
          <w:sz w:val="20"/>
          <w:szCs w:val="20"/>
          <w:color w:val="auto"/>
        </w:rPr>
      </w:pPr>
    </w:p>
    <w:p>
      <w:pPr>
        <w:jc w:val="both"/>
        <w:ind w:left="1340" w:right="40" w:hanging="1620"/>
        <w:spacing w:after="0" w:line="278" w:lineRule="auto"/>
        <w:tabs>
          <w:tab w:leader="none" w:pos="1320" w:val="left"/>
        </w:tabs>
        <w:rPr>
          <w:sz w:val="20"/>
          <w:szCs w:val="20"/>
          <w:color w:val="auto"/>
        </w:rPr>
      </w:pPr>
      <w:r>
        <w:rPr>
          <w:rFonts w:ascii="Arial" w:cs="Arial" w:eastAsia="Arial" w:hAnsi="Arial"/>
          <w:sz w:val="16"/>
          <w:szCs w:val="16"/>
          <w:color w:val="auto"/>
        </w:rPr>
        <w:t>*10(c)3</w:t>
      </w:r>
      <w:r>
        <w:rPr>
          <w:sz w:val="20"/>
          <w:szCs w:val="20"/>
          <w:color w:val="auto"/>
        </w:rPr>
        <w:tab/>
      </w:r>
      <w:r>
        <w:rPr>
          <w:rFonts w:ascii="Arial" w:cs="Arial" w:eastAsia="Arial" w:hAnsi="Arial"/>
          <w:sz w:val="16"/>
          <w:szCs w:val="16"/>
          <w:color w:val="auto"/>
        </w:rPr>
        <w:t>— First Amendment to Amended and Restated Letter of Credit Agreement, dated as of June 1, 2013, between ALLETE and Wells Fargo Bank, National Association, as Issuing Bank, Administrative Agent and Sole Participating Bank (filed as Exhibit 10(b) to the June 30, 2013,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29475"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2" w:lineRule="exact"/>
        <w:rPr>
          <w:sz w:val="20"/>
          <w:szCs w:val="20"/>
          <w:color w:val="auto"/>
        </w:rPr>
      </w:pPr>
    </w:p>
    <w:p>
      <w:pPr>
        <w:jc w:val="both"/>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*10(d)</w:t>
      </w:r>
      <w:r>
        <w:rPr>
          <w:sz w:val="20"/>
          <w:szCs w:val="20"/>
          <w:color w:val="auto"/>
        </w:rPr>
        <w:tab/>
      </w:r>
      <w:r>
        <w:rPr>
          <w:rFonts w:ascii="Arial" w:cs="Arial" w:eastAsia="Arial" w:hAnsi="Arial"/>
          <w:sz w:val="16"/>
          <w:szCs w:val="16"/>
          <w:color w:val="auto"/>
        </w:rPr>
        <w:t>— Agreement dated December 16, 2005, among ALLETE, Wisconsin Public Service Corporation and WPS Investments, LLC (filed as Exhibit 10(g) to the 2009 Form 10-K, File No. 1-3548).</w:t>
      </w:r>
    </w:p>
    <w:p>
      <w:pPr>
        <w:spacing w:after="0" w:line="10" w:lineRule="exact"/>
        <w:rPr>
          <w:sz w:val="20"/>
          <w:szCs w:val="20"/>
          <w:color w:val="auto"/>
        </w:rPr>
      </w:pPr>
    </w:p>
    <w:p>
      <w:pPr>
        <w:jc w:val="both"/>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+*10(e)1</w:t>
      </w:r>
      <w:r>
        <w:rPr>
          <w:sz w:val="20"/>
          <w:szCs w:val="20"/>
          <w:color w:val="auto"/>
        </w:rPr>
        <w:tab/>
      </w:r>
      <w:r>
        <w:rPr>
          <w:rFonts w:ascii="Arial" w:cs="Arial" w:eastAsia="Arial" w:hAnsi="Arial"/>
          <w:sz w:val="16"/>
          <w:szCs w:val="16"/>
          <w:color w:val="auto"/>
        </w:rPr>
        <w:t>— ALLETE Executive Annual Incentive Plan, as amended and restated, effective January 1, 2011 (filed as Exhibit 10(h)1 to the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ind w:left="40"/>
        <w:spacing w:after="0" w:line="174" w:lineRule="exact"/>
        <w:tabs>
          <w:tab w:leader="none" w:pos="1320" w:val="left"/>
          <w:tab w:leader="none" w:pos="1640" w:val="left"/>
        </w:tabs>
        <w:rPr>
          <w:sz w:val="20"/>
          <w:szCs w:val="20"/>
          <w:color w:val="auto"/>
        </w:rPr>
      </w:pPr>
      <w:r>
        <w:rPr>
          <w:rFonts w:ascii="Arial" w:cs="Arial" w:eastAsia="Arial" w:hAnsi="Arial"/>
          <w:sz w:val="16"/>
          <w:szCs w:val="16"/>
          <w:color w:val="auto"/>
        </w:rPr>
        <w:t>+*10(e)2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ALLETE Executive Annual Incentive Plan Form of Award Effective 2013 (filed as Exhibit 10(f)5 to the 2012 Form 10</w:t>
      </w:r>
      <w:r>
        <w:rPr>
          <w:rFonts w:ascii="MS PGothic" w:cs="MS PGothic" w:eastAsia="MS PGothic" w:hAnsi="MS PGothic"/>
          <w:sz w:val="15"/>
          <w:szCs w:val="15"/>
          <w:color w:val="auto"/>
        </w:rPr>
        <w:t>‑</w:t>
      </w:r>
      <w:r>
        <w:rPr>
          <w:rFonts w:ascii="Arial" w:cs="Arial" w:eastAsia="Arial" w:hAnsi="Arial"/>
          <w:sz w:val="15"/>
          <w:szCs w:val="15"/>
          <w:color w:val="auto"/>
        </w:rPr>
        <w:t>K, File No. 1-3548).</w:t>
      </w:r>
    </w:p>
    <w:p>
      <w:pPr>
        <w:spacing w:after="0" w:line="73" w:lineRule="exact"/>
        <w:rPr>
          <w:sz w:val="20"/>
          <w:szCs w:val="20"/>
          <w:color w:val="auto"/>
        </w:rPr>
      </w:pPr>
    </w:p>
    <w:p>
      <w:pPr>
        <w:ind w:left="40"/>
        <w:spacing w:after="0" w:line="184" w:lineRule="exact"/>
        <w:tabs>
          <w:tab w:leader="none" w:pos="1320" w:val="left"/>
          <w:tab w:leader="none" w:pos="1640" w:val="left"/>
        </w:tabs>
        <w:rPr>
          <w:sz w:val="20"/>
          <w:szCs w:val="20"/>
          <w:color w:val="auto"/>
        </w:rPr>
      </w:pPr>
      <w:r>
        <w:rPr>
          <w:rFonts w:ascii="Arial" w:cs="Arial" w:eastAsia="Arial" w:hAnsi="Arial"/>
          <w:sz w:val="16"/>
          <w:szCs w:val="16"/>
          <w:color w:val="auto"/>
        </w:rPr>
        <w:t>+*10(e)3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ALLETE Executive Annual Incentive Plan Form of Award Effective 2014 (filed as Exhibit 10(e)6 to the 2013 Form 10</w:t>
      </w:r>
      <w:r>
        <w:rPr>
          <w:rFonts w:ascii="MS PGothic" w:cs="MS PGothic" w:eastAsia="MS PGothic" w:hAnsi="MS PGothic"/>
          <w:sz w:val="15"/>
          <w:szCs w:val="15"/>
          <w:color w:val="auto"/>
        </w:rPr>
        <w:t>‑</w:t>
      </w:r>
      <w:r>
        <w:rPr>
          <w:rFonts w:ascii="Arial" w:cs="Arial" w:eastAsia="Arial" w:hAnsi="Arial"/>
          <w:sz w:val="15"/>
          <w:szCs w:val="15"/>
          <w:color w:val="auto"/>
        </w:rPr>
        <w:t>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40"/>
        <w:spacing w:after="0" w:line="184" w:lineRule="exact"/>
        <w:tabs>
          <w:tab w:leader="none" w:pos="1320" w:val="left"/>
          <w:tab w:leader="none" w:pos="1640" w:val="left"/>
        </w:tabs>
        <w:rPr>
          <w:sz w:val="20"/>
          <w:szCs w:val="20"/>
          <w:color w:val="auto"/>
        </w:rPr>
      </w:pPr>
      <w:r>
        <w:rPr>
          <w:rFonts w:ascii="Arial" w:cs="Arial" w:eastAsia="Arial" w:hAnsi="Arial"/>
          <w:sz w:val="16"/>
          <w:szCs w:val="16"/>
          <w:color w:val="auto"/>
        </w:rPr>
        <w:t>+*10(e)4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ALLETE Executive Annual Incentive Plan Form of Award Effective 2015 (filed as Exhibit 10(e)6 to the 2014 Form 10</w:t>
      </w:r>
      <w:r>
        <w:rPr>
          <w:rFonts w:ascii="MS PGothic" w:cs="MS PGothic" w:eastAsia="MS PGothic" w:hAnsi="MS PGothic"/>
          <w:sz w:val="15"/>
          <w:szCs w:val="15"/>
          <w:color w:val="auto"/>
        </w:rPr>
        <w:t>‑</w:t>
      </w:r>
      <w:r>
        <w:rPr>
          <w:rFonts w:ascii="Arial" w:cs="Arial" w:eastAsia="Arial" w:hAnsi="Arial"/>
          <w:sz w:val="15"/>
          <w:szCs w:val="15"/>
          <w:color w:val="auto"/>
        </w:rPr>
        <w:t>K, File No. 1-3548).</w:t>
      </w:r>
    </w:p>
    <w:p>
      <w:pPr>
        <w:spacing w:after="0" w:line="73" w:lineRule="exact"/>
        <w:rPr>
          <w:sz w:val="20"/>
          <w:szCs w:val="20"/>
          <w:color w:val="auto"/>
        </w:rPr>
      </w:pPr>
    </w:p>
    <w:p>
      <w:pPr>
        <w:ind w:left="40"/>
        <w:spacing w:after="0" w:line="184" w:lineRule="exact"/>
        <w:tabs>
          <w:tab w:leader="none" w:pos="1320" w:val="left"/>
          <w:tab w:leader="none" w:pos="1640" w:val="left"/>
        </w:tabs>
        <w:rPr>
          <w:sz w:val="20"/>
          <w:szCs w:val="20"/>
          <w:color w:val="auto"/>
        </w:rPr>
      </w:pPr>
      <w:r>
        <w:rPr>
          <w:rFonts w:ascii="Arial" w:cs="Arial" w:eastAsia="Arial" w:hAnsi="Arial"/>
          <w:sz w:val="16"/>
          <w:szCs w:val="16"/>
          <w:color w:val="auto"/>
        </w:rPr>
        <w:t>+*10(e)5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ALLETE Executive Annual Incentive Plan Form of Award Effective 2016 (filed as Exhibit 10(e)6 to the 2015 Form 10</w:t>
      </w:r>
      <w:r>
        <w:rPr>
          <w:rFonts w:ascii="MS PGothic" w:cs="MS PGothic" w:eastAsia="MS PGothic" w:hAnsi="MS PGothic"/>
          <w:sz w:val="15"/>
          <w:szCs w:val="15"/>
          <w:color w:val="auto"/>
        </w:rPr>
        <w:t>‑</w:t>
      </w:r>
      <w:r>
        <w:rPr>
          <w:rFonts w:ascii="Arial" w:cs="Arial" w:eastAsia="Arial" w:hAnsi="Arial"/>
          <w:sz w:val="15"/>
          <w:szCs w:val="15"/>
          <w:color w:val="auto"/>
        </w:rPr>
        <w:t>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+10(e)6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ALLETE Executive Annual Incentive Plan Form of Award Effective 2017.</w:t>
      </w:r>
    </w:p>
    <w:p>
      <w:pPr>
        <w:spacing w:after="0" w:line="73"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+10(e)7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ALLETE Executive Annual Incentive Plan Form of Award Superior Water, Light and Power Effective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53" w:lineRule="exact"/>
        <w:rPr>
          <w:sz w:val="20"/>
          <w:szCs w:val="20"/>
          <w:color w:val="auto"/>
        </w:rPr>
      </w:pPr>
    </w:p>
    <w:p>
      <w:pPr>
        <w:jc w:val="both"/>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+*10(f)1</w:t>
      </w:r>
      <w:r>
        <w:rPr>
          <w:sz w:val="20"/>
          <w:szCs w:val="20"/>
          <w:color w:val="auto"/>
        </w:rPr>
        <w:tab/>
      </w:r>
      <w:r>
        <w:rPr>
          <w:rFonts w:ascii="Arial" w:cs="Arial" w:eastAsia="Arial" w:hAnsi="Arial"/>
          <w:sz w:val="16"/>
          <w:szCs w:val="16"/>
          <w:color w:val="auto"/>
        </w:rPr>
        <w:t>— ALLETE and Affiliated Companies Supplemental Executive Retirement Plan (SERP I), as amended and restated, effective January 1, 2009 (filed as Exhibit 10(i)4 to the 2008 Form 10-K, File No. 1-3548).</w:t>
      </w:r>
    </w:p>
    <w:p>
      <w:pPr>
        <w:sectPr>
          <w:pgSz w:w="11900" w:h="16838" w:orient="portrait"/>
          <w:cols w:equalWidth="0" w:num="1">
            <w:col w:w="11400"/>
          </w:cols>
          <w:pgMar w:left="240" w:top="891" w:right="259" w:bottom="1440" w:gutter="0" w:footer="0" w:header="0"/>
          <w:type w:val="continuous"/>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Inc. 2016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891" w:right="2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2947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79"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+*10(f)2</w:t>
      </w:r>
      <w:r>
        <w:rPr>
          <w:sz w:val="20"/>
          <w:szCs w:val="20"/>
          <w:color w:val="auto"/>
        </w:rPr>
        <w:tab/>
      </w:r>
      <w:r>
        <w:rPr>
          <w:rFonts w:ascii="Arial" w:cs="Arial" w:eastAsia="Arial" w:hAnsi="Arial"/>
          <w:sz w:val="16"/>
          <w:szCs w:val="16"/>
          <w:color w:val="auto"/>
        </w:rPr>
        <w:t>— Amendment to the ALLETE and Affiliated Companies Supplemental Executive Retirement Plan (SERP I), effective January 1, 2011 (filed as Exhibit 10(i)2 to the 2010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+*10(f)3</w:t>
      </w:r>
      <w:r>
        <w:rPr>
          <w:sz w:val="20"/>
          <w:szCs w:val="20"/>
          <w:color w:val="auto"/>
        </w:rPr>
        <w:tab/>
      </w:r>
      <w:r>
        <w:rPr>
          <w:rFonts w:ascii="Arial" w:cs="Arial" w:eastAsia="Arial" w:hAnsi="Arial"/>
          <w:sz w:val="16"/>
          <w:szCs w:val="16"/>
          <w:color w:val="auto"/>
        </w:rPr>
        <w:t>— ALLETE and Affiliated Companies Supplemental Executive Retirement Plan II (SERP II), as amended and restated, effective January 1, 2015 (filed as Exhibit 10(f)3 to the 2014 Form 10-K, File No.1-3548).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+*10(g)</w:t>
      </w:r>
      <w:r>
        <w:rPr>
          <w:sz w:val="20"/>
          <w:szCs w:val="20"/>
          <w:color w:val="auto"/>
        </w:rPr>
        <w:tab/>
      </w:r>
      <w:r>
        <w:rPr>
          <w:rFonts w:ascii="Arial" w:cs="Arial" w:eastAsia="Arial" w:hAnsi="Arial"/>
          <w:sz w:val="16"/>
          <w:szCs w:val="16"/>
          <w:color w:val="auto"/>
        </w:rPr>
        <w:t>— ALLETE Deferred Compensation Trust Agreement, as amended and restated, effective December 15, 2012 (filed as Exhibit 10(j) to the 2012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+*10(h)1</w:t>
      </w:r>
      <w:r>
        <w:rPr>
          <w:sz w:val="20"/>
          <w:szCs w:val="20"/>
          <w:color w:val="auto"/>
        </w:rPr>
        <w:tab/>
      </w:r>
      <w:r>
        <w:rPr>
          <w:rFonts w:ascii="Arial" w:cs="Arial" w:eastAsia="Arial" w:hAnsi="Arial"/>
          <w:sz w:val="16"/>
          <w:szCs w:val="16"/>
          <w:color w:val="auto"/>
        </w:rPr>
        <w:t>— ALLETE Executive Long-Term Incentive Compensation Plan as amended and restated effective January 1, 2006 (filed as Exhibit 10 to the May 16, 2005, Form 8-K,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+*10(h)2</w:t>
      </w:r>
      <w:r>
        <w:rPr>
          <w:sz w:val="20"/>
          <w:szCs w:val="20"/>
          <w:color w:val="auto"/>
        </w:rPr>
        <w:tab/>
      </w:r>
      <w:r>
        <w:rPr>
          <w:rFonts w:ascii="Arial" w:cs="Arial" w:eastAsia="Arial" w:hAnsi="Arial"/>
          <w:sz w:val="16"/>
          <w:szCs w:val="16"/>
          <w:color w:val="auto"/>
        </w:rPr>
        <w:t>— Amendment to the ALLETE Executive Long-Term Incentive Compensation Plan, effective January 1, 2011 (filed as Exhibit 10(m)2 to the 2010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+*10(h)3</w:t>
      </w:r>
      <w:r>
        <w:rPr>
          <w:sz w:val="20"/>
          <w:szCs w:val="20"/>
          <w:color w:val="auto"/>
        </w:rPr>
        <w:tab/>
      </w:r>
      <w:r>
        <w:rPr>
          <w:rFonts w:ascii="Arial" w:cs="Arial" w:eastAsia="Arial" w:hAnsi="Arial"/>
          <w:sz w:val="16"/>
          <w:szCs w:val="16"/>
          <w:color w:val="auto"/>
        </w:rPr>
        <w:t>— Form of ALLETE Executive Long-Term Incentive Compensation Plan Performance Share Grant Effective 2011 (filed as Exhibit 10(m)11 to the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+*10(h)4</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2011 (filed as Exhibit 10(m)12 to the 2010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+*10(h)5</w:t>
      </w:r>
      <w:r>
        <w:rPr>
          <w:sz w:val="20"/>
          <w:szCs w:val="20"/>
          <w:color w:val="auto"/>
        </w:rPr>
        <w:tab/>
      </w:r>
      <w:r>
        <w:rPr>
          <w:rFonts w:ascii="Arial" w:cs="Arial" w:eastAsia="Arial" w:hAnsi="Arial"/>
          <w:sz w:val="16"/>
          <w:szCs w:val="16"/>
          <w:color w:val="auto"/>
        </w:rPr>
        <w:t>— Form of ALLETE Executive Long-Term Incentive Compensation Plan Performance Share Grant Effective 2012 (filed as Exhibit 10(m)12 to the 2011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+*10(h)6</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2012 (filed as Exhibit 10(m)13 to the 2011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+*10(h)7</w:t>
      </w:r>
      <w:r>
        <w:rPr>
          <w:sz w:val="20"/>
          <w:szCs w:val="20"/>
          <w:color w:val="auto"/>
        </w:rPr>
        <w:tab/>
      </w:r>
      <w:r>
        <w:rPr>
          <w:rFonts w:ascii="Arial" w:cs="Arial" w:eastAsia="Arial" w:hAnsi="Arial"/>
          <w:sz w:val="16"/>
          <w:szCs w:val="16"/>
          <w:color w:val="auto"/>
        </w:rPr>
        <w:t>— Form of ALLETE Executive Long-Term Incentive Compensation Plan Performance Share Grant Effective 2013 (filed as Exhibit 10(k)14 to the 2012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+*10(h)8</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2013 (filed as Exhibit 10(k)15 to the 2012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+*10(h)9</w:t>
      </w:r>
      <w:r>
        <w:rPr>
          <w:sz w:val="20"/>
          <w:szCs w:val="20"/>
          <w:color w:val="auto"/>
        </w:rPr>
        <w:tab/>
      </w:r>
      <w:r>
        <w:rPr>
          <w:rFonts w:ascii="Arial" w:cs="Arial" w:eastAsia="Arial" w:hAnsi="Arial"/>
          <w:sz w:val="16"/>
          <w:szCs w:val="16"/>
          <w:color w:val="auto"/>
        </w:rPr>
        <w:t>— Form of ALLETE Executive Long-Term Incentive Compensation Plan Performance Share Grant Effective 2014 (filed as Exhibit 10(j)14 to the 2013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+*10(h)10</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2014 (filed as Exhibit 10(j)15 to the 2013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+*10(h)11</w:t>
      </w:r>
      <w:r>
        <w:rPr>
          <w:sz w:val="20"/>
          <w:szCs w:val="20"/>
          <w:color w:val="auto"/>
        </w:rPr>
        <w:tab/>
      </w:r>
      <w:r>
        <w:rPr>
          <w:rFonts w:ascii="Arial" w:cs="Arial" w:eastAsia="Arial" w:hAnsi="Arial"/>
          <w:sz w:val="16"/>
          <w:szCs w:val="16"/>
          <w:color w:val="auto"/>
        </w:rPr>
        <w:t>— Form of ALLETE Executive Long-Term Incentive Compensation Plan Performance Share Grant Effective 2015 (filed as Exhibit 10(j)16 to the 2014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+*10(h)12</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2015 (filed as Exhibit 10(j)17 to the 2014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+*10(i)1</w:t>
      </w:r>
      <w:r>
        <w:rPr>
          <w:sz w:val="20"/>
          <w:szCs w:val="20"/>
          <w:color w:val="auto"/>
        </w:rPr>
        <w:tab/>
      </w:r>
      <w:r>
        <w:rPr>
          <w:rFonts w:ascii="Arial" w:cs="Arial" w:eastAsia="Arial" w:hAnsi="Arial"/>
          <w:sz w:val="16"/>
          <w:szCs w:val="16"/>
          <w:color w:val="auto"/>
        </w:rPr>
        <w:t>— ALLETE Executive Long-Term Incentive Compensation Plan effective January 1, 2016 (filed November 6, 2015, as Exhibit 99 to Form S-8, File No. 333-207846).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+*10(i)2</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2016 (filed as Exhibit 10(k)3 to the 2015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+*10(i)3</w:t>
      </w:r>
      <w:r>
        <w:rPr>
          <w:sz w:val="20"/>
          <w:szCs w:val="20"/>
          <w:color w:val="auto"/>
        </w:rPr>
        <w:tab/>
      </w:r>
      <w:r>
        <w:rPr>
          <w:rFonts w:ascii="Arial" w:cs="Arial" w:eastAsia="Arial" w:hAnsi="Arial"/>
          <w:sz w:val="16"/>
          <w:szCs w:val="16"/>
          <w:color w:val="auto"/>
        </w:rPr>
        <w:t>— Form of ALLETE Executive Long-Term Incentive Compensation Plan Performance Share Grant Effective 2016 (filed as Exhibit 10(k)2 to the 2015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+10(i)4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Form of ALLETE Executive Long-Term Incentive Compensation Plan Cash Award Effective 2017.</w:t>
      </w:r>
    </w:p>
    <w:p>
      <w:pPr>
        <w:spacing w:after="0" w:line="73"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+10(i)5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Form of ALLETE Executive Long-Term Incentive Compensation Plan Restricted Stock Unit Grant Effective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+10(i)6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Form of ALLETE Executive Long-Term Incentive Compensation Plan Performance Share Grant Effective 2017.</w:t>
      </w:r>
    </w:p>
    <w:p>
      <w:pPr>
        <w:spacing w:after="0" w:line="73"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+*10(j)1</w:t>
      </w:r>
      <w:r>
        <w:rPr>
          <w:sz w:val="20"/>
          <w:szCs w:val="20"/>
          <w:color w:val="auto"/>
        </w:rPr>
        <w:tab/>
      </w:r>
      <w:r>
        <w:rPr>
          <w:rFonts w:ascii="Arial" w:cs="Arial" w:eastAsia="Arial" w:hAnsi="Arial"/>
          <w:sz w:val="16"/>
          <w:szCs w:val="16"/>
          <w:color w:val="auto"/>
        </w:rPr>
        <w:t>— Minnesota Power (now ALLETE) Non-Employee Director Stock Plan, effective May 9, 1995 (filed as Exhibit 10 to the March 31, 1995,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+*10(j)2</w:t>
      </w:r>
      <w:r>
        <w:rPr>
          <w:sz w:val="20"/>
          <w:szCs w:val="20"/>
          <w:color w:val="auto"/>
        </w:rPr>
        <w:tab/>
      </w:r>
      <w:r>
        <w:rPr>
          <w:rFonts w:ascii="Arial" w:cs="Arial" w:eastAsia="Arial" w:hAnsi="Arial"/>
          <w:sz w:val="16"/>
          <w:szCs w:val="16"/>
          <w:color w:val="auto"/>
        </w:rPr>
        <w:t>— Amendments through December 2003 to the Minnesota Power (now ALLETE) Non-Employee Director Stock Plan (filed as Exhibit 10(z)2 to the 2003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+*10(j)3</w:t>
      </w:r>
      <w:r>
        <w:rPr>
          <w:sz w:val="20"/>
          <w:szCs w:val="20"/>
          <w:color w:val="auto"/>
        </w:rPr>
        <w:tab/>
      </w:r>
      <w:r>
        <w:rPr>
          <w:rFonts w:ascii="Arial" w:cs="Arial" w:eastAsia="Arial" w:hAnsi="Arial"/>
          <w:sz w:val="16"/>
          <w:szCs w:val="16"/>
          <w:color w:val="auto"/>
        </w:rPr>
        <w:t>— July 2004 Amendment to the ALLETE Non-Employee Director Stock Plan (filed as Exhibit 10(e) to the June 30, 2004,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+*10(j)4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January 2007 Amendment to the ALLETE Non-Employee Director Stock Plan (filed as Exhibit 10(n)4 to the 2006 Form 10-K, File No. 1-3548).</w:t>
      </w:r>
    </w:p>
    <w:p>
      <w:pPr>
        <w:spacing w:after="0" w:line="73"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+*10(j)5</w:t>
      </w:r>
      <w:r>
        <w:rPr>
          <w:sz w:val="20"/>
          <w:szCs w:val="20"/>
          <w:color w:val="auto"/>
        </w:rPr>
        <w:tab/>
      </w:r>
      <w:r>
        <w:rPr>
          <w:rFonts w:ascii="Arial" w:cs="Arial" w:eastAsia="Arial" w:hAnsi="Arial"/>
          <w:sz w:val="16"/>
          <w:szCs w:val="16"/>
          <w:color w:val="auto"/>
        </w:rPr>
        <w:t>— May 2009 Amendment to the ALLETE Non-Employee Director Stock Plan (filed as Exhibit 10(b) to the June 30, 2009,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+*10(j)6</w:t>
      </w:r>
      <w:r>
        <w:rPr>
          <w:sz w:val="20"/>
          <w:szCs w:val="20"/>
          <w:color w:val="auto"/>
        </w:rPr>
        <w:tab/>
      </w:r>
      <w:r>
        <w:rPr>
          <w:rFonts w:ascii="Arial" w:cs="Arial" w:eastAsia="Arial" w:hAnsi="Arial"/>
          <w:sz w:val="16"/>
          <w:szCs w:val="16"/>
          <w:color w:val="auto"/>
        </w:rPr>
        <w:t>— May 2010 Amendment to the ALLETE Non-Employee Director Stock Plan (filed as Exhibit 10(a) to the June 30, 2010, Form 10-Q, File No. 1-3548).</w:t>
      </w:r>
    </w:p>
    <w:p>
      <w:pPr>
        <w:spacing w:after="0" w:line="10"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+*10(j)7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October 2010 Amendment to the ALLETE Non-Employee Director Stock Plan (filed as Exhibit 10 to the September 30, 2010, Form 10-Q, File No.</w:t>
      </w:r>
    </w:p>
    <w:p>
      <w:pPr>
        <w:spacing w:after="0" w:line="22"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29475"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49"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+*10(j)8</w:t>
      </w:r>
      <w:r>
        <w:rPr>
          <w:sz w:val="20"/>
          <w:szCs w:val="20"/>
          <w:color w:val="auto"/>
        </w:rPr>
        <w:tab/>
      </w:r>
      <w:r>
        <w:rPr>
          <w:rFonts w:ascii="Arial" w:cs="Arial" w:eastAsia="Arial" w:hAnsi="Arial"/>
          <w:sz w:val="16"/>
          <w:szCs w:val="16"/>
          <w:color w:val="auto"/>
        </w:rPr>
        <w:t>— Amended and Restated ALLETE Non-Employee Director Stock Plan, effective May 15, 2013 (filed as Exhibit 10(a) to the June 30, 2013, Form 10-Q,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+*10(k)1</w:t>
      </w:r>
      <w:r>
        <w:rPr>
          <w:sz w:val="20"/>
          <w:szCs w:val="20"/>
          <w:color w:val="auto"/>
        </w:rPr>
        <w:tab/>
      </w:r>
      <w:r>
        <w:rPr>
          <w:rFonts w:ascii="Arial" w:cs="Arial" w:eastAsia="Arial" w:hAnsi="Arial"/>
          <w:sz w:val="16"/>
          <w:szCs w:val="16"/>
          <w:color w:val="auto"/>
        </w:rPr>
        <w:t>— ALLETE Non-Management Director Compensation Summary effective January 1, 2014 (filed as Exhibit 10(l)4 to the 2013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+*10(k)2</w:t>
      </w:r>
      <w:r>
        <w:rPr>
          <w:sz w:val="20"/>
          <w:szCs w:val="20"/>
          <w:color w:val="auto"/>
        </w:rPr>
        <w:tab/>
      </w:r>
      <w:r>
        <w:rPr>
          <w:rFonts w:ascii="Arial" w:cs="Arial" w:eastAsia="Arial" w:hAnsi="Arial"/>
          <w:sz w:val="16"/>
          <w:szCs w:val="16"/>
          <w:color w:val="auto"/>
        </w:rPr>
        <w:t>— ALLETE Non-Employee Director Compensation Summary effective January 1, 2015 (filed as Exhibit 10(l)5 to the 2014 Form 10-K, File No. 1-3548).</w:t>
      </w:r>
    </w:p>
    <w:p>
      <w:pPr>
        <w:sectPr>
          <w:pgSz w:w="11900" w:h="16838" w:orient="portrait"/>
          <w:cols w:equalWidth="0" w:num="1">
            <w:col w:w="11360"/>
          </w:cols>
          <w:pgMar w:left="240" w:top="891" w:right="299" w:bottom="1004" w:gutter="0" w:footer="0" w:header="0"/>
        </w:sect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ALLETE, Inc. 2016 Form 10-K</w:t>
      </w:r>
    </w:p>
    <w:p>
      <w:pPr>
        <w:spacing w:after="0" w:line="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891" w:right="299" w:bottom="1004"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+10(k)3</w:t>
            </w:r>
          </w:p>
        </w:tc>
        <w:tc>
          <w:tcPr>
            <w:tcW w:w="10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  ALLETE Non-Employee Director Compensation Summary effective January 1, 2017.</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+*10(l)1</w:t>
            </w:r>
          </w:p>
        </w:tc>
        <w:tc>
          <w:tcPr>
            <w:tcW w:w="10380" w:type="dxa"/>
            <w:vAlign w:val="bottom"/>
          </w:tcPr>
          <w:p>
            <w:pPr>
              <w:ind w:left="320"/>
              <w:spacing w:after="0"/>
              <w:rPr>
                <w:sz w:val="20"/>
                <w:szCs w:val="20"/>
                <w:color w:val="auto"/>
              </w:rPr>
            </w:pPr>
            <w:r>
              <w:rPr>
                <w:rFonts w:ascii="Arial" w:cs="Arial" w:eastAsia="Arial" w:hAnsi="Arial"/>
                <w:sz w:val="16"/>
                <w:szCs w:val="16"/>
                <w:color w:val="auto"/>
              </w:rPr>
              <w:t>—  Minnesota Power (now ALLETE) Non-Employee Director Compensation Deferral Plan Amended and Restated, effective</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January 1, 1990 (filed as Exhibit 10(ac) to the 2002 Form 10-K, File 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+*10(l)2</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  October 2003 Amendment to the Minnesota Power (now ALLETE) Non-Employee Director Compensation Deferral Plan (filed as Exhibit 10(aa)2 to</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the 2003 Form 10-K,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+*10(l)3</w:t>
            </w:r>
          </w:p>
        </w:tc>
        <w:tc>
          <w:tcPr>
            <w:tcW w:w="10380" w:type="dxa"/>
            <w:vAlign w:val="bottom"/>
          </w:tcPr>
          <w:p>
            <w:pPr>
              <w:ind w:left="320"/>
              <w:spacing w:after="0"/>
              <w:rPr>
                <w:sz w:val="20"/>
                <w:szCs w:val="20"/>
                <w:color w:val="auto"/>
              </w:rPr>
            </w:pPr>
            <w:r>
              <w:rPr>
                <w:rFonts w:ascii="Arial" w:cs="Arial" w:eastAsia="Arial" w:hAnsi="Arial"/>
                <w:sz w:val="16"/>
                <w:szCs w:val="16"/>
                <w:color w:val="auto"/>
                <w:w w:val="94"/>
              </w:rPr>
              <w:t>—  January 2005 Amendment to the ALLETE Non-Employee Director Compensation Deferral Plan (filed as Exhibit 10(c) to the March 31, 2005, Form</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10-Q, File 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+*10(l)4</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  October 2006 Amendment to the ALLETE Non-Employee Director Compensation Deferral Plan (filed as Exhibit 10(d) to the September 30, 2006,</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Form 10-Q,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+*10(l)5</w:t>
            </w:r>
          </w:p>
        </w:tc>
        <w:tc>
          <w:tcPr>
            <w:tcW w:w="10380" w:type="dxa"/>
            <w:vAlign w:val="bottom"/>
          </w:tcPr>
          <w:p>
            <w:pPr>
              <w:ind w:left="320"/>
              <w:spacing w:after="0"/>
              <w:rPr>
                <w:sz w:val="20"/>
                <w:szCs w:val="20"/>
                <w:color w:val="auto"/>
              </w:rPr>
            </w:pPr>
            <w:r>
              <w:rPr>
                <w:rFonts w:ascii="Arial" w:cs="Arial" w:eastAsia="Arial" w:hAnsi="Arial"/>
                <w:sz w:val="16"/>
                <w:szCs w:val="16"/>
                <w:color w:val="auto"/>
                <w:w w:val="97"/>
              </w:rPr>
              <w:t>—  July 2012 Amendment to the ALLETE Non-Employee Director Compensation Deferral Plan (filed as Exhibit 10(n)5 to the 2012 Form 10-K, File</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+*10(m)1</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  ALLETE Non-Employee Director Compensation Deferral Plan II, effective May 1, 2009 (filed as Exhibit 10(a) to the June 30, 2009, Form 10-Q,</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+*10(m)2</w:t>
            </w:r>
          </w:p>
        </w:tc>
        <w:tc>
          <w:tcPr>
            <w:tcW w:w="10380" w:type="dxa"/>
            <w:vAlign w:val="bottom"/>
          </w:tcPr>
          <w:p>
            <w:pPr>
              <w:ind w:left="320"/>
              <w:spacing w:after="0"/>
              <w:rPr>
                <w:sz w:val="20"/>
                <w:szCs w:val="20"/>
                <w:color w:val="auto"/>
              </w:rPr>
            </w:pPr>
            <w:r>
              <w:rPr>
                <w:rFonts w:ascii="Arial" w:cs="Arial" w:eastAsia="Arial" w:hAnsi="Arial"/>
                <w:sz w:val="16"/>
                <w:szCs w:val="16"/>
                <w:color w:val="auto"/>
                <w:w w:val="96"/>
              </w:rPr>
              <w:t>—  ALLETE Non-Employee Director Compensation Deferral Plan II, as amended and restated, effective July 24, 2012 (filed as Exhibit 10(o)2 to the</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2012 Form 10-K, File 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+*10(n)</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  ALLETE Non-Employee Director Compensation Trust Agreement, as amended and restated, effective December 15, 2012 (filed as Exhibit 10(p)2 to</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the 2012 Form 10-K,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+*10(o)</w:t>
            </w:r>
          </w:p>
        </w:tc>
        <w:tc>
          <w:tcPr>
            <w:tcW w:w="10380" w:type="dxa"/>
            <w:vAlign w:val="bottom"/>
          </w:tcPr>
          <w:p>
            <w:pPr>
              <w:ind w:left="320"/>
              <w:spacing w:after="0"/>
              <w:rPr>
                <w:sz w:val="20"/>
                <w:szCs w:val="20"/>
                <w:color w:val="auto"/>
              </w:rPr>
            </w:pPr>
            <w:r>
              <w:rPr>
                <w:rFonts w:ascii="Arial" w:cs="Arial" w:eastAsia="Arial" w:hAnsi="Arial"/>
                <w:sz w:val="16"/>
                <w:szCs w:val="16"/>
                <w:color w:val="auto"/>
                <w:w w:val="93"/>
              </w:rPr>
              <w:t>—  ALLETE and Affiliated Companies Change in Control Severance Plan, as amended and restated, effective January 19, 2011 (filed as Exhibit 10(q) to</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the 2010 Form 10-K, File 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37"/>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12</w:t>
            </w:r>
          </w:p>
        </w:tc>
        <w:tc>
          <w:tcPr>
            <w:tcW w:w="10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  Computation of Ratios of Earnings to Fixed Charges.</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21</w:t>
            </w:r>
          </w:p>
        </w:tc>
        <w:tc>
          <w:tcPr>
            <w:tcW w:w="10380" w:type="dxa"/>
            <w:vAlign w:val="bottom"/>
          </w:tcPr>
          <w:p>
            <w:pPr>
              <w:ind w:left="320"/>
              <w:spacing w:after="0"/>
              <w:rPr>
                <w:sz w:val="20"/>
                <w:szCs w:val="20"/>
                <w:color w:val="auto"/>
              </w:rPr>
            </w:pPr>
            <w:r>
              <w:rPr>
                <w:rFonts w:ascii="Arial" w:cs="Arial" w:eastAsia="Arial" w:hAnsi="Arial"/>
                <w:sz w:val="16"/>
                <w:szCs w:val="16"/>
                <w:color w:val="auto"/>
              </w:rPr>
              <w:t>—  Subsidiaries of the Registrant.</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37"/>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23</w:t>
            </w:r>
          </w:p>
        </w:tc>
        <w:tc>
          <w:tcPr>
            <w:tcW w:w="10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  Consent of Independent Registered Public Accounting Firm.</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31(a)</w:t>
            </w:r>
          </w:p>
        </w:tc>
        <w:tc>
          <w:tcPr>
            <w:tcW w:w="10380" w:type="dxa"/>
            <w:vAlign w:val="bottom"/>
          </w:tcPr>
          <w:p>
            <w:pPr>
              <w:ind w:left="320"/>
              <w:spacing w:after="0"/>
              <w:rPr>
                <w:sz w:val="20"/>
                <w:szCs w:val="20"/>
                <w:color w:val="auto"/>
              </w:rPr>
            </w:pPr>
            <w:r>
              <w:rPr>
                <w:rFonts w:ascii="Arial" w:cs="Arial" w:eastAsia="Arial" w:hAnsi="Arial"/>
                <w:sz w:val="16"/>
                <w:szCs w:val="16"/>
                <w:color w:val="auto"/>
              </w:rPr>
              <w:t>—  Rule 13a-14(a)/15d-14(a) Certification by the Chief Executive Officer Pursuant to Section 302 of the Sarbanes-Oxley Act of 2002.</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4"/>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31(b)</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Rule 13a-14(a)/15d-14(a) Certification by the Chief Financial Officer Pursuant to Section 302 of the Sarbanes-Oxley Act of 2002.</w:t>
            </w:r>
          </w:p>
        </w:tc>
      </w:tr>
      <w:tr>
        <w:trPr>
          <w:trHeight w:val="33"/>
        </w:trPr>
        <w:tc>
          <w:tcPr>
            <w:tcW w:w="1020" w:type="dxa"/>
            <w:vAlign w:val="bottom"/>
            <w:shd w:val="clear" w:color="auto" w:fill="CCEEFF"/>
          </w:tcPr>
          <w:p>
            <w:pPr>
              <w:spacing w:after="0"/>
              <w:rPr>
                <w:sz w:val="2"/>
                <w:szCs w:val="2"/>
                <w:color w:val="auto"/>
              </w:rPr>
            </w:pPr>
          </w:p>
        </w:tc>
        <w:tc>
          <w:tcPr>
            <w:tcW w:w="1038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ind w:left="1660" w:right="40" w:hanging="1625"/>
        <w:spacing w:after="0" w:line="293" w:lineRule="auto"/>
        <w:tabs>
          <w:tab w:leader="none" w:pos="13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 Section 1350 Certification of Annual Report by the Chief Executive Officer and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243" w:lineRule="exact"/>
        <w:rPr>
          <w:sz w:val="20"/>
          <w:szCs w:val="20"/>
          <w:color w:val="auto"/>
        </w:rPr>
      </w:pPr>
    </w:p>
    <w:p>
      <w:pPr>
        <w:ind w:left="1660" w:right="40" w:hanging="1625"/>
        <w:spacing w:after="0" w:line="300" w:lineRule="auto"/>
        <w:tabs>
          <w:tab w:leader="none" w:pos="1349"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 ALLETE News Release dated February 15, 2017, announcing earnings for the year ended December 31, 2016. </w:t>
      </w:r>
      <w:r>
        <w:rPr>
          <w:rFonts w:ascii="Arial" w:cs="Arial" w:eastAsia="Arial" w:hAnsi="Arial"/>
          <w:sz w:val="15"/>
          <w:szCs w:val="15"/>
          <w:b w:val="1"/>
          <w:bCs w:val="1"/>
          <w:color w:val="auto"/>
        </w:rPr>
        <w:t>(This exhibit has been furnished</w:t>
      </w:r>
      <w:r>
        <w:rPr>
          <w:rFonts w:ascii="Arial" w:cs="Arial" w:eastAsia="Arial" w:hAnsi="Arial"/>
          <w:sz w:val="15"/>
          <w:szCs w:val="15"/>
          <w:color w:val="auto"/>
        </w:rPr>
        <w:t xml:space="preserve"> </w:t>
      </w:r>
      <w:r>
        <w:rPr>
          <w:rFonts w:ascii="Arial" w:cs="Arial" w:eastAsia="Arial" w:hAnsi="Arial"/>
          <w:sz w:val="15"/>
          <w:szCs w:val="15"/>
          <w:b w:val="1"/>
          <w:bCs w:val="1"/>
          <w:color w:val="auto"/>
        </w:rPr>
        <w:t>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101.INS</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Instance</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101.SCH</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Schema</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101.CAL</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Calculation</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101.DEF</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Definition</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101.LAB</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Label</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101.PRE</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Presentation</w:t>
            </w:r>
          </w:p>
        </w:tc>
      </w:tr>
    </w:tbl>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891"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Exhibits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ALLETE or its subsidiaries are obligors under various long-term debt instruments including, but not limited to, the following:</w:t>
      </w:r>
    </w:p>
    <w:p>
      <w:pPr>
        <w:spacing w:after="0" w:line="225" w:lineRule="exact"/>
        <w:rPr>
          <w:sz w:val="20"/>
          <w:szCs w:val="20"/>
          <w:color w:val="auto"/>
        </w:rPr>
      </w:pPr>
    </w:p>
    <w:p>
      <w:pPr>
        <w:ind w:left="6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$38,995,000 original principal amount, of City of Cohasset, Minnesota, Variable Rate Demand Revenue Refunding Bonds (ALLETE, formerly Minnesota Power &amp; Light Company, Project) Series 1997A ($13,500,000 remaining principal balance);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$27,800,000 of Collier County Industrial Development Authority, Industrial Development Variable Rate Demand Refunding Revenue Bonds Series 2006;</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$6,370,000 of City of Superior, Wisconsin, Collateralized Utility Revenue Refunding Bonds Series 2007A;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$6,130,000 of City of Superior, Wisconsin, Collateralized Utility Revenue Bonds Series 2007B.</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Item 601(b)(4)(iii) of Regulation S-K, these long-term debt instruments are not filed as exhibits because the total amount of debt authorized under each of these omitted instruments does not exceed 10 percent of our total consolidated assets. We will furnish copies of these instruments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29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37" w:lineRule="exact"/>
        <w:rPr>
          <w:sz w:val="20"/>
          <w:szCs w:val="20"/>
          <w:color w:val="auto"/>
        </w:rPr>
      </w:pPr>
    </w:p>
    <w:p>
      <w:pPr>
        <w:ind w:left="620" w:hanging="585"/>
        <w:spacing w:after="0"/>
        <w:tabs>
          <w:tab w:leader="none" w:pos="6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herein by reference as indicated.</w:t>
      </w:r>
    </w:p>
    <w:p>
      <w:pPr>
        <w:spacing w:after="0" w:line="63" w:lineRule="exact"/>
        <w:rPr>
          <w:sz w:val="20"/>
          <w:szCs w:val="20"/>
          <w:color w:val="auto"/>
        </w:rPr>
      </w:pPr>
    </w:p>
    <w:p>
      <w:pPr>
        <w:ind w:left="620" w:hanging="585"/>
        <w:spacing w:after="0"/>
        <w:tabs>
          <w:tab w:leader="none" w:pos="6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 pursuant to Item 15(b).</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02"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820" w:val="left"/>
          <w:tab w:leader="none" w:pos="5240" w:val="left"/>
          <w:tab w:leader="none" w:pos="7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Chairman, President, Chief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552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Title</w:t>
            </w:r>
          </w:p>
        </w:tc>
        <w:tc>
          <w:tcPr>
            <w:tcW w:w="224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660" w:type="dxa"/>
            <w:vAlign w:val="bottom"/>
          </w:tcPr>
          <w:p>
            <w:pPr>
              <w:jc w:val="center"/>
              <w:spacing w:after="0"/>
              <w:rPr>
                <w:sz w:val="20"/>
                <w:szCs w:val="20"/>
                <w:color w:val="auto"/>
              </w:rPr>
            </w:pPr>
            <w:r>
              <w:rPr>
                <w:rFonts w:ascii="Arial" w:cs="Arial" w:eastAsia="Arial" w:hAnsi="Arial"/>
                <w:sz w:val="18"/>
                <w:szCs w:val="18"/>
                <w:color w:val="auto"/>
                <w:w w:val="94"/>
              </w:rPr>
              <w:t>/s/ Alan R. Hodnik</w:t>
            </w:r>
          </w:p>
        </w:tc>
        <w:tc>
          <w:tcPr>
            <w:tcW w:w="5520" w:type="dxa"/>
            <w:vAlign w:val="bottom"/>
          </w:tcPr>
          <w:p>
            <w:pPr>
              <w:jc w:val="center"/>
              <w:ind w:left="110"/>
              <w:spacing w:after="0"/>
              <w:rPr>
                <w:sz w:val="20"/>
                <w:szCs w:val="20"/>
                <w:color w:val="auto"/>
              </w:rPr>
            </w:pPr>
            <w:r>
              <w:rPr>
                <w:rFonts w:ascii="Arial" w:cs="Arial" w:eastAsia="Arial" w:hAnsi="Arial"/>
                <w:sz w:val="18"/>
                <w:szCs w:val="18"/>
                <w:color w:val="auto"/>
                <w:w w:val="92"/>
              </w:rPr>
              <w:t>Chairman, President, Chief Executive Officer and Director</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89"/>
              </w:rPr>
              <w:t>February 15, 2017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520" w:type="dxa"/>
            <w:vAlign w:val="bottom"/>
            <w:vMerge w:val="restart"/>
          </w:tcPr>
          <w:p>
            <w:pPr>
              <w:jc w:val="center"/>
              <w:ind w:left="90"/>
              <w:spacing w:after="0"/>
              <w:rPr>
                <w:sz w:val="20"/>
                <w:szCs w:val="20"/>
                <w:color w:val="auto"/>
              </w:rPr>
            </w:pPr>
            <w:r>
              <w:rPr>
                <w:rFonts w:ascii="Arial" w:cs="Arial" w:eastAsia="Arial" w:hAnsi="Arial"/>
                <w:sz w:val="18"/>
                <w:szCs w:val="18"/>
                <w:color w:val="auto"/>
                <w:w w:val="94"/>
              </w:rPr>
              <w:t>(Principal Executive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6"/>
              </w:rPr>
              <w:t>Alan R. Hodnik</w:t>
            </w:r>
          </w:p>
        </w:tc>
        <w:tc>
          <w:tcPr>
            <w:tcW w:w="552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0"/>
              </w:rPr>
              <w:t>/s/ Steven Q. DeVinck</w:t>
            </w:r>
          </w:p>
        </w:tc>
        <w:tc>
          <w:tcPr>
            <w:tcW w:w="5520" w:type="dxa"/>
            <w:vAlign w:val="bottom"/>
          </w:tcPr>
          <w:p>
            <w:pPr>
              <w:jc w:val="center"/>
              <w:ind w:left="110"/>
              <w:spacing w:after="0"/>
              <w:rPr>
                <w:sz w:val="20"/>
                <w:szCs w:val="20"/>
                <w:color w:val="auto"/>
              </w:rPr>
            </w:pPr>
            <w:r>
              <w:rPr>
                <w:rFonts w:ascii="Arial" w:cs="Arial" w:eastAsia="Arial" w:hAnsi="Arial"/>
                <w:sz w:val="18"/>
                <w:szCs w:val="18"/>
                <w:color w:val="auto"/>
                <w:w w:val="92"/>
              </w:rPr>
              <w:t>Senior Vice President and Chief Financial Officer</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89"/>
              </w:rPr>
              <w:t>February 15, 2017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520" w:type="dxa"/>
            <w:vAlign w:val="bottom"/>
            <w:vMerge w:val="restart"/>
          </w:tcPr>
          <w:p>
            <w:pPr>
              <w:jc w:val="center"/>
              <w:ind w:left="110"/>
              <w:spacing w:after="0"/>
              <w:rPr>
                <w:sz w:val="20"/>
                <w:szCs w:val="20"/>
                <w:color w:val="auto"/>
              </w:rPr>
            </w:pPr>
            <w:r>
              <w:rPr>
                <w:rFonts w:ascii="Arial" w:cs="Arial" w:eastAsia="Arial" w:hAnsi="Arial"/>
                <w:sz w:val="18"/>
                <w:szCs w:val="18"/>
                <w:color w:val="auto"/>
                <w:w w:val="94"/>
              </w:rPr>
              <w:t>(Principal Financial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Steven Q. DeVinck</w:t>
            </w:r>
          </w:p>
        </w:tc>
        <w:tc>
          <w:tcPr>
            <w:tcW w:w="552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c>
          <w:tcPr>
            <w:tcW w:w="5520" w:type="dxa"/>
            <w:vAlign w:val="bottom"/>
          </w:tcPr>
          <w:p>
            <w:pPr>
              <w:jc w:val="center"/>
              <w:ind w:left="110"/>
              <w:spacing w:after="0"/>
              <w:rPr>
                <w:sz w:val="20"/>
                <w:szCs w:val="20"/>
                <w:color w:val="auto"/>
              </w:rPr>
            </w:pPr>
            <w:r>
              <w:rPr>
                <w:rFonts w:ascii="Arial" w:cs="Arial" w:eastAsia="Arial" w:hAnsi="Arial"/>
                <w:sz w:val="18"/>
                <w:szCs w:val="18"/>
                <w:color w:val="auto"/>
                <w:w w:val="93"/>
              </w:rPr>
              <w:t>Vice President, Controller and Chief Accounting Officer</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89"/>
              </w:rPr>
              <w:t>February 15, 2017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520" w:type="dxa"/>
            <w:vAlign w:val="bottom"/>
            <w:vMerge w:val="restart"/>
          </w:tcPr>
          <w:p>
            <w:pPr>
              <w:jc w:val="center"/>
              <w:ind w:left="90"/>
              <w:spacing w:after="0"/>
              <w:rPr>
                <w:sz w:val="20"/>
                <w:szCs w:val="20"/>
                <w:color w:val="auto"/>
              </w:rPr>
            </w:pPr>
            <w:r>
              <w:rPr>
                <w:rFonts w:ascii="Arial" w:cs="Arial" w:eastAsia="Arial" w:hAnsi="Arial"/>
                <w:sz w:val="18"/>
                <w:szCs w:val="18"/>
                <w:color w:val="auto"/>
                <w:w w:val="95"/>
              </w:rPr>
              <w:t>(Principal Accounting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c>
          <w:tcPr>
            <w:tcW w:w="552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660" w:type="dxa"/>
            <w:vAlign w:val="bottom"/>
          </w:tcPr>
          <w:p>
            <w:pPr>
              <w:spacing w:after="0"/>
              <w:rPr>
                <w:sz w:val="24"/>
                <w:szCs w:val="24"/>
                <w:color w:val="auto"/>
              </w:rPr>
            </w:pPr>
          </w:p>
        </w:tc>
        <w:tc>
          <w:tcPr>
            <w:tcW w:w="5520" w:type="dxa"/>
            <w:vAlign w:val="bottom"/>
          </w:tcPr>
          <w:p>
            <w:pPr>
              <w:jc w:val="center"/>
              <w:ind w:right="1330"/>
              <w:spacing w:after="0"/>
              <w:rPr>
                <w:sz w:val="20"/>
                <w:szCs w:val="20"/>
                <w:color w:val="auto"/>
              </w:rPr>
            </w:pPr>
            <w:r>
              <w:rPr>
                <w:rFonts w:ascii="Arial" w:cs="Arial" w:eastAsia="Arial" w:hAnsi="Arial"/>
                <w:sz w:val="18"/>
                <w:szCs w:val="18"/>
                <w:color w:val="auto"/>
                <w:w w:val="95"/>
              </w:rPr>
              <w:t>ALLETE, Inc. 2016 Form 10-K</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5520" w:type="dxa"/>
            <w:vAlign w:val="bottom"/>
          </w:tcPr>
          <w:p>
            <w:pPr>
              <w:jc w:val="right"/>
              <w:ind w:right="3290"/>
              <w:spacing w:after="0"/>
              <w:rPr>
                <w:sz w:val="20"/>
                <w:szCs w:val="20"/>
                <w:color w:val="auto"/>
              </w:rPr>
            </w:pPr>
            <w:r>
              <w:rPr>
                <w:rFonts w:ascii="Arial" w:cs="Arial" w:eastAsia="Arial" w:hAnsi="Arial"/>
                <w:sz w:val="18"/>
                <w:szCs w:val="18"/>
                <w:color w:val="auto"/>
              </w:rPr>
              <w:t>68</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2"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6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Signatures (Continued)</w:t>
            </w:r>
          </w:p>
        </w:tc>
        <w:tc>
          <w:tcPr>
            <w:tcW w:w="3120" w:type="dxa"/>
            <w:vAlign w:val="bottom"/>
          </w:tcPr>
          <w:p>
            <w:pPr>
              <w:spacing w:after="0"/>
              <w:rPr>
                <w:sz w:val="20"/>
                <w:szCs w:val="20"/>
                <w:color w:val="auto"/>
              </w:rPr>
            </w:pPr>
          </w:p>
        </w:tc>
      </w:tr>
      <w:tr>
        <w:trPr>
          <w:trHeight w:val="37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4640" w:type="dxa"/>
            <w:vAlign w:val="bottom"/>
          </w:tcPr>
          <w:p>
            <w:pPr>
              <w:jc w:val="center"/>
              <w:ind w:left="990"/>
              <w:spacing w:after="0"/>
              <w:rPr>
                <w:sz w:val="20"/>
                <w:szCs w:val="20"/>
                <w:color w:val="auto"/>
              </w:rPr>
            </w:pPr>
            <w:r>
              <w:rPr>
                <w:rFonts w:ascii="Arial" w:cs="Arial" w:eastAsia="Arial" w:hAnsi="Arial"/>
                <w:sz w:val="18"/>
                <w:szCs w:val="18"/>
                <w:b w:val="1"/>
                <w:bCs w:val="1"/>
                <w:color w:val="auto"/>
                <w:w w:val="97"/>
              </w:rPr>
              <w:t>Title</w:t>
            </w:r>
          </w:p>
        </w:tc>
        <w:tc>
          <w:tcPr>
            <w:tcW w:w="312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507"/>
        </w:trPr>
        <w:tc>
          <w:tcPr>
            <w:tcW w:w="3660" w:type="dxa"/>
            <w:vAlign w:val="bottom"/>
          </w:tcPr>
          <w:p>
            <w:pPr>
              <w:jc w:val="center"/>
              <w:spacing w:after="0"/>
              <w:rPr>
                <w:sz w:val="20"/>
                <w:szCs w:val="20"/>
                <w:color w:val="auto"/>
              </w:rPr>
            </w:pPr>
            <w:r>
              <w:rPr>
                <w:rFonts w:ascii="Arial" w:cs="Arial" w:eastAsia="Arial" w:hAnsi="Arial"/>
                <w:sz w:val="18"/>
                <w:szCs w:val="18"/>
                <w:color w:val="auto"/>
                <w:w w:val="93"/>
              </w:rPr>
              <w:t>/s/ Kathryn W. Dindo</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2017</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3"/>
              </w:rPr>
              <w:t>Kathryn W. Dindo</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 Sidney W. Emery, Jr.</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2017</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Sidney W. Emery, Jr.</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George G. Goldfarb</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2017</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George G. Goldfarb</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86"/>
              </w:rPr>
              <w:t>/s/ James S. Haines, Jr.</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2017</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6"/>
              </w:rPr>
              <w:t>James S. Haines, Jr.</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8"/>
              </w:rPr>
              <w:t>/s/ James J. Hoolihan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2017</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James J. Hoolihan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Heidi E. Jimmerson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2017</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Heidi E. Jimmerson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 Madeleine W. Ludlow</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2017</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Madeleine W. Ludlow</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 Douglas C. Neve</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2017</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Douglas C. Neve</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0"/>
              </w:rPr>
              <w:t>/s/ Leonard C. Rodman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2017</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Leonard C. Rodman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688"/>
        </w:trPr>
        <w:tc>
          <w:tcPr>
            <w:tcW w:w="3660" w:type="dxa"/>
            <w:vAlign w:val="bottom"/>
          </w:tcPr>
          <w:p>
            <w:pPr>
              <w:spacing w:after="0"/>
              <w:rPr>
                <w:sz w:val="24"/>
                <w:szCs w:val="24"/>
                <w:color w:val="auto"/>
              </w:rPr>
            </w:pPr>
          </w:p>
        </w:tc>
        <w:tc>
          <w:tcPr>
            <w:tcW w:w="4640" w:type="dxa"/>
            <w:vAlign w:val="bottom"/>
          </w:tcPr>
          <w:p>
            <w:pPr>
              <w:jc w:val="center"/>
              <w:ind w:right="450"/>
              <w:spacing w:after="0"/>
              <w:rPr>
                <w:sz w:val="20"/>
                <w:szCs w:val="20"/>
                <w:color w:val="auto"/>
              </w:rPr>
            </w:pPr>
            <w:r>
              <w:rPr>
                <w:rFonts w:ascii="Arial" w:cs="Arial" w:eastAsia="Arial" w:hAnsi="Arial"/>
                <w:sz w:val="18"/>
                <w:szCs w:val="18"/>
                <w:color w:val="auto"/>
                <w:w w:val="95"/>
              </w:rPr>
              <w:t>ALLETE, Inc. 2016 Form 10-K</w:t>
            </w:r>
          </w:p>
        </w:tc>
        <w:tc>
          <w:tcPr>
            <w:tcW w:w="312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4640" w:type="dxa"/>
            <w:vAlign w:val="bottom"/>
          </w:tcPr>
          <w:p>
            <w:pPr>
              <w:jc w:val="center"/>
              <w:ind w:right="450"/>
              <w:spacing w:after="0"/>
              <w:rPr>
                <w:sz w:val="20"/>
                <w:szCs w:val="20"/>
                <w:color w:val="auto"/>
              </w:rPr>
            </w:pPr>
            <w:r>
              <w:rPr>
                <w:rFonts w:ascii="Arial" w:cs="Arial" w:eastAsia="Arial" w:hAnsi="Arial"/>
                <w:sz w:val="18"/>
                <w:szCs w:val="18"/>
                <w:color w:val="auto"/>
                <w:w w:val="89"/>
              </w:rPr>
              <w:t>69</w:t>
            </w:r>
          </w:p>
        </w:tc>
        <w:tc>
          <w:tcPr>
            <w:tcW w:w="3120" w:type="dxa"/>
            <w:vAlign w:val="bottom"/>
          </w:tcPr>
          <w:p>
            <w:pPr>
              <w:spacing w:after="0"/>
              <w:rPr>
                <w:sz w:val="20"/>
                <w:szCs w:val="20"/>
                <w:color w:val="auto"/>
              </w:rPr>
            </w:pPr>
          </w:p>
        </w:tc>
      </w:tr>
    </w:tbl>
    <w:p>
      <w:pPr>
        <w:sectPr>
          <w:pgSz w:w="11900" w:h="16838" w:orient="portrait"/>
          <w:cols w:equalWidth="0" w:num="1">
            <w:col w:w="11420"/>
          </w:cols>
          <w:pgMar w:left="240" w:top="702" w:right="239" w:bottom="1440" w:gutter="0" w:footer="0" w:header="0"/>
        </w:sectPr>
      </w:pPr>
    </w:p>
    <w:bookmarkStart w:id="69" w:name="page70"/>
    <w:bookmarkEnd w:id="69"/>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ALLETE, Inc.:</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comprehensive income, equity and cash flows present fairly, in all material respects, the financial position of ALLETE, Inc. and its subsidiaries (the Company) at December 31, 2016 and December 31, 2015, and the results of their operations and their cash flows for each of the three years in the period ended December 31, 2016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2016 based on criteria established in Internal Control - Integrated Framework (2013)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2017</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702"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Consolidated Balance Sheet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$27.5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Accounts Receivable (Less Allowance of $3.1 and $1.0)</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122.5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121.2</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 Net</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104.2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40.3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294.5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371.0</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3,741.2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3,669.1</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359.6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135.6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124.5</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55.6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Goodwill and Intangible Assets – Net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213.4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215.2</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106.5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r>
      <w:tr>
        <w:trPr>
          <w:trHeight w:val="237"/>
        </w:trPr>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$4,906.4</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$4,894.5</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$74.0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$88.8</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46.5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17.6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187.7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Notes Payable</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73.7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r>
      <w:tr>
        <w:trPr>
          <w:trHeight w:val="237"/>
        </w:trPr>
        <w:tc>
          <w:tcPr>
            <w:tcW w:w="85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399.5</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274.8</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1,370.4</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1,556.7</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584.1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579.8</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125.8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210.9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206.8</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322.7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r>
      <w:tr>
        <w:trPr>
          <w:trHeight w:val="237"/>
        </w:trPr>
        <w:tc>
          <w:tcPr>
            <w:tcW w:w="85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3,013.4</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3,072.1</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Guarantees and Contingencies (Note 11)</w:t>
            </w:r>
          </w:p>
        </w:tc>
        <w:tc>
          <w:tcPr>
            <w:tcW w:w="17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17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ALLETE’s Equity</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w w:val="97"/>
              </w:rPr>
              <w:t>Common Stock Without Par Value, 80.0 Shares Authorized, 49.6 and 49.1 Shares Issued and Outstanding</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1,295.3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1,271.4</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7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625.9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573.3</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ALLETE Equity</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1,893.0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1,820.2</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1,893.0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1,822.4</w:t>
            </w:r>
          </w:p>
        </w:tc>
      </w:tr>
      <w:tr>
        <w:trPr>
          <w:trHeight w:val="237"/>
        </w:trPr>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$4,906.4</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$4,894.5</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02"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Income</w:t>
            </w:r>
          </w:p>
        </w:tc>
        <w:tc>
          <w:tcPr>
            <w:tcW w:w="2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6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$1,339.7</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$1,486.4</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$1,136.8</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 and Purchased Power</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332.9</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328.1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356.1</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Transmission Services</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65.2</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54.1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144.7</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302.3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Operating and Maintenance</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334.1</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333.5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287.1</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195.8</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170.0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Taxes Other than Income Taxes</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53.8</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51.4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(10.3)</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36.3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1,116.2</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1,275.7</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948.0</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223.5</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210.7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188.8</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(70.3)</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(64.9)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Equity Earnings in ATC</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18.5</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16.3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3.9</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6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(47.9)</w:t>
            </w:r>
          </w:p>
        </w:tc>
        <w:tc>
          <w:tcPr>
            <w:tcW w:w="1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(43.9)</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175.6</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166.8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19.8</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25.3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155.8</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141.5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Less: Non-Controlling Interest in Subsidiaries</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0.5</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0.4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$155.3</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$141.1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6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49.3</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48.3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49.5</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48.4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43.1</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$3.15</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$2.92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$3.14</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$2.92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$2.08</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0"/>
        </w:trPr>
        <w:tc>
          <w:tcPr>
            <w:tcW w:w="614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02"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Comprehensive Income</w:t>
            </w:r>
          </w:p>
        </w:tc>
        <w:tc>
          <w:tcPr>
            <w:tcW w:w="2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94"/>
        </w:trPr>
        <w:tc>
          <w:tcPr>
            <w:tcW w:w="64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6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$155.8</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$141.5</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6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Securities</w:t>
            </w:r>
          </w:p>
        </w:tc>
        <w:tc>
          <w:tcPr>
            <w:tcW w:w="26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of Income Tax Benefit of $(0.2), $(0.3) and $(0.2)</w:t>
            </w:r>
          </w:p>
        </w:tc>
        <w:tc>
          <w:tcPr>
            <w:tcW w:w="2620" w:type="dxa"/>
            <w:vAlign w:val="bottom"/>
          </w:tcPr>
          <w:p>
            <w:pPr>
              <w:jc w:val="right"/>
              <w:ind w:right="330"/>
              <w:spacing w:after="0"/>
              <w:rPr>
                <w:sz w:val="20"/>
                <w:szCs w:val="20"/>
                <w:color w:val="auto"/>
              </w:rPr>
            </w:pPr>
            <w:r>
              <w:rPr>
                <w:rFonts w:ascii="Arial" w:cs="Arial" w:eastAsia="Arial" w:hAnsi="Arial"/>
                <w:sz w:val="18"/>
                <w:szCs w:val="18"/>
                <w:color w:val="auto"/>
              </w:rPr>
              <w:t>(0.2)</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(0.5)</w:t>
            </w: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w:t>
            </w:r>
          </w:p>
        </w:tc>
        <w:tc>
          <w:tcPr>
            <w:tcW w:w="26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of Income Tax Expense of $–, $0.1 and $0.1</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6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of Income Tax Benefit of $(2.4), $(2.2) and $(2.8)</w:t>
            </w:r>
          </w:p>
        </w:tc>
        <w:tc>
          <w:tcPr>
            <w:tcW w:w="2620" w:type="dxa"/>
            <w:vAlign w:val="bottom"/>
          </w:tcPr>
          <w:p>
            <w:pPr>
              <w:jc w:val="right"/>
              <w:ind w:right="330"/>
              <w:spacing w:after="0"/>
              <w:rPr>
                <w:sz w:val="20"/>
                <w:szCs w:val="20"/>
                <w:color w:val="auto"/>
              </w:rPr>
            </w:pPr>
            <w:r>
              <w:rPr>
                <w:rFonts w:ascii="Arial" w:cs="Arial" w:eastAsia="Arial" w:hAnsi="Arial"/>
                <w:sz w:val="18"/>
                <w:szCs w:val="18"/>
                <w:color w:val="auto"/>
              </w:rPr>
              <w:t>(3.5)</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(3.0)</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Loss</w:t>
            </w:r>
          </w:p>
        </w:tc>
        <w:tc>
          <w:tcPr>
            <w:tcW w:w="2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(3.7)</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6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152.1</w:t>
            </w:r>
          </w:p>
        </w:tc>
        <w:tc>
          <w:tcPr>
            <w:tcW w:w="13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138.1</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121.5</w:t>
            </w: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0.5</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26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$151.6</w:t>
            </w:r>
          </w:p>
        </w:tc>
        <w:tc>
          <w:tcPr>
            <w:tcW w:w="13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$137.7</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$120.8</w:t>
            </w:r>
          </w:p>
        </w:tc>
      </w:tr>
      <w:tr>
        <w:trPr>
          <w:trHeight w:val="27"/>
        </w:trPr>
        <w:tc>
          <w:tcPr>
            <w:tcW w:w="6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02"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Cash Flows</w:t>
            </w:r>
          </w:p>
        </w:tc>
        <w:tc>
          <w:tcPr>
            <w:tcW w:w="2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$155.8</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$141.5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$125.5</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Funds Used During Construction – Equity</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(2.1)</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Income from Equity Investments – Net of Dividends</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(5.7)</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(1.8)</w:t>
            </w: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Real Estate</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36.3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Impairment of Goodwill</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3.3</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(13.6)</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Gain on Sales of Investments and Property, Plant and Equipment</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(0.2)</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Expense</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190.6</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165.9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Amortization of Power Sales Agreements</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(22.3)</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(23.2)</w:t>
            </w: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Other Intangible Assets and Other Assets</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10.3</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5.6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Deferred Income Tax Expense</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19.4</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25.1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Expense</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2.6</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ESOP Compensation Expense</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2.5</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9.0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Pension and Other Postretirement Benefit Expense</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4.6</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15.4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4.1</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(4.7)</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1.1</w:t>
            </w: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13.3</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(22.1)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6500" w:type="dxa"/>
            <w:vAlign w:val="bottom"/>
          </w:tcPr>
          <w:p>
            <w:pPr>
              <w:ind w:left="500"/>
              <w:spacing w:after="0"/>
              <w:rPr>
                <w:sz w:val="20"/>
                <w:szCs w:val="20"/>
                <w:color w:val="auto"/>
              </w:rPr>
            </w:pPr>
            <w:r>
              <w:rPr>
                <w:rFonts w:ascii="Arial" w:cs="Arial" w:eastAsia="Arial" w:hAnsi="Arial"/>
                <w:sz w:val="18"/>
                <w:szCs w:val="18"/>
                <w:color w:val="auto"/>
              </w:rPr>
              <w:t>Prepayments and Other</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(6.9)</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3.7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6.5</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(19.3)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650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(13.8)</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5.1</w:t>
            </w: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Contributions to Defined Benefit Pension Plans</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(6.3)</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Changes in Regulatory and Other Non-Current Assets</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(10.7)</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0.6</w:t>
            </w: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Regulatory and Other Non-Current Liabilities</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11.1</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37"/>
        </w:trPr>
        <w:tc>
          <w:tcPr>
            <w:tcW w:w="65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Cash from Operating Activities</w:t>
            </w:r>
          </w:p>
        </w:tc>
        <w:tc>
          <w:tcPr>
            <w:tcW w:w="2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332.0</w:t>
            </w:r>
          </w:p>
        </w:tc>
        <w:tc>
          <w:tcPr>
            <w:tcW w:w="14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340.1</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269.8</w:t>
            </w:r>
          </w:p>
        </w:tc>
      </w:tr>
      <w:tr>
        <w:trPr>
          <w:trHeight w:val="27"/>
        </w:trPr>
        <w:tc>
          <w:tcPr>
            <w:tcW w:w="6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9.0</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Purchase of Available-for-sale Securities</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(9.4)</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Acquisitions of Subsidiaries – Net of Cash Acquired</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(333.3)</w:t>
            </w:r>
          </w:p>
        </w:tc>
        <w:tc>
          <w:tcPr>
            <w:tcW w:w="106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ATC</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(5.4)</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Changes to Other Investments</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4.4</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(265.6)</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(286.8)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Construction Costs for Development Project</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in Escrow for Acquisition</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0.7</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0.4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Restricted Cash</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(4.0)</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Cash for Investing Activities</w:t>
            </w:r>
          </w:p>
        </w:tc>
        <w:tc>
          <w:tcPr>
            <w:tcW w:w="23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(276.2)</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(618.8)</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(625.7)</w:t>
            </w:r>
          </w:p>
        </w:tc>
      </w:tr>
      <w:tr>
        <w:trPr>
          <w:trHeight w:val="27"/>
        </w:trPr>
        <w:tc>
          <w:tcPr>
            <w:tcW w:w="6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30.9</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161.2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200.6</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4.8</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324.5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Changes in Restricted Cash</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7.0</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8.5</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Notes Payable</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Repayments of Long-Term Debt</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(54.8)</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(160.2)</w:t>
            </w:r>
          </w:p>
        </w:tc>
        <w:tc>
          <w:tcPr>
            <w:tcW w:w="106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Non-Controlling Interest</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(8.0)</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Construction Deposits Received for Development Project</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54.3</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Common Stock</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(102.7)</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(97.9)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(0.9)</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6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from (for) Financing Activities</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(125.3)</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229.9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404.4</w:t>
            </w:r>
          </w:p>
        </w:tc>
      </w:tr>
      <w:tr>
        <w:trPr>
          <w:trHeight w:val="237"/>
        </w:trPr>
        <w:tc>
          <w:tcPr>
            <w:tcW w:w="6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Change in Cash and Cash Equivalents</w:t>
            </w:r>
          </w:p>
        </w:tc>
        <w:tc>
          <w:tcPr>
            <w:tcW w:w="23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(69.5)</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(48.8)</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97.0</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145.8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r>
      <w:tr>
        <w:trPr>
          <w:trHeight w:val="237"/>
        </w:trPr>
        <w:tc>
          <w:tcPr>
            <w:tcW w:w="6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2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$27.5</w:t>
            </w:r>
          </w:p>
        </w:tc>
        <w:tc>
          <w:tcPr>
            <w:tcW w:w="14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$97.0</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$145.8</w:t>
            </w:r>
          </w:p>
        </w:tc>
      </w:tr>
      <w:tr>
        <w:trPr>
          <w:trHeight w:val="27"/>
        </w:trPr>
        <w:tc>
          <w:tcPr>
            <w:tcW w:w="6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702" w:right="239" w:bottom="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color w:val="auto"/>
        </w:rPr>
        <w:t>ALLETE, Inc. 2016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9019"/>
          </w:cols>
          <w:pgMar w:left="1440" w:top="125" w:right="1440"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ALLETE Consolidated Statement of Equity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jc w:val="center"/>
              <w:ind w:right="91"/>
              <w:spacing w:after="0"/>
              <w:rPr>
                <w:sz w:val="20"/>
                <w:szCs w:val="20"/>
                <w:color w:val="auto"/>
              </w:rPr>
            </w:pPr>
            <w:r>
              <w:rPr>
                <w:rFonts w:ascii="Arial" w:cs="Arial" w:eastAsia="Arial" w:hAnsi="Arial"/>
                <w:sz w:val="16"/>
                <w:szCs w:val="16"/>
                <w:b w:val="1"/>
                <w:bCs w:val="1"/>
                <w:color w:val="auto"/>
                <w:w w:val="91"/>
              </w:rPr>
              <w:t>Accumulated</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jc w:val="center"/>
              <w:ind w:right="71"/>
              <w:spacing w:after="0"/>
              <w:rPr>
                <w:sz w:val="20"/>
                <w:szCs w:val="20"/>
                <w:color w:val="auto"/>
              </w:rPr>
            </w:pPr>
            <w:r>
              <w:rPr>
                <w:rFonts w:ascii="Arial" w:cs="Arial" w:eastAsia="Arial" w:hAnsi="Arial"/>
                <w:sz w:val="16"/>
                <w:szCs w:val="16"/>
                <w:b w:val="1"/>
                <w:bCs w:val="1"/>
                <w:color w:val="auto"/>
                <w:w w:val="98"/>
              </w:rPr>
              <w:t>Other</w:t>
            </w:r>
          </w:p>
        </w:tc>
        <w:tc>
          <w:tcPr>
            <w:tcW w:w="1140" w:type="dxa"/>
            <w:vAlign w:val="bottom"/>
          </w:tcPr>
          <w:p>
            <w:pPr>
              <w:jc w:val="center"/>
              <w:ind w:right="111"/>
              <w:spacing w:after="0"/>
              <w:rPr>
                <w:sz w:val="20"/>
                <w:szCs w:val="20"/>
                <w:color w:val="auto"/>
              </w:rPr>
            </w:pPr>
            <w:r>
              <w:rPr>
                <w:rFonts w:ascii="Arial" w:cs="Arial" w:eastAsia="Arial" w:hAnsi="Arial"/>
                <w:sz w:val="16"/>
                <w:szCs w:val="16"/>
                <w:b w:val="1"/>
                <w:bCs w:val="1"/>
                <w:color w:val="auto"/>
                <w:w w:val="94"/>
              </w:rPr>
              <w:t>Unearned</w:t>
            </w:r>
          </w:p>
        </w:tc>
        <w:tc>
          <w:tcPr>
            <w:tcW w:w="10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Non-Controlling</w:t>
            </w:r>
          </w:p>
        </w:tc>
      </w:tr>
      <w:tr>
        <w:trPr>
          <w:trHeight w:val="203"/>
        </w:trPr>
        <w:tc>
          <w:tcPr>
            <w:tcW w:w="4120" w:type="dxa"/>
            <w:vAlign w:val="bottom"/>
          </w:tcPr>
          <w:p>
            <w:pPr>
              <w:spacing w:after="0"/>
              <w:rPr>
                <w:sz w:val="17"/>
                <w:szCs w:val="17"/>
                <w:color w:val="auto"/>
              </w:rPr>
            </w:pPr>
          </w:p>
        </w:tc>
        <w:tc>
          <w:tcPr>
            <w:tcW w:w="1160" w:type="dxa"/>
            <w:vAlign w:val="bottom"/>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1240" w:type="dxa"/>
            <w:vAlign w:val="bottom"/>
          </w:tcPr>
          <w:p>
            <w:pPr>
              <w:jc w:val="right"/>
              <w:ind w:right="251"/>
              <w:spacing w:after="0"/>
              <w:rPr>
                <w:sz w:val="20"/>
                <w:szCs w:val="20"/>
                <w:color w:val="auto"/>
              </w:rPr>
            </w:pPr>
            <w:r>
              <w:rPr>
                <w:rFonts w:ascii="Arial" w:cs="Arial" w:eastAsia="Arial" w:hAnsi="Arial"/>
                <w:sz w:val="16"/>
                <w:szCs w:val="16"/>
                <w:b w:val="1"/>
                <w:bCs w:val="1"/>
                <w:color w:val="auto"/>
              </w:rPr>
              <w:t>Retained</w:t>
            </w:r>
          </w:p>
        </w:tc>
        <w:tc>
          <w:tcPr>
            <w:tcW w:w="150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Comprehensive</w:t>
            </w:r>
          </w:p>
        </w:tc>
        <w:tc>
          <w:tcPr>
            <w:tcW w:w="1140" w:type="dxa"/>
            <w:vAlign w:val="bottom"/>
          </w:tcPr>
          <w:p>
            <w:pPr>
              <w:jc w:val="center"/>
              <w:ind w:right="111"/>
              <w:spacing w:after="0"/>
              <w:rPr>
                <w:sz w:val="20"/>
                <w:szCs w:val="20"/>
                <w:color w:val="auto"/>
              </w:rPr>
            </w:pPr>
            <w:r>
              <w:rPr>
                <w:rFonts w:ascii="Arial" w:cs="Arial" w:eastAsia="Arial" w:hAnsi="Arial"/>
                <w:sz w:val="16"/>
                <w:szCs w:val="16"/>
                <w:b w:val="1"/>
                <w:bCs w:val="1"/>
                <w:color w:val="auto"/>
                <w:w w:val="94"/>
              </w:rPr>
              <w:t>ESOP</w:t>
            </w:r>
          </w:p>
        </w:tc>
        <w:tc>
          <w:tcPr>
            <w:tcW w:w="1020" w:type="dxa"/>
            <w:vAlign w:val="bottom"/>
          </w:tcPr>
          <w:p>
            <w:pPr>
              <w:jc w:val="right"/>
              <w:ind w:right="151"/>
              <w:spacing w:after="0"/>
              <w:rPr>
                <w:sz w:val="20"/>
                <w:szCs w:val="20"/>
                <w:color w:val="auto"/>
              </w:rPr>
            </w:pPr>
            <w:r>
              <w:rPr>
                <w:rFonts w:ascii="Arial" w:cs="Arial" w:eastAsia="Arial" w:hAnsi="Arial"/>
                <w:sz w:val="16"/>
                <w:szCs w:val="16"/>
                <w:b w:val="1"/>
                <w:bCs w:val="1"/>
                <w:color w:val="auto"/>
              </w:rPr>
              <w:t>Common</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Interest in</w:t>
            </w:r>
          </w:p>
        </w:tc>
      </w:tr>
      <w:tr>
        <w:trPr>
          <w:trHeight w:val="210"/>
        </w:trPr>
        <w:tc>
          <w:tcPr>
            <w:tcW w:w="412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6"/>
                <w:szCs w:val="16"/>
                <w:b w:val="1"/>
                <w:bCs w:val="1"/>
                <w:color w:val="auto"/>
              </w:rPr>
              <w:t>Equity</w:t>
            </w:r>
          </w:p>
        </w:tc>
        <w:tc>
          <w:tcPr>
            <w:tcW w:w="1240" w:type="dxa"/>
            <w:vAlign w:val="bottom"/>
          </w:tcPr>
          <w:p>
            <w:pPr>
              <w:jc w:val="right"/>
              <w:ind w:right="251"/>
              <w:spacing w:after="0"/>
              <w:rPr>
                <w:sz w:val="20"/>
                <w:szCs w:val="20"/>
                <w:color w:val="auto"/>
              </w:rPr>
            </w:pPr>
            <w:r>
              <w:rPr>
                <w:rFonts w:ascii="Arial" w:cs="Arial" w:eastAsia="Arial" w:hAnsi="Arial"/>
                <w:sz w:val="16"/>
                <w:szCs w:val="16"/>
                <w:b w:val="1"/>
                <w:bCs w:val="1"/>
                <w:color w:val="auto"/>
              </w:rPr>
              <w:t>Earnings</w:t>
            </w:r>
          </w:p>
        </w:tc>
        <w:tc>
          <w:tcPr>
            <w:tcW w:w="1500" w:type="dxa"/>
            <w:vAlign w:val="bottom"/>
          </w:tcPr>
          <w:p>
            <w:pPr>
              <w:jc w:val="center"/>
              <w:ind w:right="91"/>
              <w:spacing w:after="0"/>
              <w:rPr>
                <w:sz w:val="20"/>
                <w:szCs w:val="20"/>
                <w:color w:val="auto"/>
              </w:rPr>
            </w:pPr>
            <w:r>
              <w:rPr>
                <w:rFonts w:ascii="Arial" w:cs="Arial" w:eastAsia="Arial" w:hAnsi="Arial"/>
                <w:sz w:val="16"/>
                <w:szCs w:val="16"/>
                <w:b w:val="1"/>
                <w:bCs w:val="1"/>
                <w:color w:val="auto"/>
                <w:w w:val="85"/>
              </w:rPr>
              <w:t>Loss</w:t>
            </w:r>
          </w:p>
        </w:tc>
        <w:tc>
          <w:tcPr>
            <w:tcW w:w="1140" w:type="dxa"/>
            <w:vAlign w:val="bottom"/>
          </w:tcPr>
          <w:p>
            <w:pPr>
              <w:jc w:val="center"/>
              <w:ind w:right="111"/>
              <w:spacing w:after="0"/>
              <w:rPr>
                <w:sz w:val="20"/>
                <w:szCs w:val="20"/>
                <w:color w:val="auto"/>
              </w:rPr>
            </w:pPr>
            <w:r>
              <w:rPr>
                <w:rFonts w:ascii="Arial" w:cs="Arial" w:eastAsia="Arial" w:hAnsi="Arial"/>
                <w:sz w:val="16"/>
                <w:szCs w:val="16"/>
                <w:b w:val="1"/>
                <w:bCs w:val="1"/>
                <w:color w:val="auto"/>
                <w:w w:val="86"/>
              </w:rPr>
              <w:t>Shares</w:t>
            </w:r>
          </w:p>
        </w:tc>
        <w:tc>
          <w:tcPr>
            <w:tcW w:w="1020" w:type="dxa"/>
            <w:vAlign w:val="bottom"/>
          </w:tcPr>
          <w:p>
            <w:pPr>
              <w:jc w:val="right"/>
              <w:ind w:right="271"/>
              <w:spacing w:after="0"/>
              <w:rPr>
                <w:sz w:val="20"/>
                <w:szCs w:val="20"/>
                <w:color w:val="auto"/>
              </w:rPr>
            </w:pPr>
            <w:r>
              <w:rPr>
                <w:rFonts w:ascii="Arial" w:cs="Arial" w:eastAsia="Arial" w:hAnsi="Arial"/>
                <w:sz w:val="16"/>
                <w:szCs w:val="16"/>
                <w:b w:val="1"/>
                <w:bCs w:val="1"/>
                <w:color w:val="auto"/>
              </w:rPr>
              <w:t>Stock</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Subsidiaries</w:t>
            </w:r>
          </w:p>
        </w:tc>
      </w:tr>
      <w:tr>
        <w:trPr>
          <w:trHeight w:val="33"/>
        </w:trPr>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$1,342.9</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$489.1</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$(14.3)</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$885.2</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Recognition of Non-Controlling Interest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w:t>
            </w:r>
          </w:p>
        </w:tc>
        <w:tc>
          <w:tcPr>
            <w:tcW w:w="12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125.5</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124.8</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 Net of Tax</w:t>
            </w:r>
          </w:p>
        </w:tc>
        <w:tc>
          <w:tcPr>
            <w:tcW w:w="1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Unrealized Loss on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(0.2)</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0.2</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2"/>
              </w:rPr>
              <w:t>Defined Benefit Pension and Other Postretirement</w:t>
            </w: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Plans</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(4.0)</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Comprehensive Income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121.5</w:t>
            </w: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222.4</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222.4</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(83.8)</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ESOP Shares Earned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7.1</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Non-Controlling Interest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2014</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1,611.2</w:t>
            </w:r>
          </w:p>
        </w:tc>
        <w:tc>
          <w:tcPr>
            <w:tcW w:w="12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530.1</w:t>
            </w: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(21.1)</w:t>
            </w: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(7.2)</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1,107.6</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141.5</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141.1</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 Net of Tax</w:t>
            </w:r>
          </w:p>
        </w:tc>
        <w:tc>
          <w:tcPr>
            <w:tcW w:w="1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Unrealized Loss on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(0.5)</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2"/>
              </w:rPr>
              <w:t>Defined Benefit Pension and Other Postretirement</w:t>
            </w: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Plans</w:t>
            </w: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(3.0)</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Comprehensive Income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138.1</w:t>
            </w: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163.8</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163.8</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(97.9)</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ESOP Shares Earned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7.2</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1,822.4</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573.3</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(24.5)</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1,271.4</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1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155.8</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155.3</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Comprehensive Income – Net of Tax</w:t>
            </w: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Securities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2"/>
              </w:rPr>
              <w:t>Defined Benefit Pension and Other Postretirement</w:t>
            </w: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Plans</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(3.5)</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Comprehensive Income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152.1</w:t>
            </w: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35.9</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35.9</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Retired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160" w:type="dxa"/>
            <w:vAlign w:val="bottom"/>
          </w:tcPr>
          <w:p>
            <w:pPr>
              <w:jc w:val="right"/>
              <w:spacing w:after="0"/>
              <w:rPr>
                <w:sz w:val="20"/>
                <w:szCs w:val="20"/>
                <w:color w:val="auto"/>
              </w:rPr>
            </w:pPr>
            <w:r>
              <w:rPr>
                <w:rFonts w:ascii="Arial" w:cs="Arial" w:eastAsia="Arial" w:hAnsi="Arial"/>
                <w:sz w:val="18"/>
                <w:szCs w:val="18"/>
                <w:color w:val="auto"/>
              </w:rPr>
              <w:t>(102.7)</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(102.7)</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Non-Controlling Interest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2016</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$1,893.0</w:t>
            </w:r>
          </w:p>
        </w:tc>
        <w:tc>
          <w:tcPr>
            <w:tcW w:w="12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$625.9</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$(28.2)</w:t>
            </w:r>
          </w:p>
        </w:tc>
        <w:tc>
          <w:tcPr>
            <w:tcW w:w="11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$1,295.3</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02"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Financial Statement Preparation. </w:t>
      </w:r>
      <w:r>
        <w:rPr>
          <w:rFonts w:ascii="Arial" w:cs="Arial" w:eastAsia="Arial" w:hAnsi="Arial"/>
          <w:sz w:val="18"/>
          <w:szCs w:val="18"/>
          <w:color w:val="auto"/>
        </w:rPr>
        <w:t>References in this report to “we,” “us,” and “our” are to ALLETE and its subsidiaries, collectively. We prepare our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in conformity with GAAP. These principles require management to make informed judgments, best estimates, and assumptions that affect the reported amounts of assets, liabilities, revenue and expenses. Actual results could differ from those estimates.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Our Consolidated Financial Statements include the accounts of ALLETE and all of our majority</w:t>
      </w:r>
      <w:r>
        <w:rPr>
          <w:rFonts w:ascii="MS PGothic" w:cs="MS PGothic" w:eastAsia="MS PGothic" w:hAnsi="MS PGothic"/>
          <w:sz w:val="16"/>
          <w:szCs w:val="16"/>
          <w:color w:val="auto"/>
        </w:rPr>
        <w:t>‑</w:t>
      </w:r>
      <w:r>
        <w:rPr>
          <w:rFonts w:ascii="Arial" w:cs="Arial" w:eastAsia="Arial" w:hAnsi="Arial"/>
          <w:sz w:val="16"/>
          <w:szCs w:val="16"/>
          <w:color w:val="auto"/>
        </w:rPr>
        <w:t>owned subsidiary companies.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material intercompany balances and transactions have been eliminated in consolidation.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Segments. </w:t>
      </w:r>
      <w:r>
        <w:rPr>
          <w:rFonts w:ascii="Arial" w:cs="Arial" w:eastAsia="Arial" w:hAnsi="Arial"/>
          <w:sz w:val="18"/>
          <w:szCs w:val="18"/>
          <w:color w:val="auto"/>
        </w:rPr>
        <w:t>We present three reportable segments: Regulated Operations, ALLETE Clean Energy and U.S. Water Services. Our segments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the guidance on segment reporting. We measure performance of our operations through budgeting and monitoring of contributions to consolidated net income by each business segment.</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17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four states, approximately 535 MW of nameplate capacity wind energy generation that is from PSAs under various durations. In addition, ALLETE Clean Energy constructed and sold a 107 MW wind energy facility in 2015. On January 3, 2017, ALLETE Clean Energy announced that it will develop another wind energy facility of up to 50 MW after securing a 25</w:t>
      </w:r>
      <w:r>
        <w:rPr>
          <w:rFonts w:ascii="MS PGothic" w:cs="MS PGothic" w:eastAsia="MS PGothic" w:hAnsi="MS PGothic"/>
          <w:sz w:val="18"/>
          <w:szCs w:val="18"/>
          <w:color w:val="auto"/>
        </w:rPr>
        <w:t>‑</w:t>
      </w:r>
      <w:r>
        <w:rPr>
          <w:rFonts w:ascii="Arial" w:cs="Arial" w:eastAsia="Arial" w:hAnsi="Arial"/>
          <w:sz w:val="18"/>
          <w:szCs w:val="18"/>
          <w:color w:val="auto"/>
        </w:rPr>
        <w:t>year PSA. The PSA includes an option for the counterparty to purchase the facility upon development completion; construction is expected to begin in 2018.</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329"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is comprised of BNI Energy, ALLETE Properties, other business development and corporate expenditures, unallocated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a small amount of non-rate base generation, approximately 5,000 acres of land in Minnesota, and earnings on cash and investments.</w:t>
      </w:r>
    </w:p>
    <w:p>
      <w:pPr>
        <w:spacing w:after="0" w:line="13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BNI Energy, a wholly-owned subsidiary, mines and sells lignite coal to two North Dakota mine-mouth generating units, one of which is Square Butte. In 2016, Square Butte supplied 50 percent (227.5 MW) of its output to Minnesota Power under long-term contracts. (See Note 11. Commitments, Guarantees and Contingencies.)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Properties represents our legacy Florida real estate investment. Our strategy related to the real estate assets of ALLETE Properties is to sell individual parcels over time while also pursuing a bulk sale of our entire portfolio. Proceeds from a bulk sale would be strategically deployed to support growth in our energy infrastructure and related services businesses. ALLETE Properties will continue to maintain key entitlements and infrastructure without making additional investments or acquisitions. (See Note 8.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We consider all investments purchased with original maturities of three months or less to be cash equivalents.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02"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1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768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 Information.</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9"/>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Cash Flows</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7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13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$68.2</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$59.0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$0.5</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$0.4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7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80"/>
              <w:spacing w:after="0"/>
              <w:rPr>
                <w:sz w:val="20"/>
                <w:szCs w:val="20"/>
                <w:color w:val="auto"/>
              </w:rPr>
            </w:pPr>
            <w:r>
              <w:rPr>
                <w:rFonts w:ascii="Arial" w:cs="Arial" w:eastAsia="Arial" w:hAnsi="Arial"/>
                <w:sz w:val="18"/>
                <w:szCs w:val="18"/>
                <w:color w:val="auto"/>
                <w:w w:val="96"/>
              </w:rPr>
              <w:t>Increase (Decrease) in Accounts Payable for Capital Additions to Property, Plant and Equipment</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$(22.0)</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$(40.6)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7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13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$3.7</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7680" w:type="dxa"/>
            <w:vAlign w:val="bottom"/>
          </w:tcPr>
          <w:p>
            <w:pPr>
              <w:ind w:left="280"/>
              <w:spacing w:after="0"/>
              <w:rPr>
                <w:sz w:val="20"/>
                <w:szCs w:val="20"/>
                <w:color w:val="auto"/>
              </w:rPr>
            </w:pPr>
            <w:r>
              <w:rPr>
                <w:rFonts w:ascii="Arial" w:cs="Arial" w:eastAsia="Arial" w:hAnsi="Arial"/>
                <w:sz w:val="18"/>
                <w:szCs w:val="18"/>
                <w:color w:val="auto"/>
              </w:rPr>
              <w:t>Camp Ripley Solar Project Financing</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$15.0</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AFUDC–Equity</w:t>
            </w:r>
          </w:p>
        </w:tc>
        <w:tc>
          <w:tcPr>
            <w:tcW w:w="13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$2.1</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7680" w:type="dxa"/>
            <w:vAlign w:val="bottom"/>
          </w:tcPr>
          <w:p>
            <w:pPr>
              <w:ind w:left="280"/>
              <w:spacing w:after="0"/>
              <w:rPr>
                <w:sz w:val="20"/>
                <w:szCs w:val="20"/>
                <w:color w:val="auto"/>
              </w:rPr>
            </w:pPr>
            <w:r>
              <w:rPr>
                <w:rFonts w:ascii="Arial" w:cs="Arial" w:eastAsia="Arial" w:hAnsi="Arial"/>
                <w:sz w:val="18"/>
                <w:szCs w:val="18"/>
                <w:color w:val="auto"/>
              </w:rPr>
              <w:t>ALLETE Common Stock Contributed to the Defined Benefit Pension Plan</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7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13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$35.7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280"/>
              <w:spacing w:after="0"/>
              <w:rPr>
                <w:sz w:val="20"/>
                <w:szCs w:val="20"/>
                <w:color w:val="auto"/>
              </w:rPr>
            </w:pPr>
            <w:r>
              <w:rPr>
                <w:rFonts w:ascii="Arial" w:cs="Arial" w:eastAsia="Arial" w:hAnsi="Arial"/>
                <w:sz w:val="18"/>
                <w:szCs w:val="18"/>
                <w:color w:val="auto"/>
              </w:rPr>
              <w:t>ALLETE Common Stock Received for Sale of Land Inventory</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$8.0</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Finance Receivable for Land Inventory</w:t>
            </w:r>
          </w:p>
        </w:tc>
        <w:tc>
          <w:tcPr>
            <w:tcW w:w="13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$12.0</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6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reported on the Consolidated Balance Sheet net of an allowance for doubtful accounts. The allowance is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our evaluation of the receivable portfolio under current conditions, overall portfolio quality, review of specific problems and such other factors that, in our judgment, deserve recognition in estimating losses.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Accounts Receivable</w:t>
            </w:r>
          </w:p>
        </w:tc>
        <w:tc>
          <w:tcPr>
            <w:tcW w:w="4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1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4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Billed</w:t>
            </w:r>
          </w:p>
        </w:tc>
        <w:tc>
          <w:tcPr>
            <w:tcW w:w="4120" w:type="dxa"/>
            <w:vAlign w:val="bottom"/>
          </w:tcPr>
          <w:p>
            <w:pPr>
              <w:jc w:val="right"/>
              <w:ind w:right="450"/>
              <w:spacing w:after="0"/>
              <w:rPr>
                <w:sz w:val="20"/>
                <w:szCs w:val="20"/>
                <w:color w:val="auto"/>
              </w:rPr>
            </w:pPr>
            <w:r>
              <w:rPr>
                <w:rFonts w:ascii="Arial" w:cs="Arial" w:eastAsia="Arial" w:hAnsi="Arial"/>
                <w:sz w:val="18"/>
                <w:szCs w:val="18"/>
                <w:color w:val="auto"/>
              </w:rPr>
              <w:t>$106.5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$105.3</w:t>
            </w:r>
          </w:p>
        </w:tc>
      </w:tr>
      <w:tr>
        <w:trPr>
          <w:trHeight w:val="27"/>
        </w:trPr>
        <w:tc>
          <w:tcPr>
            <w:tcW w:w="6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w:t>
            </w:r>
          </w:p>
        </w:tc>
        <w:tc>
          <w:tcPr>
            <w:tcW w:w="41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19.1</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Less: Allowance for Doubtful Accounts</w:t>
            </w:r>
          </w:p>
        </w:tc>
        <w:tc>
          <w:tcPr>
            <w:tcW w:w="4120" w:type="dxa"/>
            <w:vAlign w:val="bottom"/>
          </w:tcPr>
          <w:p>
            <w:pPr>
              <w:jc w:val="right"/>
              <w:ind w:right="450"/>
              <w:spacing w:after="0"/>
              <w:rPr>
                <w:sz w:val="20"/>
                <w:szCs w:val="20"/>
                <w:color w:val="auto"/>
              </w:rPr>
            </w:pPr>
            <w:r>
              <w:rPr>
                <w:rFonts w:ascii="Arial" w:cs="Arial" w:eastAsia="Arial" w:hAnsi="Arial"/>
                <w:sz w:val="18"/>
                <w:szCs w:val="18"/>
                <w:color w:val="auto"/>
              </w:rPr>
              <w:t>3.1</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1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41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$122.5</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r>
      <w:tr>
        <w:trPr>
          <w:trHeight w:val="20"/>
        </w:trPr>
        <w:tc>
          <w:tcPr>
            <w:tcW w:w="614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We are subject to concentration of credit risk primarily as a result of accounts receivable. Minnesota Power sells electricity to</w:t>
      </w:r>
      <w:r>
        <w:rPr>
          <w:rFonts w:ascii="Arial" w:cs="Arial" w:eastAsia="Arial" w:hAnsi="Arial"/>
          <w:sz w:val="18"/>
          <w:szCs w:val="18"/>
          <w:b w:val="1"/>
          <w:bCs w:val="1"/>
          <w:color w:val="auto"/>
        </w:rPr>
        <w:t xml:space="preserve"> </w:t>
      </w:r>
      <w:r>
        <w:rPr>
          <w:rFonts w:ascii="Arial" w:cs="Arial" w:eastAsia="Arial" w:hAnsi="Arial"/>
          <w:sz w:val="18"/>
          <w:szCs w:val="18"/>
          <w:color w:val="auto"/>
        </w:rPr>
        <w:t>9 Large Power Customers. Receivables from these customers totaled $9.5 million as of December 31, 2016 ($9.2 million at December 31, 2015). Minnesota Power does not obtain collateral to support utility receivables, but monitors the credit standing of major customers. In addition, Minnesota Power, as permitted by the MPUC, requires its taconite-producing Large Power Customers to pay weekly for electric usage based on monthly energy usage estimates, which allows us to closely manage collection of amounts due. One of these customers accounted for 8 percent of consolidated operating revenue in 2016 (8 percent in 2015; 12 percent in 2014).</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Long-Term Finance Receivables. </w:t>
      </w:r>
      <w:r>
        <w:rPr>
          <w:rFonts w:ascii="Arial" w:cs="Arial" w:eastAsia="Arial" w:hAnsi="Arial"/>
          <w:sz w:val="17"/>
          <w:szCs w:val="17"/>
          <w:color w:val="auto"/>
        </w:rPr>
        <w:t>Long-term finance receivables relating to our real estate operations are collateralized by property sold, accrue interest at</w:t>
      </w:r>
      <w:r>
        <w:rPr>
          <w:rFonts w:ascii="Arial" w:cs="Arial" w:eastAsia="Arial" w:hAnsi="Arial"/>
          <w:sz w:val="17"/>
          <w:szCs w:val="17"/>
          <w:b w:val="1"/>
          <w:bCs w:val="1"/>
          <w:color w:val="auto"/>
        </w:rPr>
        <w:t xml:space="preserve"> </w:t>
      </w:r>
      <w:r>
        <w:rPr>
          <w:rFonts w:ascii="Arial" w:cs="Arial" w:eastAsia="Arial" w:hAnsi="Arial"/>
          <w:sz w:val="17"/>
          <w:szCs w:val="17"/>
          <w:color w:val="auto"/>
        </w:rPr>
        <w:t>market-based rates and are net of an allowance for doubtful accounts. We assess delinquent finance receivables by comparing the balance of such receivables to the estimated fair value of the collateralized property. If the fair value of the property is less than the finance receivable, we record a reserve for the difference. We estimate fair value based on recent property tax assessed values or current appraisals.</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Available-for-Sale Securities. </w:t>
      </w:r>
      <w:r>
        <w:rPr>
          <w:rFonts w:ascii="Arial" w:cs="Arial" w:eastAsia="Arial" w:hAnsi="Arial"/>
          <w:sz w:val="17"/>
          <w:szCs w:val="17"/>
          <w:color w:val="auto"/>
        </w:rPr>
        <w:t>Available-for-sale securities are recorded at fair value with unrealized gains and losses included in accumulated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comprehensive income (loss), net of tax. Unrealized losses that are other than temporary are recognized in earnings. We use the specific identification method as the basis for determining the cost of securities sold. Our policy is to review available-for-sale securities for other than temporary impairment on a quarterly basis by assessing such factors as the share price trends and the impact of overall market conditions. (See Note 8. Investments.)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02"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market. Inventories in our Regulated Operations and ALLETE Clean Energy segments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carried at an average cost or first-in, first-out basis. Inventories in our U.S. Water Services segment and Corporate and Other are carried at an average cost, first-in, first-out or specific identification basis. Fuel for generation is carried at an average cost basis. Certain other inventories, including capital spares, are carried at specific cost.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Inventories – Net</w:t>
            </w:r>
          </w:p>
        </w:tc>
        <w:tc>
          <w:tcPr>
            <w:tcW w:w="3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3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5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$43.9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r>
      <w:tr>
        <w:trPr>
          <w:trHeight w:val="243"/>
        </w:trPr>
        <w:tc>
          <w:tcPr>
            <w:tcW w:w="2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520" w:type="dxa"/>
            <w:vAlign w:val="bottom"/>
          </w:tcPr>
          <w:p>
            <w:pPr>
              <w:jc w:val="right"/>
              <w:ind w:right="490"/>
              <w:spacing w:after="0"/>
              <w:rPr>
                <w:sz w:val="20"/>
                <w:szCs w:val="20"/>
                <w:color w:val="auto"/>
              </w:rPr>
            </w:pPr>
            <w:r>
              <w:rPr>
                <w:rFonts w:ascii="Arial" w:cs="Arial" w:eastAsia="Arial" w:hAnsi="Arial"/>
                <w:sz w:val="18"/>
                <w:szCs w:val="18"/>
                <w:color w:val="auto"/>
              </w:rPr>
              <w:t>48.7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49.1</w:t>
            </w: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5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2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5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5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8.6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2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3520" w:type="dxa"/>
            <w:vAlign w:val="bottom"/>
          </w:tcPr>
          <w:p>
            <w:pPr>
              <w:jc w:val="right"/>
              <w:ind w:right="430"/>
              <w:spacing w:after="0"/>
              <w:rPr>
                <w:sz w:val="20"/>
                <w:szCs w:val="20"/>
                <w:color w:val="auto"/>
              </w:rPr>
            </w:pPr>
            <w:r>
              <w:rPr>
                <w:rFonts w:ascii="Arial" w:cs="Arial" w:eastAsia="Arial" w:hAnsi="Arial"/>
                <w:sz w:val="18"/>
                <w:szCs w:val="18"/>
                <w:color w:val="auto"/>
              </w:rPr>
              <w:t>(0.9)</w:t>
            </w: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35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$104.2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r>
      <w:tr>
        <w:trPr>
          <w:trHeight w:val="200"/>
        </w:trPr>
        <w:tc>
          <w:tcPr>
            <w:tcW w:w="20" w:type="dxa"/>
            <w:vAlign w:val="bottom"/>
          </w:tcPr>
          <w:p>
            <w:pPr>
              <w:spacing w:after="0"/>
              <w:rPr>
                <w:sz w:val="17"/>
                <w:szCs w:val="17"/>
                <w:color w:val="auto"/>
              </w:rPr>
            </w:pPr>
          </w:p>
        </w:tc>
        <w:tc>
          <w:tcPr>
            <w:tcW w:w="67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Fuel consists primarily of coal inventory at Minnesota Power.</w:t>
            </w:r>
          </w:p>
        </w:tc>
        <w:tc>
          <w:tcPr>
            <w:tcW w:w="35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442"/>
        </w:trPr>
        <w:tc>
          <w:tcPr>
            <w:tcW w:w="20" w:type="dxa"/>
            <w:vAlign w:val="bottom"/>
          </w:tcPr>
          <w:p>
            <w:pPr>
              <w:spacing w:after="0"/>
              <w:rPr>
                <w:sz w:val="24"/>
                <w:szCs w:val="24"/>
                <w:color w:val="auto"/>
              </w:rPr>
            </w:pP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Prepayments and Other Current Assets</w:t>
            </w:r>
          </w:p>
        </w:tc>
        <w:tc>
          <w:tcPr>
            <w:tcW w:w="3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3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Fuel Adjustment Clause</w:t>
            </w:r>
          </w:p>
        </w:tc>
        <w:tc>
          <w:tcPr>
            <w:tcW w:w="35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$18.6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2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6"/>
                <w:szCs w:val="16"/>
                <w:i w:val="1"/>
                <w:iCs w:val="1"/>
                <w:color w:val="auto"/>
              </w:rPr>
              <w:t>(a)</w:t>
            </w:r>
          </w:p>
        </w:tc>
        <w:tc>
          <w:tcPr>
            <w:tcW w:w="3520" w:type="dxa"/>
            <w:vAlign w:val="bottom"/>
          </w:tcPr>
          <w:p>
            <w:pPr>
              <w:jc w:val="right"/>
              <w:ind w:right="490"/>
              <w:spacing w:after="0"/>
              <w:rPr>
                <w:sz w:val="20"/>
                <w:szCs w:val="20"/>
                <w:color w:val="auto"/>
              </w:rPr>
            </w:pPr>
            <w:r>
              <w:rPr>
                <w:rFonts w:ascii="Arial" w:cs="Arial" w:eastAsia="Arial" w:hAnsi="Arial"/>
                <w:sz w:val="18"/>
                <w:szCs w:val="18"/>
                <w:color w:val="auto"/>
              </w:rPr>
              <w:t>2.2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5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19.5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20" w:type="dxa"/>
            <w:vAlign w:val="bottom"/>
          </w:tcPr>
          <w:p>
            <w:pPr>
              <w:spacing w:after="0"/>
              <w:rPr>
                <w:sz w:val="20"/>
                <w:szCs w:val="20"/>
                <w:color w:val="auto"/>
              </w:rPr>
            </w:pPr>
          </w:p>
        </w:tc>
        <w:tc>
          <w:tcPr>
            <w:tcW w:w="6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Prepayments and Other Current Assets</w:t>
            </w:r>
          </w:p>
        </w:tc>
        <w:tc>
          <w:tcPr>
            <w:tcW w:w="35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$40.3</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Cash includes collateral deposits required under ALLETE Clean Energy’s loan agreements and collateral deposits required for U.S. Water Services’ standby letters of credit.</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are recorded at original cost and are reported on the Consolidated Balance Sheet net of</w:t>
      </w:r>
      <w:r>
        <w:rPr>
          <w:rFonts w:ascii="Arial" w:cs="Arial" w:eastAsia="Arial" w:hAnsi="Arial"/>
          <w:sz w:val="17"/>
          <w:szCs w:val="17"/>
          <w:b w:val="1"/>
          <w:bCs w:val="1"/>
          <w:color w:val="auto"/>
        </w:rPr>
        <w:t xml:space="preserve"> </w:t>
      </w:r>
      <w:r>
        <w:rPr>
          <w:rFonts w:ascii="Arial" w:cs="Arial" w:eastAsia="Arial" w:hAnsi="Arial"/>
          <w:sz w:val="17"/>
          <w:szCs w:val="17"/>
          <w:color w:val="auto"/>
        </w:rPr>
        <w:t>accumulated depreciation. Expenditures for additions, significant replacements, improvements and major plant overhauls are capitalized; maintenance and repair costs are expensed as incurred. Gains or losses on non-utility property, plant and equipment are recognized when they are retired or otherwise disposed. When utility property, plant and equipment are retired or otherwise disposed, no gain or loss is recognized in accordance with the accounting standards for component depreciation.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Upon MPUC approval of cost recovery, the recognition of AFUDC ceases. (See Note 2. Property, Plant and Equipment.)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believe that long-standing ratemaking practices approved by applicable state and federal regulatory commissions allow for the recovery of the remaining book value of retired plant assets. In 2015, Minnesota Power retired Taconite Harbor Unit 3 and converted Laskin to natural gas which were actions included in Minnesota Power’s MPUC-approved 2013 IRP. In an order dated July 18, 2016, the MPUC approved Minnesota Power’s 2015 IRP with modifications which contains the next steps in Minnesota Power’s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including the economic idling of Taconite Harbor Units 1 and 2, which occurred in September 2016, and the ceasing of coal-fired operations at Taconite Harbor in 2020. (See Note 4. Regulatory Matters.) The MPUC order for the 2015 IRP also directs Minnesota Power to retire Boswell Units 1 and 2 no later than 2022, and on October 19, 2016, Minnesota Power announced that Boswell Units 1 and 2 will be retired in 2018. We do not expect to record any impairment charge as a result of the retirement of Taconite Harbor Unit 3 or Boswell Units 1 and 2, the ceasing of coal-fired operations at Taconite Harbor Units 1 and 2, or the conversion of Laskin. In addition, we expect to be able to continue depreciating these assets for at least their established remaining useful lives; however, we are unable to predict the impact of regulatory outcomes resulting in changes to their established remaining useful lives. (See Note 4. Regulatory Matters.) The net book values for Taconite Harbor and Boswell Units 1 and 2 as of December 31, 2016, were approximately $90 million and $30 million, respectively. We would seek recovery in a general rate case of additional depreciation expense as a result of material changes in useful lives.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02"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which include the legacy real estate assets of ALLETE Properties, for indicators of</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in accordance with the accounting standards for property, plant and equipment on a quarterly basis. Land inventory is accounted for as held for use and is recorded at cost or estimated fair value.</w:t>
      </w:r>
    </w:p>
    <w:p>
      <w:pPr>
        <w:spacing w:after="0" w:line="180"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long</w:t>
      </w:r>
      <w:r>
        <w:rPr>
          <w:rFonts w:ascii="MS PGothic" w:cs="MS PGothic" w:eastAsia="MS PGothic" w:hAnsi="MS PGothic"/>
          <w:sz w:val="18"/>
          <w:szCs w:val="18"/>
          <w:color w:val="auto"/>
        </w:rPr>
        <w:t>‑</w:t>
      </w:r>
      <w:r>
        <w:rPr>
          <w:rFonts w:ascii="Arial" w:cs="Arial" w:eastAsia="Arial" w:hAnsi="Arial"/>
          <w:sz w:val="18"/>
          <w:szCs w:val="18"/>
          <w:color w:val="auto"/>
        </w:rPr>
        <w:t>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maintain the operations.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Real Estate Assets. </w:t>
      </w:r>
      <w:r>
        <w:rPr>
          <w:rFonts w:ascii="Arial" w:cs="Arial" w:eastAsia="Arial" w:hAnsi="Arial"/>
          <w:sz w:val="17"/>
          <w:szCs w:val="17"/>
          <w:color w:val="auto"/>
        </w:rPr>
        <w:t>In recent years, market conditions for real estate in Florida have required us to review our land inventories for impairment. In 2015,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reevaluated its strategy related to the real estate assets of ALLETE Properties in response to market conditions and transaction activity. The revised strategy incorporated the possibility of a bulk sale of its entire portfolio which, if consummated, would likely result in sales proceeds below the book value of the real estate assets. Proceeds from such a sale would be strategically deployed to support growth in our energy infrastructure and related services businesses. ALLETE Properties also continues to pursue sales of individual parcels over time. ALLETE Properties will continue to maintain key entitlements and infrastructure without making additional investments or acquisitions.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implementing the revised strategy, management evaluated its impairment analysis for its real estate assets using updated assumptions to determine estimated future net cash flows on an undiscounted basis. Estimated fair values were based upon current market data and pricing for individual parcels. Our impairment analysis incorporates a probability-weighted approach considering the alternative courses of sales noted above.</w:t>
      </w:r>
    </w:p>
    <w:p>
      <w:pPr>
        <w:spacing w:after="0" w:line="1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results of the 2015 undiscounted cash flow analysis, the undiscounted future net cash flows were not adequate to recover the carrying value of the real estate assets leading to an adjustment of carrying value to estimated fair value. Estimated fair value was derived using Level 3 inputs, including current market interest in the property for a bulk sale of its entire portfolio, and discounted cash flow analysis of estimated selling price for sales over time. As a result, a non-cash impairment charge of $36.3 million was recorded in 2015 to reduce the carrying value of the real estate to its estimated fair value.</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2016 and 2014, impairment analyses of estimated undiscounted future net cash flows were conducted and indicated that the cash flows were adequate to recover the carrying value of ALLETE Properties real estate assets. As a result, no impairment was recorded in 2016 or 2014.</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ALLETE Clean Energy’s Wind Turbine Generators. </w:t>
      </w:r>
      <w:r>
        <w:rPr>
          <w:rFonts w:ascii="Arial" w:cs="Arial" w:eastAsia="Arial" w:hAnsi="Arial"/>
          <w:sz w:val="18"/>
          <w:szCs w:val="18"/>
          <w:color w:val="auto"/>
        </w:rPr>
        <w:t>During our annual impairment assessment of ALLETE Clean Energy’s goodwill (see</w:t>
      </w:r>
      <w:r>
        <w:rPr>
          <w:rFonts w:ascii="Arial" w:cs="Arial" w:eastAsia="Arial" w:hAnsi="Arial"/>
          <w:sz w:val="18"/>
          <w:szCs w:val="18"/>
          <w:i w:val="1"/>
          <w:iCs w:val="1"/>
          <w:color w:val="auto"/>
        </w:rPr>
        <w:t xml:space="preserve"> Goodwill</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determined an impairment of goodwill was required primarily due to lower estimated energy prices in periods not under PSAs. As a result of these lower estimated energy prices in periods not under PSAs, the Company has reviewed ALLETE Clean Energy’s WTGs for impairment. Based on the results of the undiscounted cash flow analysis, the undiscounted future cash flows were adequate to recover the carrying value of the WTGs. The significant assumptions utilized in the undiscounted future cash flows were consistent with those utilized in our annual goodwill impairment assessment. There were no indicators of impairment in 2015 or 2014.</w:t>
      </w:r>
    </w:p>
    <w:p>
      <w:pPr>
        <w:spacing w:after="0" w:line="18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Derivatives. </w:t>
      </w:r>
      <w:r>
        <w:rPr>
          <w:rFonts w:ascii="Arial" w:cs="Arial" w:eastAsia="Arial" w:hAnsi="Arial"/>
          <w:sz w:val="17"/>
          <w:szCs w:val="17"/>
          <w:color w:val="auto"/>
        </w:rPr>
        <w:t>ALLETE is exposed to certain risks relating to its business operations that can be managed through the use of derivative instruments. ALLETE</w:t>
      </w:r>
      <w:r>
        <w:rPr>
          <w:rFonts w:ascii="Arial" w:cs="Arial" w:eastAsia="Arial" w:hAnsi="Arial"/>
          <w:sz w:val="17"/>
          <w:szCs w:val="17"/>
          <w:b w:val="1"/>
          <w:bCs w:val="1"/>
          <w:color w:val="auto"/>
        </w:rPr>
        <w:t xml:space="preserve"> </w:t>
      </w:r>
      <w:r>
        <w:rPr>
          <w:rFonts w:ascii="Arial" w:cs="Arial" w:eastAsia="Arial" w:hAnsi="Arial"/>
          <w:sz w:val="17"/>
          <w:szCs w:val="17"/>
          <w:color w:val="auto"/>
        </w:rPr>
        <w:t>may enter into derivative instruments to manage those risks including interest rate risk related to certain variable-rate borrowings.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Accounting for Stock-Based Compensation. </w:t>
      </w:r>
      <w:r>
        <w:rPr>
          <w:rFonts w:ascii="Arial" w:cs="Arial" w:eastAsia="Arial" w:hAnsi="Arial"/>
          <w:sz w:val="18"/>
          <w:szCs w:val="18"/>
          <w:color w:val="auto"/>
        </w:rPr>
        <w:t>We apply the fair value recognition guidance for share-based payments. Under this guidance, we recognize</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expense for all share-based payments granted, net of an estimated forfeiture rate. (See Note 16. Employee Stock and Incentive Plans.)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02"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the excess of the purchase price (consideration transferred) over the estimated fair value of net assets of acquired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GAAP, goodwill is not amortized. Goodwill is assessed annually in the fourth quarter for impairment and whenever an event occurs or circumstances change that would indicate the carrying amount may be impaired. Impairment testing for goodwill is done at the reporting unit level. As of the date of our annual goodwill impairment testing in 2016, the ALLETE Clean Energy and U.S. Water Services reporting units had positive equity and the Company elected to bypass the qualitative assessment of goodwill for impairment, proceeding directly to the two-step impairment test.</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performing Step 1 of the impairment test, we compare the fair value of the reporting unit to its carrying value including goodwill. If the carrying value including goodwill were to exceed the fair value of a reporting unit, Step 2 of the impairment test test would be performed. Step 2 of the impairment test requires the carrying value of goodwill to be reduced to its fair value, if lower, as of the test date.</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u w:val="single" w:color="auto"/>
          <w:color w:val="auto"/>
        </w:rPr>
        <w:t>ALLETE Clean Energy</w:t>
      </w:r>
      <w:r>
        <w:rPr>
          <w:rFonts w:ascii="Arial" w:cs="Arial" w:eastAsia="Arial" w:hAnsi="Arial"/>
          <w:sz w:val="16"/>
          <w:szCs w:val="16"/>
          <w:color w:val="auto"/>
        </w:rPr>
        <w:t>. Our annual impairment analysis indicated the Step 2 analysis was necessary. Step 2 of the impairment test is performed to measure the impact of the goodwill impairment loss. Step 2 requires that the implied fair value of the reporting unit’s goodwill be compared to the carrying amount of that goodwill. If the carrying amount of the reporting unit’s goodwill exceeds the implied fair value of that goodwill, an impairment loss is recognized in an amount equal to that excess, up to the entire amount of goodwill. After performing Step 2, it was determined that the implied value of goodwill was less than the carrying amount, resulting in a non-cash impairment charge of $3.3 million in 2016, which is presented within Operating Expenses – Other in the Consolidated Statement of Income (none in 2015 or 2014). The impairment charge represented the entire carrying amount of goodwill for ALLETE Clean Energy. The facts and circumstances that led to an impairment of goodwill primarily relate to lower estimated energy prices in periods not under PSAs. The fair value of the reporting unit was determined based on a discounted cash flow model. Significant assumptions in the discounted cash flow model included annual generation, operation and maintenance expenses, income tax rates, discount rates ranging from 8.25 percent to 9.25 percent and forward energy price curves. ALLETE Clean Energy’s goodwill was primarily related to the acquisition of Storm Lake II in January 2014.</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u w:val="single" w:color="auto"/>
          <w:color w:val="auto"/>
        </w:rPr>
        <w:t>U.S. Water Services</w:t>
      </w:r>
      <w:r>
        <w:rPr>
          <w:rFonts w:ascii="Arial" w:cs="Arial" w:eastAsia="Arial" w:hAnsi="Arial"/>
          <w:sz w:val="16"/>
          <w:szCs w:val="16"/>
          <w:color w:val="auto"/>
        </w:rPr>
        <w:t>. For Step 1 of the impairment test, we estimated the reporting unit's fair value using standard valuation techniques, including techniques which use estimates of projected future results and cash flows to be generated by the reporting unit. Such techniques generally include a terminal value that utilizes a growth rate on debt-free cash flows. These cash flow valuations involve a number of estimates that require broad assumptions and significant judgment by management regarding future performance. Our annual impairment test in 2016 indicated that the estimated fair value of U.S. Water Services exceeded its carrying value, and no impairment existed (none in 2015). Significant assumptions in the discounted cash flow model included a discount rate of 10.75 percent, cash flow forecasts through 2021, annual revenue growth rates ranging from 8 percent to 11 percent and a terminal growth rate of 5.0 percent. Forecasted annual revenue growth assumes an increase in market share and growth in the industry. The calculated fair value of equity for the U.S. Water Services reporting unit exceeds carrying value by less than 10 percent. If U.S. Water Services fails to meet expected cash flow forecasts by a nominal margin, the results of future impairment tests could result in an impairment of goodwill. Additionally, an increase in interest rates could have an adverse impact on the discount rate used in the Company’s valuation under the income approach, potentially resulting in an impairment of goodwill.</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Intangible assets include customer relationships, patents, non-compete agreements and trademarks and trade names. Intangible assets with</w:t>
      </w:r>
      <w:r>
        <w:rPr>
          <w:rFonts w:ascii="Arial" w:cs="Arial" w:eastAsia="Arial" w:hAnsi="Arial"/>
          <w:sz w:val="16"/>
          <w:szCs w:val="16"/>
          <w:i w:val="1"/>
          <w:iCs w:val="1"/>
          <w:color w:val="auto"/>
        </w:rPr>
        <w:t xml:space="preserve"> </w:t>
      </w:r>
      <w:r>
        <w:rPr>
          <w:rFonts w:ascii="Arial" w:cs="Arial" w:eastAsia="Arial" w:hAnsi="Arial"/>
          <w:sz w:val="16"/>
          <w:szCs w:val="16"/>
          <w:color w:val="auto"/>
        </w:rPr>
        <w:t>definite lives consist of customer relationships, which are amortized using an attrition model, and patents and non-compete agreements, which are amortized on a straight-line basis with estimated remaining useful lives ranging from approximately 2 years to approximately 21 years. We review definite-lived intangible assets for impairment whenever events or circumstances indicate that the carrying amount of an asset may not be recoverable. Indefinite-lived intangible assets consist of trademarks and trade names, which are tested for impairment annually in the fourth quarter and whenever an event occurs or circumstances change that would indicate that the carrying amount may be impaired. Impairment is calculated as the excess of the asset’s carrying amount over its fair value. Fair value is generally determined using a discounted cash flow analysis. Our annual impairment test in 2016 indicated that the estimated fair value of trademarks and trade names exceeded the asset carrying values. As a result, no impairment was recorded in 2016 (none in 2015).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02"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80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Payment </w:t>
            </w:r>
            <w:r>
              <w:rPr>
                <w:rFonts w:ascii="Arial" w:cs="Arial" w:eastAsia="Arial" w:hAnsi="Arial"/>
                <w:sz w:val="16"/>
                <w:szCs w:val="16"/>
                <w:i w:val="1"/>
                <w:iCs w:val="1"/>
                <w:color w:val="auto"/>
              </w:rPr>
              <w:t>(a)</w:t>
            </w:r>
          </w:p>
        </w:tc>
        <w:tc>
          <w:tcPr>
            <w:tcW w:w="23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$29.6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 xml:space="preserve">Finance Receivable </w:t>
            </w:r>
            <w:r>
              <w:rPr>
                <w:rFonts w:ascii="Arial" w:cs="Arial" w:eastAsia="Arial" w:hAnsi="Arial"/>
                <w:sz w:val="16"/>
                <w:szCs w:val="16"/>
                <w:i w:val="1"/>
                <w:iCs w:val="1"/>
                <w:color w:val="auto"/>
              </w:rPr>
              <w:t>(b)</w:t>
            </w:r>
          </w:p>
        </w:tc>
        <w:tc>
          <w:tcPr>
            <w:tcW w:w="2320" w:type="dxa"/>
            <w:vAlign w:val="bottom"/>
          </w:tcPr>
          <w:p>
            <w:pPr>
              <w:jc w:val="right"/>
              <w:ind w:right="490"/>
              <w:spacing w:after="0"/>
              <w:rPr>
                <w:sz w:val="20"/>
                <w:szCs w:val="20"/>
                <w:color w:val="auto"/>
              </w:rPr>
            </w:pPr>
            <w:r>
              <w:rPr>
                <w:rFonts w:ascii="Arial" w:cs="Arial" w:eastAsia="Arial" w:hAnsi="Arial"/>
                <w:sz w:val="18"/>
                <w:szCs w:val="18"/>
                <w:color w:val="auto"/>
              </w:rPr>
              <w:t>11.5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6"/>
                <w:szCs w:val="16"/>
                <w:i w:val="1"/>
                <w:iCs w:val="1"/>
                <w:color w:val="auto"/>
              </w:rPr>
              <w:t>(c)</w:t>
            </w:r>
          </w:p>
        </w:tc>
        <w:tc>
          <w:tcPr>
            <w:tcW w:w="23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8.6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Other</w:t>
            </w:r>
          </w:p>
        </w:tc>
        <w:tc>
          <w:tcPr>
            <w:tcW w:w="2320" w:type="dxa"/>
            <w:vAlign w:val="bottom"/>
          </w:tcPr>
          <w:p>
            <w:pPr>
              <w:jc w:val="right"/>
              <w:ind w:right="490"/>
              <w:spacing w:after="0"/>
              <w:rPr>
                <w:sz w:val="20"/>
                <w:szCs w:val="20"/>
                <w:color w:val="auto"/>
              </w:rPr>
            </w:pPr>
            <w:r>
              <w:rPr>
                <w:rFonts w:ascii="Arial" w:cs="Arial" w:eastAsia="Arial" w:hAnsi="Arial"/>
                <w:sz w:val="18"/>
                <w:szCs w:val="18"/>
                <w:color w:val="auto"/>
              </w:rPr>
              <w:t>56.8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80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23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$106.5</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r>
      <w:tr>
        <w:trPr>
          <w:trHeight w:val="20"/>
        </w:trPr>
        <w:tc>
          <w:tcPr>
            <w:tcW w:w="80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ind w:left="340" w:right="20" w:hanging="332"/>
        <w:spacing w:after="0" w:line="249"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Contract Payment includes a $31.0 million payment made to Cliffs as part of a long-term PSA between Minnesota Power and Silver Bay Power. The contract payment is being amortized over the term of the PSA. (See Note 11. Commitments, Guarantees and Contingencies.)</w:t>
      </w:r>
    </w:p>
    <w:p>
      <w:pPr>
        <w:jc w:val="both"/>
        <w:ind w:left="340" w:hanging="332"/>
        <w:spacing w:after="0" w:line="263" w:lineRule="auto"/>
        <w:tabs>
          <w:tab w:leader="none" w:pos="340" w:val="left"/>
        </w:tabs>
        <w:numPr>
          <w:ilvl w:val="0"/>
          <w:numId w:val="28"/>
        </w:numPr>
        <w:rPr>
          <w:rFonts w:ascii="Arial" w:cs="Arial" w:eastAsia="Arial" w:hAnsi="Arial"/>
          <w:sz w:val="15"/>
          <w:szCs w:val="15"/>
          <w:i w:val="1"/>
          <w:iCs w:val="1"/>
          <w:color w:val="auto"/>
        </w:rPr>
      </w:pPr>
      <w:r>
        <w:rPr>
          <w:rFonts w:ascii="Arial" w:cs="Arial" w:eastAsia="Arial" w:hAnsi="Arial"/>
          <w:sz w:val="15"/>
          <w:szCs w:val="15"/>
          <w:i w:val="1"/>
          <w:iCs w:val="1"/>
          <w:color w:val="auto"/>
        </w:rPr>
        <w:t>On September 22, 2016, ALLETE Properties sold its Ormond Crossings project and Lake Swamp wetland mitigation bank for consideration of approximately $21 million. The consideration included a down payment in the form of 0.1 million shares of ALLETE common stock with a value of $8.0 million. The remaining purchase price will be paid under the terms of a finance receivable due over a five-year period which bears interest at market rates and is collateralized by the property sold.</w:t>
      </w:r>
    </w:p>
    <w:p>
      <w:pPr>
        <w:ind w:left="340" w:right="20" w:hanging="332"/>
        <w:spacing w:after="0" w:line="257"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Cash includes collateral deposits required under ALLETE Clean Energy’s loan agreements and PSAs, and deposits from SWL&amp;P customers in aid of future capital expenditures.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Power Sales Agreements</w:t>
            </w:r>
          </w:p>
        </w:tc>
        <w:tc>
          <w:tcPr>
            <w:tcW w:w="4340" w:type="dxa"/>
            <w:vAlign w:val="bottom"/>
          </w:tcPr>
          <w:p>
            <w:pPr>
              <w:jc w:val="right"/>
              <w:ind w:right="450"/>
              <w:spacing w:after="0"/>
              <w:rPr>
                <w:sz w:val="20"/>
                <w:szCs w:val="20"/>
                <w:color w:val="auto"/>
              </w:rPr>
            </w:pPr>
            <w:r>
              <w:rPr>
                <w:rFonts w:ascii="Arial" w:cs="Arial" w:eastAsia="Arial" w:hAnsi="Arial"/>
                <w:sz w:val="18"/>
                <w:szCs w:val="18"/>
                <w:color w:val="auto"/>
              </w:rPr>
              <w:t>24.6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23.3</w:t>
            </w: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43.7</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r>
      <w:tr>
        <w:trPr>
          <w:trHeight w:val="237"/>
        </w:trPr>
        <w:tc>
          <w:tcPr>
            <w:tcW w:w="5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4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$73.7</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$86.1</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453"/>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$136.6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Power Sales Agreements</w:t>
            </w:r>
          </w:p>
        </w:tc>
        <w:tc>
          <w:tcPr>
            <w:tcW w:w="4340" w:type="dxa"/>
            <w:vAlign w:val="bottom"/>
          </w:tcPr>
          <w:p>
            <w:pPr>
              <w:jc w:val="right"/>
              <w:ind w:right="450"/>
              <w:spacing w:after="0"/>
              <w:rPr>
                <w:sz w:val="20"/>
                <w:szCs w:val="20"/>
                <w:color w:val="auto"/>
              </w:rPr>
            </w:pPr>
            <w:r>
              <w:rPr>
                <w:rFonts w:ascii="Arial" w:cs="Arial" w:eastAsia="Arial" w:hAnsi="Arial"/>
                <w:sz w:val="18"/>
                <w:szCs w:val="18"/>
                <w:color w:val="auto"/>
              </w:rPr>
              <w:t>113.8</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138.1</w:t>
            </w: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(a)</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25.0</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Other</w:t>
            </w:r>
          </w:p>
        </w:tc>
        <w:tc>
          <w:tcPr>
            <w:tcW w:w="4340" w:type="dxa"/>
            <w:vAlign w:val="bottom"/>
          </w:tcPr>
          <w:p>
            <w:pPr>
              <w:jc w:val="right"/>
              <w:ind w:right="450"/>
              <w:spacing w:after="0"/>
              <w:rPr>
                <w:sz w:val="20"/>
                <w:szCs w:val="20"/>
                <w:color w:val="auto"/>
              </w:rPr>
            </w:pPr>
            <w:r>
              <w:rPr>
                <w:rFonts w:ascii="Arial" w:cs="Arial" w:eastAsia="Arial" w:hAnsi="Arial"/>
                <w:sz w:val="18"/>
                <w:szCs w:val="18"/>
                <w:color w:val="auto"/>
              </w:rPr>
              <w:t>47.3</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42.9</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$322.7</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r>
      <w:tr>
        <w:trPr>
          <w:trHeight w:val="20"/>
        </w:trPr>
        <w:tc>
          <w:tcPr>
            <w:tcW w:w="592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ind w:left="340" w:right="20" w:hanging="332"/>
        <w:spacing w:after="0" w:line="263"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Contingent Consideration relates to the estimated fair value of the earnings-based payment resulting from the U.S. Water Services acquisition. (See Note 6. Acquisitions and Note 9. Fair Value.)</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Environmental Liabilities. </w:t>
      </w:r>
      <w:r>
        <w:rPr>
          <w:rFonts w:ascii="Arial" w:cs="Arial" w:eastAsia="Arial" w:hAnsi="Arial"/>
          <w:sz w:val="18"/>
          <w:szCs w:val="18"/>
          <w:color w:val="auto"/>
        </w:rPr>
        <w:t>We review environmental matters on a quarterly basis. Accruals for environmental matters are recorded when it is probable that a</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11. Commitments, Guarantees and Contingencies.)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02"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Regulated Operations </w:t>
      </w:r>
      <w:r>
        <w:rPr>
          <w:rFonts w:ascii="Arial" w:cs="Arial" w:eastAsia="Arial" w:hAnsi="Arial"/>
          <w:sz w:val="18"/>
          <w:szCs w:val="18"/>
          <w:color w:val="auto"/>
        </w:rPr>
        <w:t>utility rates are under the jurisdiction of Minnesota, Wisconsin and federal regulatory authorities. Customers are billed on a cycle basis.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is accrued for service provided but not yet billed. Regulated utility electric rates include adjustment clauses that: (1) bill or credit customers for fuel and purchased energy costs above or below the base levels in rate schedules; (2) bill retail customers for the recovery of conservation improvement program expenditures not collected in base rates; and (3) bill customers for the recovery of certain transmission, renewable, and environmental improvement expenditures. Fuel and purchased power expense is deferred to match the period in which the revenue for fuel and purchased power expense is billed to customers pursuant to the fuel adjustment clause.</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cost recovery riders (transmission, renewable and environmental improvement) is accounted for in accordance with the accounting standards for alternative revenue programs. These standards allow for recognizing revenue under an alternative revenue program if the program is established by an order from the utility’s regulatory commission, the order allows automatic adjustment of future rates, the amount of the revenue recognized is objectively determinable and probable of recovery, and the revenue will be collected within 24 months following the end of the annual period in which it is recognized. Revenue recognized using the alternative revenue program guidance is included in Operating Revenue on the Consolidated Statement of Income and Regulatory Assets on the Consolidated Balance Sheet until it is subsequently collected from customers.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Minnesota Power participates in MISO. MISO transactions are accounted for on a net hourly basis in each of the day-ahead and real-time markets. Minnesota Power records net sales in Operating Revenue and net purchases in Fuel and Purchased Power expense on the Consolidated Statement of Income.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recognizes revenue from the sale of energy from PSAs under various durations. Revenue is recognized when delivered to an agreed</w:t>
      </w:r>
      <w:r>
        <w:rPr>
          <w:rFonts w:ascii="Arial" w:cs="Arial" w:eastAsia="Arial" w:hAnsi="Arial"/>
          <w:sz w:val="18"/>
          <w:szCs w:val="18"/>
          <w:i w:val="1"/>
          <w:iCs w:val="1"/>
          <w:color w:val="auto"/>
        </w:rPr>
        <w:t xml:space="preserve"> </w:t>
      </w:r>
      <w:r>
        <w:rPr>
          <w:rFonts w:ascii="Arial" w:cs="Arial" w:eastAsia="Arial" w:hAnsi="Arial"/>
          <w:sz w:val="18"/>
          <w:szCs w:val="18"/>
          <w:color w:val="auto"/>
        </w:rPr>
        <w:t>upon point or production is curtailed at the request of its customers at specified prices. As part of wind energy facilities acquisitions in 2014 and 2015, ALLETE Clean Energy assumed various PSAs that were above or below estimated market prices at the time of acquisition and amortizes the resulting differences between contract prices and estimated market prices to Operating Revenue. In 2016, we recognized $22.3 million of non-cash revenue amortization relating to the difference between contract prices and estimated market prices as an increase in Operating Revenue on the Consolidated Statement of Income ($23.2 million in 2015; $12.7 million in 2014).</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U.S. Water Services </w:t>
      </w:r>
      <w:r>
        <w:rPr>
          <w:rFonts w:ascii="Arial" w:cs="Arial" w:eastAsia="Arial" w:hAnsi="Arial"/>
          <w:sz w:val="17"/>
          <w:szCs w:val="17"/>
          <w:color w:val="auto"/>
        </w:rPr>
        <w:t>recognizes revenue from the sale of products when the earnings process is complete. This generally occurs when products are shipped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customer in accordance with the contract or purchase order, ownership and risk of loss have passed to the customer, collectibility is reasonably assured, and pricing is fixed and determinable. Revenue from services is recognized as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BNI Energy recognizes coal sales when delivered at the cost of production plus a specified profit per ton of coal delivered.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Properties records full profit recognition on sales of real estate upon closing, provided that cash collections are at least 20 percent of the contract price and the other requirements under the guidance for sales of real estate are met. From time to time, certain contracts with customers allow us to receive participation revenue from land sales to third parties if various formula-based criteria are achieved.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Operating Expenses – Other</w:t>
            </w:r>
          </w:p>
        </w:tc>
        <w:tc>
          <w:tcPr>
            <w:tcW w:w="3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Impairment of Real Estate </w:t>
            </w:r>
            <w:r>
              <w:rPr>
                <w:rFonts w:ascii="Arial" w:cs="Arial" w:eastAsia="Arial" w:hAnsi="Arial"/>
                <w:sz w:val="16"/>
                <w:szCs w:val="16"/>
                <w:i w:val="1"/>
                <w:iCs w:val="1"/>
                <w:color w:val="auto"/>
              </w:rPr>
              <w:t>(a)</w:t>
            </w:r>
          </w:p>
        </w:tc>
        <w:tc>
          <w:tcPr>
            <w:tcW w:w="31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$36.3</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 xml:space="preserve">Impairment of Goodwill </w:t>
            </w:r>
            <w:r>
              <w:rPr>
                <w:rFonts w:ascii="Arial" w:cs="Arial" w:eastAsia="Arial" w:hAnsi="Arial"/>
                <w:sz w:val="16"/>
                <w:szCs w:val="16"/>
                <w:i w:val="1"/>
                <w:iCs w:val="1"/>
                <w:color w:val="auto"/>
              </w:rPr>
              <w:t>(b)</w:t>
            </w:r>
          </w:p>
        </w:tc>
        <w:tc>
          <w:tcPr>
            <w:tcW w:w="3100" w:type="dxa"/>
            <w:vAlign w:val="bottom"/>
          </w:tcPr>
          <w:p>
            <w:pPr>
              <w:jc w:val="right"/>
              <w:ind w:right="530"/>
              <w:spacing w:after="0"/>
              <w:rPr>
                <w:sz w:val="20"/>
                <w:szCs w:val="20"/>
                <w:color w:val="auto"/>
              </w:rPr>
            </w:pPr>
            <w:r>
              <w:rPr>
                <w:rFonts w:ascii="Arial" w:cs="Arial" w:eastAsia="Arial" w:hAnsi="Arial"/>
                <w:sz w:val="18"/>
                <w:szCs w:val="18"/>
                <w:color w:val="auto"/>
              </w:rPr>
              <w:t>$3.3</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Change in Fair Value of Contingent Consideration </w:t>
            </w:r>
            <w:r>
              <w:rPr>
                <w:rFonts w:ascii="Arial" w:cs="Arial" w:eastAsia="Arial" w:hAnsi="Arial"/>
                <w:sz w:val="16"/>
                <w:szCs w:val="16"/>
                <w:i w:val="1"/>
                <w:iCs w:val="1"/>
                <w:color w:val="auto"/>
              </w:rPr>
              <w:t>(c)</w:t>
            </w:r>
          </w:p>
        </w:tc>
        <w:tc>
          <w:tcPr>
            <w:tcW w:w="3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(13.6)</w:t>
            </w:r>
          </w:p>
        </w:tc>
        <w:tc>
          <w:tcPr>
            <w:tcW w:w="1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Operating Expenses – Other</w:t>
            </w:r>
          </w:p>
        </w:tc>
        <w:tc>
          <w:tcPr>
            <w:tcW w:w="31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$(10.3)</w:t>
            </w:r>
          </w:p>
        </w:tc>
        <w:tc>
          <w:tcPr>
            <w:tcW w:w="15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$36.3</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gridSpan w:val="2"/>
          </w:tcPr>
          <w:p>
            <w:pPr>
              <w:spacing w:after="0"/>
              <w:rPr>
                <w:sz w:val="2"/>
                <w:szCs w:val="2"/>
                <w:color w:val="auto"/>
              </w:rPr>
            </w:pPr>
          </w:p>
        </w:tc>
        <w:tc>
          <w:tcPr>
            <w:tcW w:w="3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5760" w:type="dxa"/>
            <w:vAlign w:val="bottom"/>
            <w:tcBorders>
              <w:top w:val="single" w:sz="8" w:color="auto"/>
            </w:tcBorders>
          </w:tcPr>
          <w:p>
            <w:pPr>
              <w:spacing w:after="0" w:line="173" w:lineRule="exact"/>
              <w:rPr>
                <w:sz w:val="20"/>
                <w:szCs w:val="20"/>
                <w:color w:val="auto"/>
              </w:rPr>
            </w:pPr>
            <w:r>
              <w:rPr>
                <w:rFonts w:ascii="Arial" w:cs="Arial" w:eastAsia="Arial" w:hAnsi="Arial"/>
                <w:sz w:val="16"/>
                <w:szCs w:val="16"/>
                <w:i w:val="1"/>
                <w:iCs w:val="1"/>
                <w:color w:val="auto"/>
              </w:rPr>
              <w:t>(a)  See Impairment of Long-Lived Assets.</w:t>
            </w:r>
          </w:p>
        </w:tc>
        <w:tc>
          <w:tcPr>
            <w:tcW w:w="31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189"/>
        </w:trPr>
        <w:tc>
          <w:tcPr>
            <w:tcW w:w="5780" w:type="dxa"/>
            <w:vAlign w:val="bottom"/>
            <w:gridSpan w:val="2"/>
          </w:tcPr>
          <w:p>
            <w:pPr>
              <w:spacing w:after="0"/>
              <w:rPr>
                <w:sz w:val="20"/>
                <w:szCs w:val="20"/>
                <w:color w:val="auto"/>
              </w:rPr>
            </w:pPr>
            <w:r>
              <w:rPr>
                <w:rFonts w:ascii="Arial" w:cs="Arial" w:eastAsia="Arial" w:hAnsi="Arial"/>
                <w:sz w:val="16"/>
                <w:szCs w:val="16"/>
                <w:i w:val="1"/>
                <w:iCs w:val="1"/>
                <w:color w:val="auto"/>
              </w:rPr>
              <w:t>(b)  See Goodwill and Intangible Assets.</w:t>
            </w:r>
          </w:p>
        </w:tc>
        <w:tc>
          <w:tcPr>
            <w:tcW w:w="3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5780" w:type="dxa"/>
            <w:vAlign w:val="bottom"/>
            <w:gridSpan w:val="2"/>
          </w:tcPr>
          <w:p>
            <w:pPr>
              <w:spacing w:after="0"/>
              <w:rPr>
                <w:sz w:val="20"/>
                <w:szCs w:val="20"/>
                <w:color w:val="auto"/>
              </w:rPr>
            </w:pPr>
            <w:r>
              <w:rPr>
                <w:rFonts w:ascii="Arial" w:cs="Arial" w:eastAsia="Arial" w:hAnsi="Arial"/>
                <w:sz w:val="16"/>
                <w:szCs w:val="16"/>
                <w:i w:val="1"/>
                <w:iCs w:val="1"/>
                <w:color w:val="auto"/>
              </w:rPr>
              <w:t>(c)  See Note 9. Fair Value.</w:t>
            </w:r>
          </w:p>
        </w:tc>
        <w:tc>
          <w:tcPr>
            <w:tcW w:w="3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02"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Unamortized Discount and Premium on Debt. </w:t>
      </w:r>
      <w:r>
        <w:rPr>
          <w:rFonts w:ascii="Arial" w:cs="Arial" w:eastAsia="Arial" w:hAnsi="Arial"/>
          <w:sz w:val="18"/>
          <w:szCs w:val="18"/>
          <w:color w:val="auto"/>
        </w:rPr>
        <w:t>Discount and premium on debt are deferred and amortized over the terms of the related debt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using a method which approximates the effective interest method.</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 and its subsidiaries file a consolidated federal income tax return as well as combined and separate state income tax returns. We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for income taxes using the liability method in accordance with the accounting standards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Due to the effects of regulation on Minnesota Power and SWL&amp;P, certain adjustments made to deferred income taxes are, in turn, recorded as regulatory assets or liabilities. Federal investment tax credits have been recorded as deferred credits and are being amortized to income tax expense over the service lives of the related property. In accordance with the accounting standards for uncertainty in income taxes, we are required to recognize in our financial statements the largest tax benefit of a tax position that is “more-likely-than-not” to be sustained on audit, based solely on the technical merits of the position as of the reporting date. The term “more-likely-than-not” means more than 50 percent likely. (See Note 13. Income Tax Expense.)</w:t>
      </w:r>
    </w:p>
    <w:p>
      <w:pPr>
        <w:spacing w:after="0" w:line="169"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Excise Taxes. </w:t>
      </w:r>
      <w:r>
        <w:rPr>
          <w:rFonts w:ascii="Arial" w:cs="Arial" w:eastAsia="Arial" w:hAnsi="Arial"/>
          <w:sz w:val="17"/>
          <w:szCs w:val="17"/>
          <w:color w:val="auto"/>
        </w:rPr>
        <w:t>We collect excise taxes from our customers levied by government entities. These taxes are stated separately on the billing to the customer and</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as a liability to be remitted to the government entity. We account for the collection and payment of these taxes on a net basis.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Purchase Accounting. </w:t>
      </w:r>
      <w:r>
        <w:rPr>
          <w:rFonts w:ascii="Arial" w:cs="Arial" w:eastAsia="Arial" w:hAnsi="Arial"/>
          <w:sz w:val="16"/>
          <w:szCs w:val="16"/>
          <w:color w:val="auto"/>
        </w:rPr>
        <w:t>In accordance with the authoritative accounting guidance, the purchase price of an acquired business is generally allocated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acquired and liabilities assumed at their estimated fair values on the date of acquisition. Any unallocated purchase price amount is recognized as goodwill on the Consolidated Balance Sheet if it exceeds the estimated fair value and as a bargain purchase gain on the Consolidated Income Statement if it is below the estimated fair value. Determining the fair value of assets acquired and liabilities assumed requires management’s judgment, and the utilization of independent valuation experts as well as the use of significant estimates and assumptions with respect to the timing and amounts of future cash inflows and outflows, discount rates, market prices and asset lives, among other items. The judgments made in the determination of the estimated fair value assigned to the assets acquired and liabilities assumed, as well as the estimated useful life of each asset and the duration of each liability, can materially impact the financial statements in periods after acquisition, such as through depreciation and amortization expense. (See Note 6. Acquisitions.)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May 2014, the FASB issued amended revenue recognition guidance to clarify the principles for recognizing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contracts with customers. The guidance requires an entity to recognize revenue to depict the transfer of goods or services to customers in an amount that reflects the consideration to which an entity expects to be entitled in exchange for those goods or services. The guidance also requires expanded disclosures relating to the nature, amount, timing, and uncertainty of revenue and cash flows arising from contracts with customers. Additionally, qualitative and quantitative disclosures are required regarding customer contracts, significant judgments and changes in judgments, and assets recognized from the costs to obtain or fulfill a contract. The Company is considering the impact of the new guidance on its ability to recognize revenue from certain contracts where collectibility is in question, its accounting for contributions in aid of construction, bundled sales contracts and contracts with pricing provisions that may require it to recognize revenue at prices other than the contract price (e.g., straight line or estimated future market prices). The guidance is effective for the Company beginning in the first quarter of 2018 with early adoption permitted. The Company plans to adopt this guidance for our fiscal year beginning January 1, 2018.</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Amendments to the Consolidation Analysis. </w:t>
      </w:r>
      <w:r>
        <w:rPr>
          <w:rFonts w:ascii="Arial" w:cs="Arial" w:eastAsia="Arial" w:hAnsi="Arial"/>
          <w:sz w:val="16"/>
          <w:szCs w:val="16"/>
          <w:color w:val="auto"/>
        </w:rPr>
        <w:t>In February 2015, the FASB issued revised guidance which changes the analysis that a reporting entity must</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to determine whether it should consolidate certain types of legal entities. The new standard affects (1) limited partnerships and similar legal entities,</w:t>
      </w:r>
    </w:p>
    <w:p>
      <w:pPr>
        <w:jc w:val="both"/>
        <w:ind w:firstLine="8"/>
        <w:spacing w:after="0" w:line="255" w:lineRule="auto"/>
        <w:tabs>
          <w:tab w:leader="none" w:pos="2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evaluating fees paid to a decision maker or a service provider as a variable interest, (3) the effect of fee arrangements on the primary beneficiary determination, (4) the effect of related parties on the primary beneficiary determination, and (5) certain investment funds. This guidance was adopted in the first quarter of 2016 and did not have a material impact on our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02"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Presentation of Debt Issuance Costs. </w:t>
      </w:r>
      <w:r>
        <w:rPr>
          <w:rFonts w:ascii="Arial" w:cs="Arial" w:eastAsia="Arial" w:hAnsi="Arial"/>
          <w:sz w:val="18"/>
          <w:szCs w:val="18"/>
          <w:color w:val="auto"/>
        </w:rPr>
        <w:t>In April 2015, the FASB issued revised guidance addressing the presentation requirements for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revised guidance, all costs incurred to issue debt are to be presented on the Consolidated Balance Sheet as a direct deduction from the carrying amount of that debt liability. This guidance was adopted in the first quarter of 2016 resulting in the reclassification of unamortized debt issuance costs from Other Non-Current Assets to Long-Term Debt on the Consolidated Balance Sheet. The effect of the adoption decreased Total Assets and Total Liabilities on the Consolidated Balance Sheet by $12.6 million as of December 31, 2015.</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Disclosures for Investments in Certain Entities That Calculate Net Asset Value per Share (or Its Equivalent). </w:t>
      </w:r>
      <w:r>
        <w:rPr>
          <w:rFonts w:ascii="Arial" w:cs="Arial" w:eastAsia="Arial" w:hAnsi="Arial"/>
          <w:sz w:val="18"/>
          <w:szCs w:val="18"/>
          <w:color w:val="auto"/>
        </w:rPr>
        <w:t>In May 2015, the FASB issued an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update which removes the requirement to categorize within the fair value hierarchy all investments for which fair value is measured using the net asset value per share (or its equivalent) practical expedient. The guidance applies to investments for which there is not a readily determinable fair value (market quote) or the investment is in a mutual fund without a publicly available net asset value. This guidance was adopted in the first quarter of 2016 and did not have a material impact on our Consolidated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Simplifying the Measurement of Inventory. </w:t>
      </w:r>
      <w:r>
        <w:rPr>
          <w:rFonts w:ascii="Arial" w:cs="Arial" w:eastAsia="Arial" w:hAnsi="Arial"/>
          <w:sz w:val="18"/>
          <w:szCs w:val="18"/>
          <w:color w:val="auto"/>
        </w:rPr>
        <w:t>In July 2015, the FASB issued an accounting standard which requires entities that measure inventory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first-in, first-out or average cost methods to measure inventory at the lower of cost or net realizable value. Net realizable value is defined as estimated selling price in the ordinary course of business less reasonably predictable costs of completion, disposal and transportation. This accounting guidance is effective for the Company beginning in the first quarter of 2017; early adoption is permitted. The adoption of this update is not expected to have a material impact on our Consolidated Financial Statements.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an accounting standard update which revises the existing guidance for leases. Under the revised guidance, lessees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required to recognize a “right-of-use” asset and a lease liability for all leases with a term greater than 12 months. The new standard also requires additional quantitative and qualitative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are not expected to significantly change as a result of the updated guidance. The revised guidance is effective for the Company beginning in the first quarter of 2019 with early adoption permitted. The Company is evaluating the impact of the amended lease guidance on the Company’s Consolidated Financial Statements.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Improvements to Employee Share-Based Payment Accounting. </w:t>
      </w:r>
      <w:r>
        <w:rPr>
          <w:rFonts w:ascii="Arial" w:cs="Arial" w:eastAsia="Arial" w:hAnsi="Arial"/>
          <w:sz w:val="18"/>
          <w:szCs w:val="18"/>
          <w:color w:val="auto"/>
        </w:rPr>
        <w:t>In March 2016, the FASB issued guidance to simplify the accounting for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by requiring all excess tax benefits and deficiencies to be recognized in income tax expense or benefit in earnings, thus eliminating the requirement to classify the excess tax benefit and deficiencies as additional paid-in capital. Under the new guidance, an entity makes an accounting policy election to either estimate the expected forfeiture awards or account for forfeitures as they occur. This accounting guidance is effective for the Company beginning in the first quarter of 2017. The adoption of this guidance is expected to result in a less than $1 million impact to income tax expense (benefit) annually.</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Classification of Certain Cash Receipts and Cash Payments. </w:t>
      </w:r>
      <w:r>
        <w:rPr>
          <w:rFonts w:ascii="Arial" w:cs="Arial" w:eastAsia="Arial" w:hAnsi="Arial"/>
          <w:sz w:val="16"/>
          <w:szCs w:val="16"/>
          <w:color w:val="auto"/>
        </w:rPr>
        <w:t>In August 2016, the FASB issued an accounting standard update which addresses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This accounting guidance is effective for the Company beginning in the first quarter of 2018. The Company plans to adopt this guidance for our fiscal year beginning January 1, 2018, and the guidance will result in changes to the Company’s Consolidated Statement of Cash Flows relating to debt prepayments, contingent consideration payments, proceeds from insurance settlements, proceeds from corporate-owned life insurance policies and distributions received from equity method investees.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02"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Statement of Cash Flows: Restricted Cash. </w:t>
      </w:r>
      <w:r>
        <w:rPr>
          <w:rFonts w:ascii="Arial" w:cs="Arial" w:eastAsia="Arial" w:hAnsi="Arial"/>
          <w:sz w:val="18"/>
          <w:szCs w:val="18"/>
          <w:color w:val="auto"/>
        </w:rPr>
        <w:t>In November 2016, the FASB issued an accounting standard update related to the presentation of restricted cash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Consolidated Statement of Cash Flows. The update requires that the Consolidated Statement of Cash Flows explain the change during the period in cash, cash equivalents, and restricted cash. Restricted cash should be included with cash and cash equivalents when reconciling the beginning-of-period and end-of-period total amounts shown on the Consolidated Statement of Cash Flows. This accounting guidance is effective for the Company beginning in the first quarter of 2018. The Company plans to adopt this guidance for our fiscal year beginning January 1, 2018, and the guidance will result in changes to the Company’s Consolidated Statement of Cash Flows such that restricted cash amounts will be included in the beginning-of-period and end-of-period cash and cash equivalents totals.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In January 2017, the FASB issued an accounting standard update to simplify the accounting for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The guidance removes Step 2 of the goodwill impairment test, which requires a hypothetical purchase price allocation. The guidance requires a goodwill impairment to be measured as the amount by which a reporting unit’s carrying value exceeds its fair value, not to exceed the carrying amount of goodwill. The accounting guidance is effective for the Company beginning in the first quarter of 2020, with early adoption permitted on a prospective basis. The Company is evaluating the impact of the amended guidance on the Company’s Consolidated Financial Statements.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NOTE 2. PROPERTY, PLANT AND EQUIPMENT</w:t>
            </w:r>
          </w:p>
        </w:tc>
        <w:tc>
          <w:tcPr>
            <w:tcW w:w="3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7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w:t>
            </w:r>
          </w:p>
        </w:tc>
        <w:tc>
          <w:tcPr>
            <w:tcW w:w="3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Property, Plant and Equipment in Service</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$4,437.0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$4,336.7</w:t>
            </w: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Work in Progress</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84.2</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3700" w:type="dxa"/>
            <w:vAlign w:val="bottom"/>
          </w:tcPr>
          <w:p>
            <w:pPr>
              <w:jc w:val="right"/>
              <w:ind w:right="370"/>
              <w:spacing w:after="0"/>
              <w:rPr>
                <w:sz w:val="20"/>
                <w:szCs w:val="20"/>
                <w:color w:val="auto"/>
              </w:rPr>
            </w:pPr>
            <w:r>
              <w:rPr>
                <w:rFonts w:ascii="Arial" w:cs="Arial" w:eastAsia="Arial" w:hAnsi="Arial"/>
                <w:sz w:val="18"/>
                <w:szCs w:val="18"/>
                <w:color w:val="auto"/>
              </w:rPr>
              <w:t>(1,426.1)</w:t>
            </w:r>
          </w:p>
        </w:tc>
        <w:tc>
          <w:tcPr>
            <w:tcW w:w="1180" w:type="dxa"/>
            <w:vAlign w:val="bottom"/>
          </w:tcPr>
          <w:p>
            <w:pPr>
              <w:jc w:val="right"/>
              <w:spacing w:after="0"/>
              <w:rPr>
                <w:sz w:val="20"/>
                <w:szCs w:val="20"/>
                <w:color w:val="auto"/>
              </w:rPr>
            </w:pPr>
            <w:r>
              <w:rPr>
                <w:rFonts w:ascii="Arial" w:cs="Arial" w:eastAsia="Arial" w:hAnsi="Arial"/>
                <w:sz w:val="18"/>
                <w:szCs w:val="18"/>
                <w:color w:val="auto"/>
              </w:rPr>
              <w:t>(1,323.8)</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 – Net</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3,095.1</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3,114.1</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ALLETE Clean Energy</w:t>
            </w:r>
          </w:p>
        </w:tc>
        <w:tc>
          <w:tcPr>
            <w:tcW w:w="37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in Service</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472.3</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467.3</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 xml:space="preserve">Construction Work in Progress </w:t>
            </w:r>
            <w:r>
              <w:rPr>
                <w:rFonts w:ascii="Arial" w:cs="Arial" w:eastAsia="Arial" w:hAnsi="Arial"/>
                <w:sz w:val="18"/>
                <w:szCs w:val="18"/>
                <w:i w:val="1"/>
                <w:iCs w:val="1"/>
                <w:color w:val="auto"/>
              </w:rPr>
              <w:t>(a)</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101.0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37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(41.0)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7"/>
        </w:trPr>
        <w:tc>
          <w:tcPr>
            <w:tcW w:w="6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ALLETE Clean Energy – Net</w:t>
            </w:r>
          </w:p>
        </w:tc>
        <w:tc>
          <w:tcPr>
            <w:tcW w:w="37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532.3</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447.3</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Water Services</w:t>
            </w:r>
          </w:p>
        </w:tc>
        <w:tc>
          <w:tcPr>
            <w:tcW w:w="3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Property, Plant and Equipment in Service</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19.5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37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6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U.S. Water Services – Net</w:t>
            </w:r>
          </w:p>
        </w:tc>
        <w:tc>
          <w:tcPr>
            <w:tcW w:w="37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12.6</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(b)</w:t>
            </w:r>
          </w:p>
        </w:tc>
        <w:tc>
          <w:tcPr>
            <w:tcW w:w="3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Property, Plant and Equipment in Service</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179.8</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165.6</w:t>
            </w: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Work in Progress</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2.8</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3700" w:type="dxa"/>
            <w:vAlign w:val="bottom"/>
          </w:tcPr>
          <w:p>
            <w:pPr>
              <w:jc w:val="right"/>
              <w:ind w:right="370"/>
              <w:spacing w:after="0"/>
              <w:rPr>
                <w:sz w:val="20"/>
                <w:szCs w:val="20"/>
                <w:color w:val="auto"/>
              </w:rPr>
            </w:pPr>
            <w:r>
              <w:rPr>
                <w:rFonts w:ascii="Arial" w:cs="Arial" w:eastAsia="Arial" w:hAnsi="Arial"/>
                <w:sz w:val="18"/>
                <w:szCs w:val="18"/>
                <w:color w:val="auto"/>
              </w:rPr>
              <w:t>(81.4)</w:t>
            </w:r>
          </w:p>
        </w:tc>
        <w:tc>
          <w:tcPr>
            <w:tcW w:w="118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 – Net</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101.2</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Property, Plant and Equipment – Net</w:t>
            </w:r>
          </w:p>
        </w:tc>
        <w:tc>
          <w:tcPr>
            <w:tcW w:w="37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$3,741.2</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The increase in ALLETE Clean Energy’s construction work in progress primarily relates to deposits for WTGs. The WTGs will be utilized as ALLETE Clean Energy develops future projects.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Primarily includes BNI Energy and a small amount of non-rate base generation.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computed using the straight-line method over the estimated useful lives of the various classes of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02"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2. PROPERTY, PLANT AND EQUIPMENT (Continued)</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Useful Lives of Property, Plant and Equipment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w:t>
            </w:r>
          </w:p>
        </w:tc>
        <w:tc>
          <w:tcPr>
            <w:tcW w:w="2700" w:type="dxa"/>
            <w:vAlign w:val="bottom"/>
            <w:tcBorders>
              <w:top w:val="single" w:sz="8" w:color="auto"/>
              <w:bottom w:val="single" w:sz="8" w:color="CCEEFF"/>
            </w:tcBorders>
            <w:shd w:val="clear" w:color="auto" w:fill="CCEEFF"/>
          </w:tcPr>
          <w:p>
            <w:pPr>
              <w:spacing w:after="0"/>
              <w:rPr>
                <w:sz w:val="22"/>
                <w:szCs w:val="22"/>
                <w:color w:val="auto"/>
              </w:rPr>
            </w:pPr>
          </w:p>
        </w:tc>
        <w:tc>
          <w:tcPr>
            <w:tcW w:w="3880" w:type="dxa"/>
            <w:vAlign w:val="bottom"/>
            <w:tcBorders>
              <w:top w:val="single" w:sz="8" w:color="auto"/>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(a)</w:t>
            </w:r>
          </w:p>
        </w:tc>
        <w:tc>
          <w:tcPr>
            <w:tcW w:w="288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5 to 35 years</w:t>
            </w: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Generation</w:t>
            </w:r>
          </w:p>
        </w:tc>
        <w:tc>
          <w:tcPr>
            <w:tcW w:w="2700" w:type="dxa"/>
            <w:vAlign w:val="bottom"/>
          </w:tcPr>
          <w:p>
            <w:pPr>
              <w:ind w:left="380"/>
              <w:spacing w:after="0"/>
              <w:rPr>
                <w:sz w:val="20"/>
                <w:szCs w:val="20"/>
                <w:color w:val="auto"/>
              </w:rPr>
            </w:pPr>
            <w:r>
              <w:rPr>
                <w:rFonts w:ascii="Arial" w:cs="Arial" w:eastAsia="Arial" w:hAnsi="Arial"/>
                <w:sz w:val="18"/>
                <w:szCs w:val="18"/>
                <w:color w:val="auto"/>
              </w:rPr>
              <w:t>10 to 50 years</w:t>
            </w:r>
          </w:p>
        </w:tc>
        <w:tc>
          <w:tcPr>
            <w:tcW w:w="3880" w:type="dxa"/>
            <w:vAlign w:val="bottom"/>
          </w:tcPr>
          <w:p>
            <w:pPr>
              <w:ind w:left="1320"/>
              <w:spacing w:after="0"/>
              <w:rPr>
                <w:sz w:val="20"/>
                <w:szCs w:val="20"/>
                <w:color w:val="auto"/>
              </w:rPr>
            </w:pPr>
            <w:r>
              <w:rPr>
                <w:rFonts w:ascii="Arial" w:cs="Arial" w:eastAsia="Arial" w:hAnsi="Arial"/>
                <w:sz w:val="18"/>
                <w:szCs w:val="18"/>
                <w:color w:val="auto"/>
              </w:rPr>
              <w:t>U.S. Water Services</w:t>
            </w:r>
          </w:p>
        </w:tc>
        <w:tc>
          <w:tcPr>
            <w:tcW w:w="2880" w:type="dxa"/>
            <w:vAlign w:val="bottom"/>
          </w:tcPr>
          <w:p>
            <w:pPr>
              <w:ind w:left="620"/>
              <w:spacing w:after="0"/>
              <w:rPr>
                <w:sz w:val="20"/>
                <w:szCs w:val="20"/>
                <w:color w:val="auto"/>
              </w:rPr>
            </w:pPr>
            <w:r>
              <w:rPr>
                <w:rFonts w:ascii="Arial" w:cs="Arial" w:eastAsia="Arial" w:hAnsi="Arial"/>
                <w:sz w:val="18"/>
                <w:szCs w:val="18"/>
                <w:color w:val="auto"/>
              </w:rPr>
              <w:t>3 to 39 years</w:t>
            </w:r>
          </w:p>
        </w:tc>
      </w:tr>
      <w:tr>
        <w:trPr>
          <w:trHeight w:val="27"/>
        </w:trPr>
        <w:tc>
          <w:tcPr>
            <w:tcW w:w="1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2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44 to 67 years</w:t>
            </w:r>
          </w:p>
        </w:tc>
        <w:tc>
          <w:tcPr>
            <w:tcW w:w="38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Corporate and Other</w:t>
            </w:r>
          </w:p>
        </w:tc>
        <w:tc>
          <w:tcPr>
            <w:tcW w:w="28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 to 47 years</w:t>
            </w: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Distribution</w:t>
            </w:r>
          </w:p>
        </w:tc>
        <w:tc>
          <w:tcPr>
            <w:tcW w:w="2700" w:type="dxa"/>
            <w:vAlign w:val="bottom"/>
          </w:tcPr>
          <w:p>
            <w:pPr>
              <w:ind w:left="380"/>
              <w:spacing w:after="0"/>
              <w:rPr>
                <w:sz w:val="20"/>
                <w:szCs w:val="20"/>
                <w:color w:val="auto"/>
              </w:rPr>
            </w:pPr>
            <w:r>
              <w:rPr>
                <w:rFonts w:ascii="Arial" w:cs="Arial" w:eastAsia="Arial" w:hAnsi="Arial"/>
                <w:sz w:val="18"/>
                <w:szCs w:val="18"/>
                <w:color w:val="auto"/>
              </w:rPr>
              <w:t>18 to 65 years</w:t>
            </w:r>
          </w:p>
        </w:tc>
        <w:tc>
          <w:tcPr>
            <w:tcW w:w="3880" w:type="dxa"/>
            <w:vAlign w:val="bottom"/>
          </w:tcPr>
          <w:p>
            <w:pPr>
              <w:spacing w:after="0"/>
              <w:rPr>
                <w:sz w:val="21"/>
                <w:szCs w:val="21"/>
                <w:color w:val="auto"/>
              </w:rPr>
            </w:pPr>
          </w:p>
        </w:tc>
        <w:tc>
          <w:tcPr>
            <w:tcW w:w="2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ALLETE Clean Energy’s Property, Plant and Equipment consists primarily of WTGs with estimated useful lives ranging from 30 years to 35 years.</w:t>
      </w:r>
    </w:p>
    <w:p>
      <w:pPr>
        <w:spacing w:after="0" w:line="213"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color w:val="auto"/>
        </w:rPr>
        <w:t xml:space="preserve">Asset Retirement Obligations. </w:t>
      </w:r>
      <w:r>
        <w:rPr>
          <w:rFonts w:ascii="Arial" w:cs="Arial" w:eastAsia="Arial" w:hAnsi="Arial"/>
          <w:sz w:val="16"/>
          <w:szCs w:val="16"/>
          <w:color w:val="auto"/>
        </w:rPr>
        <w:t>We recognize, at fair value, obligations associated with the retirement of certain tangible, long</w:t>
      </w:r>
      <w:r>
        <w:rPr>
          <w:rFonts w:ascii="MS PGothic" w:cs="MS PGothic" w:eastAsia="MS PGothic" w:hAnsi="MS PGothic"/>
          <w:sz w:val="16"/>
          <w:szCs w:val="16"/>
          <w:color w:val="auto"/>
        </w:rPr>
        <w:t>‑</w:t>
      </w:r>
      <w:r>
        <w:rPr>
          <w:rFonts w:ascii="Arial" w:cs="Arial" w:eastAsia="Arial" w:hAnsi="Arial"/>
          <w:sz w:val="16"/>
          <w:szCs w:val="16"/>
          <w:color w:val="auto"/>
        </w:rPr>
        <w:t>lived assets that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acquisition, construction, development or normal operation of the asset. Asset retirement obligations (AROs) relate primarily to the decommissioning of our coal-fired and wind energy facilities, and land reclamation at BNI Energy. AROs are included in Other Non-Current Liabilities on the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w:t>
      </w:r>
    </w:p>
    <w:p>
      <w:pPr>
        <w:spacing w:after="0" w:line="20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Conditional asset retirement obligations have been identified for treated wood poles and remaining polychlorinated biphenyl and asbestos-containing assets; however, removal costs have not been recognized because they are considered immaterial to our Consolidated Financial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Long-standing ratemaking practices approved by applicable state and federal regulatory commissions have allowed provisions for future plant removal costs in depreciation rates. These plant removal cost recoveries are classified either as AROs or as a regulatory liability for non-AROs. To the extent annual accruals for plant removal costs differ from accruals under approved depreciation rates, a regulatory asset has been established in accordance with the guidance for AROs. (See Note 4. Regulatory Matters.)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98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Obligation as of December 31, 2014</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r>
      <w:tr>
        <w:trPr>
          <w:trHeight w:val="243"/>
        </w:trPr>
        <w:tc>
          <w:tcPr>
            <w:tcW w:w="20" w:type="dxa"/>
            <w:vAlign w:val="bottom"/>
          </w:tcPr>
          <w:p>
            <w:pPr>
              <w:spacing w:after="0"/>
              <w:rPr>
                <w:sz w:val="21"/>
                <w:szCs w:val="21"/>
                <w:color w:val="auto"/>
              </w:rPr>
            </w:pPr>
          </w:p>
        </w:tc>
        <w:tc>
          <w:tcPr>
            <w:tcW w:w="9820" w:type="dxa"/>
            <w:vAlign w:val="bottom"/>
          </w:tcPr>
          <w:p>
            <w:pPr>
              <w:ind w:left="20"/>
              <w:spacing w:after="0"/>
              <w:rPr>
                <w:sz w:val="20"/>
                <w:szCs w:val="20"/>
                <w:color w:val="auto"/>
              </w:rPr>
            </w:pPr>
            <w:r>
              <w:rPr>
                <w:rFonts w:ascii="Arial" w:cs="Arial" w:eastAsia="Arial" w:hAnsi="Arial"/>
                <w:sz w:val="18"/>
                <w:szCs w:val="18"/>
                <w:color w:val="auto"/>
              </w:rPr>
              <w:t>Accretion</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20" w:type="dxa"/>
            <w:vAlign w:val="bottom"/>
          </w:tcPr>
          <w:p>
            <w:pPr>
              <w:spacing w:after="0"/>
              <w:rPr>
                <w:sz w:val="2"/>
                <w:szCs w:val="2"/>
                <w:color w:val="auto"/>
              </w:rPr>
            </w:pPr>
          </w:p>
        </w:tc>
        <w:tc>
          <w:tcPr>
            <w:tcW w:w="98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Liabilities Recognized </w:t>
            </w:r>
            <w:r>
              <w:rPr>
                <w:rFonts w:ascii="Arial" w:cs="Arial" w:eastAsia="Arial" w:hAnsi="Arial"/>
                <w:sz w:val="16"/>
                <w:szCs w:val="16"/>
                <w:i w:val="1"/>
                <w:iCs w:val="1"/>
                <w:color w:val="auto"/>
              </w:rPr>
              <w:t>(a)</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20" w:type="dxa"/>
            <w:vAlign w:val="bottom"/>
          </w:tcPr>
          <w:p>
            <w:pPr>
              <w:spacing w:after="0"/>
              <w:rPr>
                <w:sz w:val="21"/>
                <w:szCs w:val="21"/>
                <w:color w:val="auto"/>
              </w:rPr>
            </w:pPr>
          </w:p>
        </w:tc>
        <w:tc>
          <w:tcPr>
            <w:tcW w:w="9820" w:type="dxa"/>
            <w:vAlign w:val="bottom"/>
          </w:tcPr>
          <w:p>
            <w:pPr>
              <w:ind w:left="20"/>
              <w:spacing w:after="0"/>
              <w:rPr>
                <w:sz w:val="20"/>
                <w:szCs w:val="20"/>
                <w:color w:val="auto"/>
              </w:rPr>
            </w:pPr>
            <w:r>
              <w:rPr>
                <w:rFonts w:ascii="Arial" w:cs="Arial" w:eastAsia="Arial" w:hAnsi="Arial"/>
                <w:sz w:val="18"/>
                <w:szCs w:val="18"/>
                <w:color w:val="auto"/>
              </w:rPr>
              <w:t>Liabilities Settled</w:t>
            </w: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Pr>
          <w:p>
            <w:pPr>
              <w:spacing w:after="0"/>
              <w:rPr>
                <w:sz w:val="2"/>
                <w:szCs w:val="2"/>
                <w:color w:val="auto"/>
              </w:rPr>
            </w:pPr>
          </w:p>
        </w:tc>
        <w:tc>
          <w:tcPr>
            <w:tcW w:w="98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Revisions in Estimated Cash Flows</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37"/>
        </w:trPr>
        <w:tc>
          <w:tcPr>
            <w:tcW w:w="20" w:type="dxa"/>
            <w:vAlign w:val="bottom"/>
          </w:tcPr>
          <w:p>
            <w:pPr>
              <w:spacing w:after="0"/>
              <w:rPr>
                <w:sz w:val="20"/>
                <w:szCs w:val="20"/>
                <w:color w:val="auto"/>
              </w:rPr>
            </w:pPr>
          </w:p>
        </w:tc>
        <w:tc>
          <w:tcPr>
            <w:tcW w:w="9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Obligation as of December 31, 2015</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131.4</w:t>
            </w:r>
          </w:p>
        </w:tc>
      </w:tr>
      <w:tr>
        <w:trPr>
          <w:trHeight w:val="27"/>
        </w:trPr>
        <w:tc>
          <w:tcPr>
            <w:tcW w:w="20" w:type="dxa"/>
            <w:vAlign w:val="bottom"/>
          </w:tcPr>
          <w:p>
            <w:pPr>
              <w:spacing w:after="0"/>
              <w:rPr>
                <w:sz w:val="2"/>
                <w:szCs w:val="2"/>
                <w:color w:val="auto"/>
              </w:rPr>
            </w:pPr>
          </w:p>
        </w:tc>
        <w:tc>
          <w:tcPr>
            <w:tcW w:w="98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20" w:type="dxa"/>
            <w:vAlign w:val="bottom"/>
          </w:tcPr>
          <w:p>
            <w:pPr>
              <w:spacing w:after="0"/>
              <w:rPr>
                <w:sz w:val="21"/>
                <w:szCs w:val="21"/>
                <w:color w:val="auto"/>
              </w:rPr>
            </w:pPr>
          </w:p>
        </w:tc>
        <w:tc>
          <w:tcPr>
            <w:tcW w:w="9820" w:type="dxa"/>
            <w:vAlign w:val="bottom"/>
          </w:tcPr>
          <w:p>
            <w:pPr>
              <w:ind w:left="20"/>
              <w:spacing w:after="0"/>
              <w:rPr>
                <w:sz w:val="20"/>
                <w:szCs w:val="20"/>
                <w:color w:val="auto"/>
              </w:rPr>
            </w:pPr>
            <w:r>
              <w:rPr>
                <w:rFonts w:ascii="Arial" w:cs="Arial" w:eastAsia="Arial" w:hAnsi="Arial"/>
                <w:sz w:val="18"/>
                <w:szCs w:val="18"/>
                <w:color w:val="auto"/>
              </w:rPr>
              <w:t>Liabilities Settled</w:t>
            </w:r>
          </w:p>
        </w:tc>
        <w:tc>
          <w:tcPr>
            <w:tcW w:w="1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20" w:type="dxa"/>
            <w:vAlign w:val="bottom"/>
          </w:tcPr>
          <w:p>
            <w:pPr>
              <w:spacing w:after="0"/>
              <w:rPr>
                <w:sz w:val="2"/>
                <w:szCs w:val="2"/>
                <w:color w:val="auto"/>
              </w:rPr>
            </w:pPr>
          </w:p>
        </w:tc>
        <w:tc>
          <w:tcPr>
            <w:tcW w:w="98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Revisions in Estimated Cash Flows</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37"/>
        </w:trPr>
        <w:tc>
          <w:tcPr>
            <w:tcW w:w="20" w:type="dxa"/>
            <w:vAlign w:val="bottom"/>
          </w:tcPr>
          <w:p>
            <w:pPr>
              <w:spacing w:after="0"/>
              <w:rPr>
                <w:sz w:val="20"/>
                <w:szCs w:val="20"/>
                <w:color w:val="auto"/>
              </w:rPr>
            </w:pPr>
          </w:p>
        </w:tc>
        <w:tc>
          <w:tcPr>
            <w:tcW w:w="9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Obligation as of December 31, 2016</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$136.6</w:t>
            </w:r>
          </w:p>
        </w:tc>
      </w:tr>
      <w:tr>
        <w:trPr>
          <w:trHeight w:val="27"/>
        </w:trPr>
        <w:tc>
          <w:tcPr>
            <w:tcW w:w="984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98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The increase in 2015 is related to the ALLETE Clean Energy wind energy facilities acquisitions in 2015. (See Note 6. Acquisitions.)</w:t>
            </w:r>
          </w:p>
        </w:tc>
        <w:tc>
          <w:tcPr>
            <w:tcW w:w="1580" w:type="dxa"/>
            <w:vAlign w:val="bottom"/>
            <w:tcBorders>
              <w:top w:val="single" w:sz="8" w:color="auto"/>
            </w:tcBorders>
          </w:tcPr>
          <w:p>
            <w:pPr>
              <w:spacing w:after="0"/>
              <w:rPr>
                <w:sz w:val="17"/>
                <w:szCs w:val="17"/>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JOINTLY-OWNED FACILITIES AND PROJECTS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Boswell Unit 4. </w:t>
      </w:r>
      <w:r>
        <w:rPr>
          <w:rFonts w:ascii="Arial" w:cs="Arial" w:eastAsia="Arial" w:hAnsi="Arial"/>
          <w:sz w:val="17"/>
          <w:szCs w:val="17"/>
          <w:color w:val="auto"/>
        </w:rPr>
        <w:t>Minnesota Power owns 80 percent of the 585 MW Boswell Unit 4. While Minnesota Power operates the plant, certain decisions about the</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of Boswell Unit 4 are subject to the oversight of a committee on which it and WPPI Energy, the owner of the remaining 20 percent, have equal representation and voting rights. Each owner must provide its own financing and is obligated to its ownership share of operating costs. Minnesota Power’s share of operating expenses for Boswell Unit 4 is included in Operating Expenses on the Consolidated Statement of Income.</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CapX2020. </w:t>
      </w:r>
      <w:r>
        <w:rPr>
          <w:rFonts w:ascii="Arial" w:cs="Arial" w:eastAsia="Arial" w:hAnsi="Arial"/>
          <w:sz w:val="17"/>
          <w:szCs w:val="17"/>
          <w:color w:val="auto"/>
        </w:rPr>
        <w:t>Minnesota Power is a participant in the CapX2020 initiative which represents an effort to ensure electric transmission and distribution reliability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 Minnesota and the surrounding region for the future. CapX2020, which consists of electric cooperatives and municipal and investor-owned utilities, including Minnesota’s largest transmission owners, assessed the transmission system and projected growth in customer demand for electricity through 2020. Minnesota Power participated in three CapX2020 projects which were completed and placed in service in 2011, 2012 and 2015.</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702"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NOTE 3. JOINTLY-OWNED FACILITIES AND PROJECTS (Continued)</w:t>
            </w:r>
          </w:p>
        </w:tc>
        <w:tc>
          <w:tcPr>
            <w:tcW w:w="1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9900" w:type="dxa"/>
            <w:vAlign w:val="bottom"/>
            <w:gridSpan w:val="4"/>
          </w:tcPr>
          <w:p>
            <w:pPr>
              <w:spacing w:after="0"/>
              <w:rPr>
                <w:sz w:val="20"/>
                <w:szCs w:val="20"/>
                <w:color w:val="auto"/>
              </w:rPr>
            </w:pPr>
            <w:r>
              <w:rPr>
                <w:rFonts w:ascii="Arial" w:cs="Arial" w:eastAsia="Arial" w:hAnsi="Arial"/>
                <w:sz w:val="18"/>
                <w:szCs w:val="18"/>
                <w:color w:val="auto"/>
                <w:w w:val="99"/>
              </w:rPr>
              <w:t>Minnesota Power’s investments in jointly-owned facilities and projects and the related ownership percentages are as follows:</w:t>
            </w:r>
          </w:p>
        </w:tc>
        <w:tc>
          <w:tcPr>
            <w:tcW w:w="1400" w:type="dxa"/>
            <w:vAlign w:val="bottom"/>
          </w:tcPr>
          <w:p>
            <w:pPr>
              <w:spacing w:after="0"/>
              <w:rPr>
                <w:sz w:val="24"/>
                <w:szCs w:val="24"/>
                <w:color w:val="auto"/>
              </w:rPr>
            </w:pPr>
          </w:p>
        </w:tc>
      </w:tr>
      <w:tr>
        <w:trPr>
          <w:trHeight w:val="441"/>
        </w:trPr>
        <w:tc>
          <w:tcPr>
            <w:tcW w:w="34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Accumulated</w:t>
            </w:r>
          </w:p>
        </w:tc>
        <w:tc>
          <w:tcPr>
            <w:tcW w:w="18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Construction Work in</w:t>
            </w:r>
          </w:p>
        </w:tc>
        <w:tc>
          <w:tcPr>
            <w:tcW w:w="1400" w:type="dxa"/>
            <w:vAlign w:val="bottom"/>
          </w:tcPr>
          <w:p>
            <w:pPr>
              <w:spacing w:after="0"/>
              <w:rPr>
                <w:sz w:val="24"/>
                <w:szCs w:val="24"/>
                <w:color w:val="auto"/>
              </w:rPr>
            </w:pPr>
          </w:p>
        </w:tc>
      </w:tr>
      <w:tr>
        <w:trPr>
          <w:trHeight w:val="23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Regulated Utility Plant</w:t>
            </w:r>
          </w:p>
        </w:tc>
        <w:tc>
          <w:tcPr>
            <w:tcW w:w="3040" w:type="dxa"/>
            <w:vAlign w:val="bottom"/>
          </w:tcPr>
          <w:p>
            <w:pPr>
              <w:jc w:val="right"/>
              <w:ind w:right="210"/>
              <w:spacing w:after="0"/>
              <w:rPr>
                <w:sz w:val="20"/>
                <w:szCs w:val="20"/>
                <w:color w:val="auto"/>
              </w:rPr>
            </w:pPr>
            <w:r>
              <w:rPr>
                <w:rFonts w:ascii="Arial" w:cs="Arial" w:eastAsia="Arial" w:hAnsi="Arial"/>
                <w:sz w:val="18"/>
                <w:szCs w:val="18"/>
                <w:b w:val="1"/>
                <w:bCs w:val="1"/>
                <w:color w:val="auto"/>
              </w:rPr>
              <w:t>Plant in Service</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Depreciation</w:t>
            </w: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Progress</w:t>
            </w:r>
          </w:p>
        </w:tc>
        <w:tc>
          <w:tcPr>
            <w:tcW w:w="1400" w:type="dxa"/>
            <w:vAlign w:val="bottom"/>
          </w:tcPr>
          <w:p>
            <w:pPr>
              <w:ind w:left="140"/>
              <w:spacing w:after="0"/>
              <w:rPr>
                <w:sz w:val="20"/>
                <w:szCs w:val="20"/>
                <w:color w:val="auto"/>
              </w:rPr>
            </w:pPr>
            <w:r>
              <w:rPr>
                <w:rFonts w:ascii="Arial" w:cs="Arial" w:eastAsia="Arial" w:hAnsi="Arial"/>
                <w:sz w:val="18"/>
                <w:szCs w:val="18"/>
                <w:b w:val="1"/>
                <w:bCs w:val="1"/>
                <w:color w:val="auto"/>
              </w:rPr>
              <w:t>% Ownership</w:t>
            </w:r>
          </w:p>
        </w:tc>
      </w:tr>
      <w:tr>
        <w:trPr>
          <w:trHeight w:val="27"/>
        </w:trPr>
        <w:tc>
          <w:tcPr>
            <w:tcW w:w="3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30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
        </w:trPr>
        <w:tc>
          <w:tcPr>
            <w:tcW w:w="34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Boswell Unit 4</w:t>
            </w:r>
          </w:p>
        </w:tc>
        <w:tc>
          <w:tcPr>
            <w:tcW w:w="3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$668.1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80</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CapX2020 Projects</w:t>
            </w:r>
          </w:p>
        </w:tc>
        <w:tc>
          <w:tcPr>
            <w:tcW w:w="3040" w:type="dxa"/>
            <w:vAlign w:val="bottom"/>
          </w:tcPr>
          <w:p>
            <w:pPr>
              <w:jc w:val="right"/>
              <w:ind w:right="150"/>
              <w:spacing w:after="0"/>
              <w:rPr>
                <w:sz w:val="20"/>
                <w:szCs w:val="20"/>
                <w:color w:val="auto"/>
              </w:rPr>
            </w:pPr>
            <w:r>
              <w:rPr>
                <w:rFonts w:ascii="Arial" w:cs="Arial" w:eastAsia="Arial" w:hAnsi="Arial"/>
                <w:sz w:val="18"/>
                <w:szCs w:val="18"/>
                <w:color w:val="auto"/>
              </w:rPr>
              <w:t>101.2</w:t>
            </w: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9.3 - 14.7</w:t>
            </w:r>
          </w:p>
        </w:tc>
      </w:tr>
      <w:tr>
        <w:trPr>
          <w:trHeight w:val="27"/>
        </w:trPr>
        <w:tc>
          <w:tcPr>
            <w:tcW w:w="3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$769.3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30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Boswell Unit 4</w:t>
            </w:r>
          </w:p>
        </w:tc>
        <w:tc>
          <w:tcPr>
            <w:tcW w:w="3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$668.2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80</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CapX2020 Projects</w:t>
            </w:r>
          </w:p>
        </w:tc>
        <w:tc>
          <w:tcPr>
            <w:tcW w:w="3040" w:type="dxa"/>
            <w:vAlign w:val="bottom"/>
          </w:tcPr>
          <w:p>
            <w:pPr>
              <w:jc w:val="right"/>
              <w:ind w:right="150"/>
              <w:spacing w:after="0"/>
              <w:rPr>
                <w:sz w:val="20"/>
                <w:szCs w:val="20"/>
                <w:color w:val="auto"/>
              </w:rPr>
            </w:pPr>
            <w:r>
              <w:rPr>
                <w:rFonts w:ascii="Arial" w:cs="Arial" w:eastAsia="Arial" w:hAnsi="Arial"/>
                <w:sz w:val="18"/>
                <w:szCs w:val="18"/>
                <w:color w:val="auto"/>
              </w:rPr>
              <w:t>101.1</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9.3 - 14.7</w:t>
            </w:r>
          </w:p>
        </w:tc>
      </w:tr>
      <w:tr>
        <w:trPr>
          <w:trHeight w:val="27"/>
        </w:trPr>
        <w:tc>
          <w:tcPr>
            <w:tcW w:w="3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$769.3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344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FERC and PSCW.</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2010 Minnesota General Rate Case. </w:t>
      </w:r>
      <w:r>
        <w:rPr>
          <w:rFonts w:ascii="Arial" w:cs="Arial" w:eastAsia="Arial" w:hAnsi="Arial"/>
          <w:sz w:val="16"/>
          <w:szCs w:val="16"/>
          <w:color w:val="auto"/>
        </w:rPr>
        <w:t>Minnesota Power’s current retail rates are based on a 2011 MPUC retail rate order that allows for a 10.38 percent return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common equity and a 54.29 percent equity ratio. As authorized by the MPUC, Minnesota Power also recognizes revenue under cost recovery riders for transmission, renewable and environmental investments and expenditures. (See </w:t>
      </w:r>
      <w:r>
        <w:rPr>
          <w:rFonts w:ascii="Arial" w:cs="Arial" w:eastAsia="Arial" w:hAnsi="Arial"/>
          <w:sz w:val="16"/>
          <w:szCs w:val="16"/>
          <w:i w:val="1"/>
          <w:iCs w:val="1"/>
          <w:color w:val="auto"/>
        </w:rPr>
        <w:t>Transmission Cost Recovery Rider, Renewable Cost Recovery Rider</w:t>
      </w:r>
      <w:r>
        <w:rPr>
          <w:rFonts w:ascii="Arial" w:cs="Arial" w:eastAsia="Arial" w:hAnsi="Arial"/>
          <w:sz w:val="16"/>
          <w:szCs w:val="16"/>
          <w:color w:val="auto"/>
        </w:rPr>
        <w:t xml:space="preserve"> and </w:t>
      </w:r>
      <w:r>
        <w:rPr>
          <w:rFonts w:ascii="Arial" w:cs="Arial" w:eastAsia="Arial" w:hAnsi="Arial"/>
          <w:sz w:val="16"/>
          <w:szCs w:val="16"/>
          <w:i w:val="1"/>
          <w:iCs w:val="1"/>
          <w:color w:val="auto"/>
        </w:rPr>
        <w:t>Environmental Improvement Rider</w:t>
      </w:r>
      <w:r>
        <w:rPr>
          <w:rFonts w:ascii="Arial" w:cs="Arial" w:eastAsia="Arial" w:hAnsi="Arial"/>
          <w:sz w:val="16"/>
          <w:szCs w:val="16"/>
          <w:color w:val="auto"/>
        </w:rPr>
        <w:t>.) Revenue from cost recovery riders was $97.1 million in 2016 ($89.6 million in 2015; $71.8 million in 2014).</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2016 Minnesota General Rate Case. </w:t>
      </w:r>
      <w:r>
        <w:rPr>
          <w:rFonts w:ascii="Arial" w:cs="Arial" w:eastAsia="Arial" w:hAnsi="Arial"/>
          <w:sz w:val="16"/>
          <w:szCs w:val="16"/>
          <w:color w:val="auto"/>
        </w:rPr>
        <w:t>On November 2, 2016, Minnesota Power filed a retail rate increase request with the MPUC seeking an average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approximately 9 percent for retail customers. The rate filing seeks a return on equity of 10.25 percent and a 53.8 percent equity ratio. On an annualized basis, the requested final rate increase would generate approximately $55 million in additional revenue. On December 12, 2016, due to a change in its electric sales forecast, Minnesota Power filed a request to modify its original interim rate proposal reducing its requested interim rate increase to $34.7 million from the original request of approximately $49 million; Minnesota Power will file to update its final retail rate increase request by February 28, 2017, and expects the final retail rate increase request to decrease similar to the interim rate proposal. In orders dated December 30, 2016, the MPUC accepted the filing as complete and authorized an annual interim rate increase of $34.7 million beginning January 1, 2017. As part of this rate increase request, we are seeking an extension of the recovery period for Boswell to better reflect recent environmental investments at the facility and mitigate rate increases for our customers. If approved, annual depreciation expense will be reduced by approximately $25 million. If the requested recovery period extension is not approved, we would expect final rates to be increased by a similar amount. We cannot predict the level of final rates that may be authorized by the MPUC.</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Energy-Intensive Trade-Exposed (EITE) Customer Rates. </w:t>
      </w:r>
      <w:r>
        <w:rPr>
          <w:rFonts w:ascii="Arial" w:cs="Arial" w:eastAsia="Arial" w:hAnsi="Arial"/>
          <w:sz w:val="16"/>
          <w:szCs w:val="16"/>
          <w:color w:val="auto"/>
        </w:rPr>
        <w:t>The Minnesota Legislature enacted EITE customer ratemaking law in June 2015 which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that it is the energy policy of the state to have competitive rates for certain industries such as mining and forest products. In November 2015, Minnesota Power filed a rate schedule petition with the MPUC for EITE customers and a corresponding rider for EITE cost recovery. The rate proposal was revenue and cash flow neutral to Minnesota Power. In an order dated March 23, 2016, the MPUC dismissed the petition without prejudice, providing Minnesota Power the option to refile the petition with additional information or file a new petition. On June 30, 2016, Minnesota Power filed a revised EITE petition with the MPUC which included additional information on the net benefits analysis, limits on eligible customers and term lengths for the EITE discount. In an order dated December 21, 2016, the MPUC approved a reduction in rates for EITE customers and determined that cost recovery will be addressed in a separate proceeding. Minnesota Power provided additional information on cost recovery allocation methods in a December 30, 2016, compliance filing.</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 has 16 non-affiliated municipal customers in Minnesota. SWL&amp;P is a Wisconsin utility and a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of Minnesota Power. All wholesale contracts include a termination clause requiring a three-year notice to terminate.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02"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2015, Minnesota Power amended its formula-based wholesale electric sales contract with the Nashwauk Public Utilities Commission, extending the term through June 30, 2028. No termination notice may be given for this contract prior to June 30, 2025. The electric service agreements with SWL&amp;P and one other municipal customer are effective through January 31, 2020 and June 30, 2019, respectively. Under the agreement with SWL&amp;P, no termination notice may be given prior to January 31, 2017. The other municipal customer provided termination notice for its contract on June 30, 2016. Minnesota Power currently provides approximately 29 MW of average monthly demand to this customer. The rates included in these three contracts are set each July 1 based on a cost-based formula methodology, using estimated costs and a rate of return that is equal to Minnesota Power’s authorized rate of return for Minnesota retail customers (currently 10.38 percent). The formula-based rate methodology also provides for a yearly true-up calculation for actual costs incurred.</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September 2015, Minnesota Power amended its wholesale electric contracts with 14 municipal customers, extending the contract terms through December 31, 2024. No termination notices may be given prior to December 31, 2021. These contracts include fixed capacity charges through 2018; beginning in 2019, the capacity charge will not increase by more than two percent or decrease by more than one percent from the previous year’s capacity charge and will be determined using a cost-based formula methodology. The base energy charge for each year of the contract term will be set each January 1, subject to monthly adjustment, and will also be determined using a cost-based formula methodology.</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Transmission Cost Recovery Rider. </w:t>
      </w:r>
      <w:r>
        <w:rPr>
          <w:rFonts w:ascii="Arial" w:cs="Arial" w:eastAsia="Arial" w:hAnsi="Arial"/>
          <w:sz w:val="17"/>
          <w:szCs w:val="17"/>
          <w:color w:val="auto"/>
        </w:rPr>
        <w:t>Minnesota Power has an approved cost recovery rider in place for certain transmission investments and expenditures.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 order dated February 3, 2016, the MPUC approved Minnesota Power’s updated billing factor which allows Minnesota Power to charge retail customers on a current basis for the costs of constructing certain transmission facilities plus a return on the capital invested. As a result of the MPUC approval of the certificate of need for the GNTL in June 2015, the project is eligible for cost recovery under the existing transmission cost recovery rider. Minnesota Power is funding the construction of the GNTL with Manitoba Hydro (see </w:t>
      </w:r>
      <w:r>
        <w:rPr>
          <w:rFonts w:ascii="Arial" w:cs="Arial" w:eastAsia="Arial" w:hAnsi="Arial"/>
          <w:sz w:val="17"/>
          <w:szCs w:val="17"/>
          <w:i w:val="1"/>
          <w:iCs w:val="1"/>
          <w:color w:val="auto"/>
        </w:rPr>
        <w:t>Great Northern Transmission Line</w:t>
      </w:r>
      <w:r>
        <w:rPr>
          <w:rFonts w:ascii="Arial" w:cs="Arial" w:eastAsia="Arial" w:hAnsi="Arial"/>
          <w:sz w:val="17"/>
          <w:szCs w:val="17"/>
          <w:color w:val="auto"/>
        </w:rPr>
        <w:t>), and anticipates including its portion of the investments and expenditures for the GNTL in future transmission factor filings.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Renewable Cost Recovery Rider. </w:t>
      </w:r>
      <w:r>
        <w:rPr>
          <w:rFonts w:ascii="Arial" w:cs="Arial" w:eastAsia="Arial" w:hAnsi="Arial"/>
          <w:sz w:val="16"/>
          <w:szCs w:val="16"/>
          <w:color w:val="auto"/>
        </w:rPr>
        <w:t>Minnesota Power has an approved cost recovery rider in place for investments and expenditures related to Bison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restoration and repair of Thomson. Updated customer billing rates for the renewable cost recovery rider were approved by the MPUC in an order dated December 21, 2016, which allows Minnesota Power to charge retail customers on a current basis for the costs of constructing certain renewable investments plus a return on the capital invested. The approval is on a provisional basis pending the outcome of Minnesota Power’s 2016 general rate case.</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 order dated November 30, 2016, the MPUC directed Minnesota Power to attribute all North Dakota investment tax credits realized from Bison to Minnesota Power regulated retail customers. As a result of the adverse regulatory outcome, Minnesota Power has created a regulatory liability, and recorded a reduction in operating revenue for $15.0 million. The North Dakota investment tax credits previously recognized as income tax credits in Corporate and Other were reversed in 2016 resulting in an $8.8 million charge to net income. On December 20, 2016, Minnesota Power submitted a request for reconsideration with the MPUC. On February 9, 2017, the MPUC decided to reconsider its November 30, 2016 order and will be requesting further comments. Minnesota Power will provide further support on its position.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November 30, 2016, MPUC order, Minnesota Power accounted for North Dakota investment tax credits based on the long-standing regulatory precedents of stand-alone allocation methodology of accounting for income taxes. The stand-alone method provides that income taxes (and credits) are calculated as if Minnesota Power was the only entity included in ALLETE’s consolidated federal and unitary state income tax returns. Minnesota Power had recorded a regulatory liability for North Dakota investment tax credits generated by its jurisdictional activity and expected to be realized in the future. North Dakota investment tax credits attributable to ALLETE’s apportionment and income of ALLETE’s other subsidiaries were included in the ALLETE consolidated group.</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Minnesota Power also has approval for current cost recovery of investments and expenditures related to compliance with the Minnesota Solar Energy Standard. (See </w:t>
      </w:r>
      <w:r>
        <w:rPr>
          <w:rFonts w:ascii="Arial" w:cs="Arial" w:eastAsia="Arial" w:hAnsi="Arial"/>
          <w:sz w:val="17"/>
          <w:szCs w:val="17"/>
          <w:i w:val="1"/>
          <w:iCs w:val="1"/>
          <w:color w:val="auto"/>
        </w:rPr>
        <w:t>Minnesota Solar Energy Standard.</w:t>
      </w:r>
      <w:r>
        <w:rPr>
          <w:rFonts w:ascii="Arial" w:cs="Arial" w:eastAsia="Arial" w:hAnsi="Arial"/>
          <w:sz w:val="17"/>
          <w:szCs w:val="17"/>
          <w:color w:val="auto"/>
        </w:rPr>
        <w:t>) Currently, there is no approved customer billing rate for solar costs, but Minnesota Power expects to file its first solar factor filing in 2017 for recovery of costs related to the Camp Ripley solar project and community solar garden project.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02"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Environmental Improvement Rider</w:t>
      </w:r>
      <w:r>
        <w:rPr>
          <w:rFonts w:ascii="Arial" w:cs="Arial" w:eastAsia="Arial" w:hAnsi="Arial"/>
          <w:sz w:val="17"/>
          <w:szCs w:val="17"/>
          <w:color w:val="auto"/>
        </w:rPr>
        <w:t>. Minnesota Power has an approved environmental improvement rider in place for investments and expenditures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implementation of the Boswell Unit 4 mercury emissions reduction plan completed in 2015. Updated customer billing rates for the environmental improvement rider were approved by the MPUC in an order dated December 21, 2016; however, Minnesota Power plans to delay implementation of the updated rates until resolution of its 2016 general rate case. (See </w:t>
      </w:r>
      <w:r>
        <w:rPr>
          <w:rFonts w:ascii="Arial" w:cs="Arial" w:eastAsia="Arial" w:hAnsi="Arial"/>
          <w:sz w:val="17"/>
          <w:szCs w:val="17"/>
          <w:i w:val="1"/>
          <w:iCs w:val="1"/>
          <w:color w:val="auto"/>
        </w:rPr>
        <w:t>2016 Minnesota General Rate Case.)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Boswell Remaining Life Petition. </w:t>
      </w:r>
      <w:r>
        <w:rPr>
          <w:rFonts w:ascii="Arial" w:cs="Arial" w:eastAsia="Arial" w:hAnsi="Arial"/>
          <w:sz w:val="17"/>
          <w:szCs w:val="17"/>
          <w:color w:val="auto"/>
        </w:rPr>
        <w:t>In November 2015, Minnesota Power filed a petition with the MPUC for approval to extend Boswell’s remaining life to</w:t>
      </w:r>
      <w:r>
        <w:rPr>
          <w:rFonts w:ascii="Arial" w:cs="Arial" w:eastAsia="Arial" w:hAnsi="Arial"/>
          <w:sz w:val="17"/>
          <w:szCs w:val="17"/>
          <w:i w:val="1"/>
          <w:iCs w:val="1"/>
          <w:color w:val="auto"/>
        </w:rPr>
        <w:t xml:space="preserve"> </w:t>
      </w:r>
      <w:r>
        <w:rPr>
          <w:rFonts w:ascii="Arial" w:cs="Arial" w:eastAsia="Arial" w:hAnsi="Arial"/>
          <w:sz w:val="17"/>
          <w:szCs w:val="17"/>
          <w:color w:val="auto"/>
        </w:rPr>
        <w:t>2050 for all units and utilize the existing environmental improvement rider to credit a portion of the depreciation expense savings to customers. The extension request was based on the significant multi-emissions retrofit work done at Boswell Unit 3 and Boswell Unit 4. For efficiency, Minnesota Power withdrew its petition to extend Boswell’s remaining life as Minnesota Power decided to incorporate the life extension in its 2016 general rate case. In an order dated September 23, 2016, the MPUC approved Minnesota Power’s request to withdraw the petition. On February 1, 2017, Minnesota Power filed its 2017 remaining life depreciation petition in which it requested extending Boswell’s remaining life to 2050.</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Annual Automatic Adjustment (AAA) of Charges. </w:t>
      </w:r>
      <w:r>
        <w:rPr>
          <w:rFonts w:ascii="Arial" w:cs="Arial" w:eastAsia="Arial" w:hAnsi="Arial"/>
          <w:sz w:val="18"/>
          <w:szCs w:val="18"/>
          <w:color w:val="auto"/>
        </w:rPr>
        <w:t>In an order dated June 2, 2016, the MPUC approved Minnesota Power’s AAA filings made in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MPUC deferred action for 90 days on the AAA filing made in 2014 to review and confirm coal transportation costs and terms of service, which was subsequently completed on September 6, 2016, resulting in final approval of the filing. Minnesota Power’s AAA filings made in 2015 and 2016 are pending MPUC approval, and represent approximately $350 million in retail fuel cost recovery collected but subject to refund. These filings have historically been approved, and Minnesota Power currently expects full recovery of amounts represented by the AAA filings, although we cannot predict the outcome of the filings at the MPUC.</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Wisconsin General Rate Case. </w:t>
      </w:r>
      <w:r>
        <w:rPr>
          <w:rFonts w:ascii="Arial" w:cs="Arial" w:eastAsia="Arial" w:hAnsi="Arial"/>
          <w:sz w:val="17"/>
          <w:szCs w:val="17"/>
          <w:color w:val="auto"/>
        </w:rPr>
        <w:t>SWL&amp;P’s current retail rates are based on a 2012 PSCW retail rate order that allows for a 10.9 percent return on</w:t>
      </w:r>
      <w:r>
        <w:rPr>
          <w:rFonts w:ascii="Arial" w:cs="Arial" w:eastAsia="Arial" w:hAnsi="Arial"/>
          <w:sz w:val="17"/>
          <w:szCs w:val="17"/>
          <w:i w:val="1"/>
          <w:iCs w:val="1"/>
          <w:color w:val="auto"/>
        </w:rPr>
        <w:t xml:space="preserve"> </w:t>
      </w:r>
      <w:r>
        <w:rPr>
          <w:rFonts w:ascii="Arial" w:cs="Arial" w:eastAsia="Arial" w:hAnsi="Arial"/>
          <w:sz w:val="17"/>
          <w:szCs w:val="17"/>
          <w:color w:val="auto"/>
        </w:rPr>
        <w:t>common equity. On June 28, 2016, SWL&amp;P filed a rate increase request with the PSCW requesting an average overall increase of 3.1 percent for retail customers (a 3.5 percent increase in electric rates, a 1.3 percent decrease in natural gas rates and a 7.8 percent increase in water rates). The rate filing seeks an overall return on equity of 10.9 percent and a 55 percent equity ratio. On an annualized basis, the requested rate increase would generate approximately $2.7 million in additional revenue. Hearings are expected to be scheduled in the first half of 2017. The Company anticipates new rates will take effect during the second quarter of 2017. We cannot predict the level of rates that may be approved by the PSCW.</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Integrated Resource Plan (IRP). </w:t>
      </w:r>
      <w:r>
        <w:rPr>
          <w:rFonts w:ascii="Arial" w:cs="Arial" w:eastAsia="Arial" w:hAnsi="Arial"/>
          <w:sz w:val="18"/>
          <w:szCs w:val="18"/>
          <w:color w:val="auto"/>
        </w:rPr>
        <w:t>In 2013, the MPUC approved Minnesota Power’s 2013 IRP which detailed its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EnergyForward</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plan.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elements of the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plan include major wind investments in North Dakota completed in 2014, the installation of emissions control technology at Boswell Unit 4 completed in December 2015, planning for the proposed GNTL, the conversion of Laskin from coal to natural gas completed in June 2015 and the retirement of Taconite Harbor Unit 3 completed in May 2015. In September 2015, Minnesota Power filed its 2015 IRP with the MPUC which included an analysis of a variety of existing and future energy resource alternatives and a projection of customer cost impact by class. The 2015 IRP also contained the next steps in Minnesota Power’s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plan including the economic idling of Taconite Harbor Units 1 and 2 which occurred in September 2016, the ceasing of coal-fired operations at Taconite Harbor in 2020, and the addition of between 200 MW and 300 MW of natural gas-fired generation in the next decade.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an order dated July 18, 2016, the MPUC approved Minnesota Power’s 2015 IRP with modifications. The order accepts Minnesota Power’s plans for Taconite Harbor, directs Minnesota Power to retire Boswell Units 1 and 2 no later than 2022, requires an analysis of generation and demand response alternatives to be filed with a natural gas resource proposal, and requires Minnesota Power to conduct request for proposals for additional wind, solar and demand response resource additions subject to further MPUC approvals. On October 19, 2016, Minnesota Power announced Boswell Units 1 and 2 will be retired in 2018 as the latest step in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Minnesota Power’s next IRP must be filed by February 1,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02"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Great Northern Transmission Line</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and Manitoba Hydro have proposed construction of the GNTL, an approximately 220-mile 500-kV</w:t>
      </w:r>
      <w:r>
        <w:rPr>
          <w:rFonts w:ascii="Arial" w:cs="Arial" w:eastAsia="Arial" w:hAnsi="Arial"/>
          <w:sz w:val="16"/>
          <w:szCs w:val="16"/>
          <w:b w:val="1"/>
          <w:bCs w:val="1"/>
          <w:color w:val="auto"/>
        </w:rPr>
        <w:t xml:space="preserve"> </w:t>
      </w:r>
      <w:r>
        <w:rPr>
          <w:rFonts w:ascii="Arial" w:cs="Arial" w:eastAsia="Arial" w:hAnsi="Arial"/>
          <w:sz w:val="16"/>
          <w:szCs w:val="16"/>
          <w:color w:val="auto"/>
        </w:rPr>
        <w:t>transmission line between Manitoba and Minnesota’s Iron Range. The GNTL is subject to various federal and state regulatory approvals. In 2013, a certificate of need application was filed with the MPUC which was approved in a June 2015 order. Based on this order, Minnesota Power’s portion of the investments and expenditures for the project are eligible for cost recovery under its existing transmission cost recovery rider and are anticipated to be included in future transmission factor filings. In a December 2015 order, the FERC approved our request to recover on construction work in progress related to the GNTL from Minnesota Power’s wholesale customers. In 2014, Minnesota Power filed a route permit application with the MPUC and a request for a presidential permit to cross the U.S.-Canadian border with the U.S. Department of Energy. In an order dated April 11, 2016, the MPUC approved the route permit which largely follows Minnesota Power’s preferred route, including the international border crossing, and on November 16, 2016, the U.S. Department of Energy issued a presidential permit, which was the final major regulatory approval needed before construction in the U.S. can begin in early 2017.</w:t>
      </w:r>
    </w:p>
    <w:p>
      <w:pPr>
        <w:spacing w:after="0" w:line="1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September 2015, Manitoba Hydro submitted the final preferred route and EIS for the transmission line in Canada to the Manitoba Conservation and Water Stewardship for regulatory approval. Construction of Manitoba Hydro’s hydroelectric generation facility commenced in 2014.</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Conservation Improvement Program (CIP). </w:t>
      </w:r>
      <w:r>
        <w:rPr>
          <w:rFonts w:ascii="Arial" w:cs="Arial" w:eastAsia="Arial" w:hAnsi="Arial"/>
          <w:sz w:val="17"/>
          <w:szCs w:val="17"/>
          <w:color w:val="auto"/>
        </w:rPr>
        <w:t>Minnesota requires electric utilities to spend a minimum of 1.5 percent of net gross operating revenues from</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provided in the state on energy CIPs each year. These investments are recovered from certain retail customers through a combination of the conservation cost recovery charge included in retail base rates and a conservation program adjustment, which is adjusted annually through the CIP consolidated filing. The MPUC allows utilities to accumulate, in a deferred account for future cost recovery, all CIP expenditures, any financial incentive earned for cost-effective program achievements, and a carrying charge on the deferred account balance. Minnesota Power refers to its conservation programs collectively as the “Power of One”. On November 3, 2016, the Minnesota Department of Commerce approved Minnesota Power’s CIP triennial filing for 2017 through 2019, which outlines Minnesota Power’s CIP spending and energy-saving goals for 2017 through 2019. Minnesota Power’s CIP investment goal was $7.3 million for 2016 ($7.1 million for 2015; $6.9 million for 2014), with actual spending of $7.4 million in 2016 ($6.6 million in 2015; $7.2 million in 2014). The investment goals for 2017, 2018 and 2019 are $10.6 million, $10.8 million and $10.9 million, respectively.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requires each utility to establish an annual energy-savings goal of 1.5 percent of annual retail energy sales. On April 1, 2016, Minnesota Power submitted its 2015 CIP consolidated filing, which detailed Minnesota Power’s CIP program results and requested a CIP financial incentive of $7.5 million based upon MPUC procedures. In an order dated July 19, 2016, the MPUC approved Minnesota Power’s CIP consolidated filing, including the requested CIP financial incentive which was recorded as revenue and as a regulatory asset. The approved financial incentive will be recovered through customer billing rates in 2016 and 2017. In 2015 and 2014, the CIP financial incentives recognized were $6.2 million and $8.7 million, respectively. CIP financial incentives are recognized in the period in which the MPUC approves the filing.</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MISO Return on Equity Complaints. </w:t>
      </w:r>
      <w:r>
        <w:rPr>
          <w:rFonts w:ascii="Arial" w:cs="Arial" w:eastAsia="Arial" w:hAnsi="Arial"/>
          <w:sz w:val="18"/>
          <w:szCs w:val="18"/>
          <w:color w:val="auto"/>
        </w:rPr>
        <w:t>In 2013, several customer groups located within the MISO service area filed complaints with the FERC requesting,</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a reduction in the base return on equity used by MISO transmission owners, including ALLETE and ATC, to 9.15 percent. In December 2015, a federal administrative law judge ruled on the complaint proposing a reduction in the base return on equity to 10.32 percent, or 10.82 percent including an incentive adder for participation in a regional transmission organization. On September 28, 2016, the FERC issued an order affirming the administrative law judge’s recommendation.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2015, an additional complaint was filed with the FERC seeking an order to further reduce the base return on equity to 8.67 percent. On June 30, 2016, a federal administrative law judge ruled on the February 2015,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expected in 2017. The final decision from the FERC is not expected to have a material impact on ALLETE’s Consolidated Financial Statements.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the FERC approved an incentive adder of up to 50 basis points on the allowed base return on equity for our participation in a regional transmission organization upon the resolution of each individual return on equity complaint.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02"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Minnesota Solar Energy Standard. </w:t>
      </w:r>
      <w:r>
        <w:rPr>
          <w:rFonts w:ascii="Arial" w:cs="Arial" w:eastAsia="Arial" w:hAnsi="Arial"/>
          <w:sz w:val="16"/>
          <w:szCs w:val="16"/>
          <w:color w:val="auto"/>
        </w:rPr>
        <w:t>In 2013, legislation was enacted by the state of Minnesota requiring at least 1.5 percent of total retail electric sales,</w:t>
      </w:r>
      <w:r>
        <w:rPr>
          <w:rFonts w:ascii="Arial" w:cs="Arial" w:eastAsia="Arial" w:hAnsi="Arial"/>
          <w:sz w:val="16"/>
          <w:szCs w:val="16"/>
          <w:b w:val="1"/>
          <w:bCs w:val="1"/>
          <w:color w:val="auto"/>
        </w:rPr>
        <w:t xml:space="preserve"> </w:t>
      </w:r>
      <w:r>
        <w:rPr>
          <w:rFonts w:ascii="Arial" w:cs="Arial" w:eastAsia="Arial" w:hAnsi="Arial"/>
          <w:sz w:val="16"/>
          <w:szCs w:val="16"/>
          <w:color w:val="auto"/>
        </w:rPr>
        <w:t>excluding sales to certain customers, to be generated by solar energy by the end of 2020. At least 10 percent of the 1.5 percent mandate must be met by solar energy generated by or procured from solar photovoltaic devices with a nameplate capacity of 20 kW or less. Minnesota Power has one completed solar project and another under development. In August 2015, Minnesota Power filed for MPUC approval of a 10 MW utility scale solar project at the Camp Ripley Minnesota Army National Guard base and training facility near Little Falls, Minnesota. In an order dated February 24, 2016, the MPUC approved the Camp Ripley solar project as eligible to meet the solar energy standard and for current cost recovery, which was subsequently finalized by the MPUC in an order dated December 12, 2016. The Camp Ripley solar project was completed in the fourth quarter of 2016. In September 2015, Minnesota Power filed for MPUC approval of a community solar garden project in northeastern Minnesota, which is comprised of a 1 MW solar array to be owned and operated by a third party with the output purchased by Minnesota Power and a 40 kW solar array that will be owned and operated by Minnesota Power. In an order dated July 27, 2016, the MPUC approved the community solar garden project and cost recovery, subject to certain compliance requirements. Minnesota Power believes these projects will meet approximately one-third of the overall mandate. Additionally, on January 19, 2017, the MPUC approved Minnesota Power’s proposal to increase the amount of solar rebates available for customer-sited solar installations and recover costs of the program through Minnesota Power’s renewable cost recovery rider. This proposal to incentivize customer-sited solar installations is expected to meet a portion of the required mandate related to solar photovoltaic devices with a nameplate capacity of 20 kW or less.</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02"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NOTE 4. REGULATORY MATTERS (Continued)</w:t>
            </w:r>
          </w:p>
        </w:tc>
        <w:tc>
          <w:tcPr>
            <w:tcW w:w="30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7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6"/>
                <w:szCs w:val="16"/>
                <w:i w:val="1"/>
                <w:iCs w:val="1"/>
                <w:color w:val="auto"/>
              </w:rPr>
              <w:t>(a)</w:t>
            </w:r>
          </w:p>
        </w:tc>
        <w:tc>
          <w:tcPr>
            <w:tcW w:w="3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Deferred Fuel Adjustment Clause</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$18.6</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7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Current Regulatory Assets</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18.6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37"/>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0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(b)</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226.1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(c)</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63.3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6"/>
                <w:szCs w:val="16"/>
                <w:i w:val="1"/>
                <w:iCs w:val="1"/>
                <w:color w:val="auto"/>
              </w:rPr>
              <w:t>(d)</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30.5</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16"/>
                <w:szCs w:val="16"/>
                <w:i w:val="1"/>
                <w:iCs w:val="1"/>
                <w:color w:val="auto"/>
              </w:rPr>
              <w:t>(e)</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26.0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PPACA Income Tax Deferral</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5.0</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Other</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8.7</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7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Regulatory Assets</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359.6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r>
      <w:tr>
        <w:trPr>
          <w:trHeight w:val="237"/>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Assets</w:t>
            </w:r>
          </w:p>
        </w:tc>
        <w:tc>
          <w:tcPr>
            <w:tcW w:w="30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$378.2</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$382.6</w:t>
            </w:r>
          </w:p>
        </w:tc>
      </w:tr>
      <w:tr>
        <w:trPr>
          <w:trHeight w:val="27"/>
        </w:trPr>
        <w:tc>
          <w:tcPr>
            <w:tcW w:w="7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73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0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Wholesale and Retail Contra AFUDC </w:t>
            </w:r>
            <w:r>
              <w:rPr>
                <w:rFonts w:ascii="Arial" w:cs="Arial" w:eastAsia="Arial" w:hAnsi="Arial"/>
                <w:sz w:val="16"/>
                <w:szCs w:val="16"/>
                <w:i w:val="1"/>
                <w:iCs w:val="1"/>
                <w:color w:val="auto"/>
              </w:rPr>
              <w:t>(f)</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$56.8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North Dakota Investment Tax Credits </w:t>
            </w:r>
            <w:r>
              <w:rPr>
                <w:rFonts w:ascii="Arial" w:cs="Arial" w:eastAsia="Arial" w:hAnsi="Arial"/>
                <w:sz w:val="16"/>
                <w:szCs w:val="16"/>
                <w:i w:val="1"/>
                <w:iCs w:val="1"/>
                <w:color w:val="auto"/>
              </w:rPr>
              <w:t>(g)</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28.2</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(c)</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19.1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(b)</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Other</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2.6</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7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Regulatory Liabilities</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$125.8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r>
      <w:tr>
        <w:trPr>
          <w:trHeight w:val="20"/>
        </w:trPr>
        <w:tc>
          <w:tcPr>
            <w:tcW w:w="730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presented within Prepayments and Other on the Consolidated Balance Sheet.</w:t>
      </w:r>
    </w:p>
    <w:p>
      <w:pPr>
        <w:spacing w:after="0" w:line="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as actuarial gains and losses as well as prior service costs and credits, are recognized as regulatory assets or regulatory liabilities on the Consolidated Balance Sheet. The asset or liability will decrease as the deferred items are amortized and recognized as components of net periodic benefit cost. (See Note 15. Pension and Other Postretirement Benefit Plans.)</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These costs represent the difference between deferred income taxes recognized for financial reporting purposes and amounts previously billed to our customers. This balance will decrease over the remaining life of the related temporary differences and flow through current income taxes.</w:t>
      </w:r>
    </w:p>
    <w:p>
      <w:pPr>
        <w:jc w:val="both"/>
        <w:ind w:left="340" w:hanging="332"/>
        <w:spacing w:after="0" w:line="246" w:lineRule="auto"/>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assets are revenues not yet collected from our customers primarily due to capital expenditures related to Bison, investment in CapX2020 projects, and the Boswell Unit 4 environmental upgrade and are recognized in accordance with the accounting standards for alternative revenue programs. The cost recovery rider regulatory assets as of December 31, 2016, will be recovered within the next two years.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Asset retirement obligations will accrete and be amortized over the lives of the related property with asset retirement obligations.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Wholesale and Retail Contra AFUDC represents amortization to offset AFUDC Equity and Debt recorded during the construction period of our cost recovery rider projects prior to placing the projects in service. The regulatory liability will decrease over the remaining depreciable life of the related asset.</w:t>
      </w:r>
    </w:p>
    <w:p>
      <w:pPr>
        <w:ind w:left="340" w:hanging="332"/>
        <w:spacing w:after="0" w:line="257" w:lineRule="auto"/>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North Dakota investment tax credits expected to be realized from Bison that will be credited to Minnesota Power’s regulated retail customers over the remaining life of Bison through future renewable cost recovery rider fillings.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702"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5. INVESTMENT IN ATC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wholly-owned subsidiary, ALLETE Transmission Holdings, owns approximately 8 percent of ATC, a Wisconsin-based utility that owns and maintains electric transmission assets in parts of Wisconsin, Michigan, Minnesota and Illinois. We account for our investment in ATC under the equity method of accounting. As of December 31, 2016, our equity investment in ATC was $135.6 million ($124.5 million at December 31, 2015). On January 27, 2017, we invested an additional $3.1 million in ATC. In total, we expect to invest approximately $10.9 million throughout 2017.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ALLETE’s Investment in ATC</w:t>
            </w:r>
          </w:p>
        </w:tc>
        <w:tc>
          <w:tcPr>
            <w:tcW w:w="3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520" w:type="dxa"/>
            <w:vAlign w:val="bottom"/>
          </w:tcPr>
          <w:p>
            <w:pPr>
              <w:spacing w:after="0"/>
              <w:rPr>
                <w:sz w:val="23"/>
                <w:szCs w:val="23"/>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Beginning Balance</w:t>
            </w:r>
          </w:p>
        </w:tc>
        <w:tc>
          <w:tcPr>
            <w:tcW w:w="3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$124.5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3520" w:type="dxa"/>
            <w:vAlign w:val="bottom"/>
          </w:tcPr>
          <w:p>
            <w:pPr>
              <w:spacing w:after="0"/>
              <w:rPr>
                <w:sz w:val="21"/>
                <w:szCs w:val="21"/>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5.4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3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35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(12.8)</w:t>
            </w:r>
          </w:p>
        </w:tc>
        <w:tc>
          <w:tcPr>
            <w:tcW w:w="10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Ending Balance</w:t>
            </w:r>
          </w:p>
        </w:tc>
        <w:tc>
          <w:tcPr>
            <w:tcW w:w="35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$135.6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r>
      <w:tr>
        <w:trPr>
          <w:trHeight w:val="453"/>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35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520" w:type="dxa"/>
            <w:vAlign w:val="bottom"/>
          </w:tcPr>
          <w:p>
            <w:pPr>
              <w:spacing w:after="0"/>
              <w:rPr>
                <w:sz w:val="23"/>
                <w:szCs w:val="23"/>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$75.8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520" w:type="dxa"/>
            <w:vAlign w:val="bottom"/>
          </w:tcPr>
          <w:p>
            <w:pPr>
              <w:spacing w:after="0"/>
              <w:rPr>
                <w:sz w:val="21"/>
                <w:szCs w:val="21"/>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4,312.9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3,957.6</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5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$4,388.7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$4,038.1</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Current Liabilities</w:t>
            </w:r>
          </w:p>
        </w:tc>
        <w:tc>
          <w:tcPr>
            <w:tcW w:w="35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$495.1</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$330.3</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1,865.3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520" w:type="dxa"/>
            <w:vAlign w:val="bottom"/>
          </w:tcPr>
          <w:p>
            <w:pPr>
              <w:spacing w:after="0"/>
              <w:rPr>
                <w:sz w:val="21"/>
                <w:szCs w:val="21"/>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271.5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245.0</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 Equity</w:t>
            </w:r>
          </w:p>
        </w:tc>
        <w:tc>
          <w:tcPr>
            <w:tcW w:w="35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1,756.8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1,662.8</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and Members’ Equity</w:t>
            </w:r>
          </w:p>
        </w:tc>
        <w:tc>
          <w:tcPr>
            <w:tcW w:w="35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$4,388.7</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$4,038.1</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53"/>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5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$650.8</w:t>
            </w: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$615.8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520" w:type="dxa"/>
            <w:vAlign w:val="bottom"/>
          </w:tcPr>
          <w:p>
            <w:pPr>
              <w:jc w:val="right"/>
              <w:ind w:right="290"/>
              <w:spacing w:after="0"/>
              <w:rPr>
                <w:sz w:val="20"/>
                <w:szCs w:val="20"/>
                <w:color w:val="auto"/>
              </w:rPr>
            </w:pPr>
            <w:r>
              <w:rPr>
                <w:rFonts w:ascii="Arial" w:cs="Arial" w:eastAsia="Arial" w:hAnsi="Arial"/>
                <w:sz w:val="18"/>
                <w:szCs w:val="18"/>
                <w:color w:val="auto"/>
              </w:rPr>
              <w:t>322.5</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319.3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307.4</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95.5</w:t>
            </w: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96.1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5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$232.8</w:t>
            </w:r>
          </w:p>
        </w:tc>
        <w:tc>
          <w:tcPr>
            <w:tcW w:w="14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$200.4</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$238.7</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ALLETE’s Equity in Net Income</w:t>
            </w:r>
          </w:p>
        </w:tc>
        <w:tc>
          <w:tcPr>
            <w:tcW w:w="3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$18.5</w:t>
            </w: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0"/>
        </w:trPr>
        <w:tc>
          <w:tcPr>
            <w:tcW w:w="544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28, 2016, the FERC issued an order reducing ATC’s authorized return on equity to 10.32 percent, or 10.82 percent including an incentive adder for participation in a regional transmission organization. Prior to this order, ATC had been allowed a return on equity of 12.2 percent which had been impacted by reductions for estimated refunds related to complaints filed with the FERC by several customers located within the MISO service area.</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2016, a federal administrative law judge ruled on an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expected in 2017. (See Note 4. Regulatory Matters.) We own approximately 8 percent of ATC and estimate that for every 50 basis point reduction in ATC’s allowed return on equity our equity earnings in ATC would be impacted annually by approximately $0.5 million after-tax.</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02"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6.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acquisitions are consistent with ALLETE’s stated strategy of investing in energy infrastructure and related services businesses to complement its regulated businesses, balance exposure to business cycles and changing demand, and provide potential long-term earnings growth. The pro forma impact of the following acquisitions was not significant, either individually or in the aggregate, to the results of the Company for the years ended December 31, 2016, and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Acquisition of Non-Controlling Interest. </w:t>
      </w:r>
      <w:r>
        <w:rPr>
          <w:rFonts w:ascii="Arial" w:cs="Arial" w:eastAsia="Arial" w:hAnsi="Arial"/>
          <w:sz w:val="18"/>
          <w:szCs w:val="18"/>
          <w:color w:val="auto"/>
        </w:rPr>
        <w:t>On April 15, 2016, ALLETE Clean Energy acquired the non-controlling interest in the limited liability company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its Condon wind energy facility for $8.0 million. This transaction was accounted for as an equity transaction, and no gain or loss was recognized in net income or other comprehensive income. As a result of the acquisition, the Condon wind energy facility is now a wholly-owned subsidiary of ALLETE Clean Energy.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WEST. </w:t>
      </w:r>
      <w:r>
        <w:rPr>
          <w:rFonts w:ascii="Arial" w:cs="Arial" w:eastAsia="Arial" w:hAnsi="Arial"/>
          <w:sz w:val="18"/>
          <w:szCs w:val="18"/>
          <w:color w:val="auto"/>
        </w:rPr>
        <w:t>On October 11, 2016, U.S. Water Services acquired 100 percent of Water &amp; Energy Systems Technology of Nevada, Inc. (WEST). Total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transaction was $6.5 million, subject to a cash and working capital adjustment. Consideration of $5.9 million was paid in cash on the acquisition date and a $0.6 million payment is due in April 2018. WEST, similar to U.S. Water Services, is an integrated water management company and was acquired to expand U.S. Water Services’ regional footprint in the Southwestern United States.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acquisition was accounted for as a business combination and the purchase price was allocated based on the preliminary estimated fair values of the assets acquired and the liabilities assumed at the date of acquisition, as shown in the table below. The allocation of the purchase price is subject to judgment and the preliminary estimated fair value of the assets acquired and the liabilities assumed may be adjusted when the valuation analysis is complete in subsequent periods. Preliminary estimates subject to adjustment in subsequent periods relate primarily to working capital; subsequent adjustments could impact the amount of goodwill recorded. Fair value measurements were valued primarily using the discounted cash flow method and replacement cost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109220</wp:posOffset>
            </wp:positionV>
            <wp:extent cx="7212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6"/>
                <w:szCs w:val="16"/>
                <w:i w:val="1"/>
                <w:iCs w:val="1"/>
                <w:color w:val="auto"/>
              </w:rPr>
              <w:t>(a)</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(b)</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r>
      <w:tr>
        <w:trPr>
          <w:trHeight w:val="237"/>
        </w:trPr>
        <w:tc>
          <w:tcPr>
            <w:tcW w:w="6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400" w:type="dxa"/>
            <w:vAlign w:val="bottom"/>
            <w:tcBorders>
              <w:top w:val="single" w:sz="8" w:color="auto"/>
            </w:tcBorders>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37"/>
        </w:trPr>
        <w:tc>
          <w:tcPr>
            <w:tcW w:w="69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Presented within Goodwill and Intangible Assets – Net on the Consolidated Balance Sheet. (See Note 7. Goodwill and Intangible Assets.)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no allocation to goodwill.</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were immaterial, expensed as incurred during 2016 and recorded in Operating and Maintenance on the Consolidated Statement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U.S. Water Services. </w:t>
      </w:r>
      <w:r>
        <w:rPr>
          <w:rFonts w:ascii="Arial" w:cs="Arial" w:eastAsia="Arial" w:hAnsi="Arial"/>
          <w:sz w:val="18"/>
          <w:szCs w:val="18"/>
          <w:color w:val="auto"/>
        </w:rPr>
        <w:t>In February 2015, ALLETE acquired U.S. Water Services. Total consideration for the transaction was $202.3 million, which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$166.6 million in cash and an estimated fair value of earnings-based contingent consideration of $35.7 million, as estimated at the date of acquisition, to be paid through 2019. The contingent consideration is presented within Other Non-Current Liabilities on the Consolidated Balance Sheet. The Consolidated Statement of Income reflects 100 percent of the results of operations for U.S. Water Services since the acquisition date as the Company has acquired 100 percent of U.S. Water Services.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702"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6"/>
                <w:szCs w:val="16"/>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6"/>
                <w:szCs w:val="16"/>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6"/>
                <w:szCs w:val="16"/>
                <w:i w:val="1"/>
                <w:iCs w:val="1"/>
                <w:color w:val="auto"/>
              </w:rPr>
              <w:t>(c)</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(d)</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122.9</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$253.1</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Inventories was $2.7 million of fair value adjustments relating to work in progress and finished goods inventories which were recognized as Cost of Sales within one year from the acquisition date.</w:t>
      </w:r>
    </w:p>
    <w:p>
      <w:pPr>
        <w:ind w:left="340" w:hanging="332"/>
        <w:spacing w:after="0" w:line="263" w:lineRule="auto"/>
        <w:tabs>
          <w:tab w:leader="none" w:pos="340" w:val="left"/>
        </w:tabs>
        <w:numPr>
          <w:ilvl w:val="0"/>
          <w:numId w:val="34"/>
        </w:numPr>
        <w:rPr>
          <w:rFonts w:ascii="Arial" w:cs="Arial" w:eastAsia="Arial" w:hAnsi="Arial"/>
          <w:sz w:val="15"/>
          <w:szCs w:val="15"/>
          <w:i w:val="1"/>
          <w:iCs w:val="1"/>
          <w:color w:val="auto"/>
        </w:rPr>
      </w:pPr>
      <w:r>
        <w:rPr>
          <w:rFonts w:ascii="Arial" w:cs="Arial" w:eastAsia="Arial" w:hAnsi="Arial"/>
          <w:sz w:val="15"/>
          <w:szCs w:val="15"/>
          <w:i w:val="1"/>
          <w:iCs w:val="1"/>
          <w:color w:val="auto"/>
        </w:rPr>
        <w:t>Included in Other Current Assets was $1.6 million relating to the fair value of sales backlog. Sales backlog was recognized as Cost of Sales within one year from the acquisition date. Also included in Other Current Assets was restricted cash of $2.1 million relating to cash pledged as collateral for standby letters of credit.</w:t>
      </w:r>
    </w:p>
    <w:p>
      <w:pPr>
        <w:ind w:left="340" w:hanging="332"/>
        <w:spacing w:after="0"/>
        <w:tabs>
          <w:tab w:leader="none" w:pos="340" w:val="left"/>
        </w:tabs>
        <w:numPr>
          <w:ilvl w:val="0"/>
          <w:numId w:val="34"/>
        </w:numPr>
        <w:rPr>
          <w:rFonts w:ascii="Arial" w:cs="Arial" w:eastAsia="Arial" w:hAnsi="Arial"/>
          <w:sz w:val="15"/>
          <w:szCs w:val="15"/>
          <w:i w:val="1"/>
          <w:iCs w:val="1"/>
          <w:color w:val="auto"/>
        </w:rPr>
      </w:pPr>
      <w:r>
        <w:rPr>
          <w:rFonts w:ascii="Arial" w:cs="Arial" w:eastAsia="Arial" w:hAnsi="Arial"/>
          <w:sz w:val="15"/>
          <w:szCs w:val="15"/>
          <w:i w:val="1"/>
          <w:iCs w:val="1"/>
          <w:color w:val="auto"/>
        </w:rPr>
        <w:t>Intangible Assets include customer relationships, patents, non-compete agreements, and trademarks and trade names. (See Note 7. Goodwill and Intangible Assets.)</w:t>
      </w:r>
    </w:p>
    <w:p>
      <w:pPr>
        <w:spacing w:after="0" w:line="16" w:lineRule="exact"/>
        <w:rPr>
          <w:rFonts w:ascii="Arial" w:cs="Arial" w:eastAsia="Arial" w:hAnsi="Arial"/>
          <w:sz w:val="15"/>
          <w:szCs w:val="15"/>
          <w:i w:val="1"/>
          <w:iCs w:val="1"/>
          <w:color w:val="auto"/>
        </w:rPr>
      </w:pP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$2.9 million of deductible goodwill.</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$3.0 million after-tax were expensed as incurred during 2015 and recorded in Operating and Maintenance on the Consolidated Statement of Income.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Chanarambie/Viking. </w:t>
      </w:r>
      <w:r>
        <w:rPr>
          <w:rFonts w:ascii="Arial" w:cs="Arial" w:eastAsia="Arial" w:hAnsi="Arial"/>
          <w:sz w:val="18"/>
          <w:szCs w:val="18"/>
          <w:color w:val="auto"/>
        </w:rPr>
        <w:t>In April 2015, ALLETE Clean Energy acquired 100 percent of wind energy facilities in southern Minnesota (Chanarambie/Viking)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EDF Renewable Energy, Inc. for $48.0 million.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facilities have 97.5 MW of generating capability and are located near ALLETE Clean Energy’s Lake Benton facility. The wind energy facilities began commercial operations in 2003 and have PSAs in place for their entire output, which expire in 2018 (12 MW) and 2023 (85.5 MW).</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702"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6"/>
                <w:szCs w:val="16"/>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top w:val="single" w:sz="8" w:color="auto"/>
            </w:tcBorders>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16"/>
                <w:szCs w:val="16"/>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Power Sales Agreements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$0.3 million of goodwill. For tax purposes, the purchase price allocation resulted in no allocation to goodwill.</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Current Liabilities included $5.9 million related to the current portion of PSAs.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$0.2 million after-tax were expensed as incurred during 2015 and recorded in Operating and Maintenance on the Consolidated Statement of Income.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Armenia Mountain. </w:t>
      </w:r>
      <w:r>
        <w:rPr>
          <w:rFonts w:ascii="Arial" w:cs="Arial" w:eastAsia="Arial" w:hAnsi="Arial"/>
          <w:sz w:val="18"/>
          <w:szCs w:val="18"/>
          <w:color w:val="auto"/>
        </w:rPr>
        <w:t>In July 2015, ALLETE Clean Energy acquired 100 percent of a wind energy facility located near Troy, Pennsylvania (Armenia Mountain)</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AES Corporation and a minority shareholder for $111.1 million, plus the assumption of existing debt.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facility has 100.5 MW of generating capability, began commercial operations in 2009, and has PSAs in place for its entire output, which expire in 2024.</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124460</wp:posOffset>
            </wp:positionV>
            <wp:extent cx="7212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Current Assets </w:t>
            </w:r>
            <w:r>
              <w:rPr>
                <w:rFonts w:ascii="Arial" w:cs="Arial" w:eastAsia="Arial" w:hAnsi="Arial"/>
                <w:sz w:val="16"/>
                <w:szCs w:val="16"/>
                <w:i w:val="1"/>
                <w:iCs w:val="1"/>
                <w:color w:val="auto"/>
              </w:rPr>
              <w:t>(a)</w:t>
            </w:r>
          </w:p>
        </w:tc>
        <w:tc>
          <w:tcPr>
            <w:tcW w:w="4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6"/>
                <w:szCs w:val="16"/>
                <w:i w:val="1"/>
                <w:iCs w:val="1"/>
                <w:color w:val="auto"/>
              </w:rPr>
              <w:t>(b)</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14.4</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w:t>
            </w:r>
          </w:p>
        </w:tc>
      </w:tr>
      <w:tr>
        <w:trPr>
          <w:trHeight w:val="237"/>
        </w:trPr>
        <w:tc>
          <w:tcPr>
            <w:tcW w:w="68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500" w:type="dxa"/>
            <w:vAlign w:val="bottom"/>
            <w:tcBorders>
              <w:top w:val="single" w:sz="8" w:color="auto"/>
            </w:tcBorders>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Long-Term Debt Due Within One Year</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7"/>
        </w:trPr>
        <w:tc>
          <w:tcPr>
            <w:tcW w:w="68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Assets was $1.0 million related to the current portion of PSAs and $6.0 million of restricted cash related to collateral deposits required under its loan agreement.</w:t>
      </w:r>
    </w:p>
    <w:p>
      <w:pPr>
        <w:spacing w:after="0" w:line="1" w:lineRule="exact"/>
        <w:rPr>
          <w:rFonts w:ascii="Arial" w:cs="Arial" w:eastAsia="Arial" w:hAnsi="Arial"/>
          <w:sz w:val="16"/>
          <w:szCs w:val="16"/>
          <w:i w:val="1"/>
          <w:iCs w:val="1"/>
          <w:color w:val="auto"/>
        </w:rPr>
      </w:pPr>
    </w:p>
    <w:p>
      <w:pPr>
        <w:ind w:left="340" w:right="20" w:hanging="332"/>
        <w:spacing w:after="0" w:line="290" w:lineRule="auto"/>
        <w:tabs>
          <w:tab w:leader="none" w:pos="340" w:val="left"/>
        </w:tabs>
        <w:numPr>
          <w:ilvl w:val="0"/>
          <w:numId w:val="36"/>
        </w:numPr>
        <w:rPr>
          <w:rFonts w:ascii="Arial" w:cs="Arial" w:eastAsia="Arial" w:hAnsi="Arial"/>
          <w:sz w:val="15"/>
          <w:szCs w:val="15"/>
          <w:i w:val="1"/>
          <w:iCs w:val="1"/>
          <w:color w:val="auto"/>
        </w:rPr>
      </w:pPr>
      <w:r>
        <w:rPr>
          <w:rFonts w:ascii="Arial" w:cs="Arial" w:eastAsia="Arial" w:hAnsi="Arial"/>
          <w:sz w:val="15"/>
          <w:szCs w:val="15"/>
          <w:i w:val="1"/>
          <w:iCs w:val="1"/>
          <w:color w:val="auto"/>
        </w:rPr>
        <w:t>Included in Other Non-Current Assets was $8.2 million related to the non-current portion of PSAs, $6.1 million of restricted cash related to collateral deposits required under its loan agreements and an immaterial amount of goodwill. For tax purposes, the purchase price allocation resulted in no allocation to goodwill.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702"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$1.6 million after-tax were expensed as incurred during 2015 and recorded in Operating and Maintenance on the Consolidated Statement of Income.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 and W Technologies. </w:t>
      </w:r>
      <w:r>
        <w:rPr>
          <w:rFonts w:ascii="Arial" w:cs="Arial" w:eastAsia="Arial" w:hAnsi="Arial"/>
          <w:sz w:val="16"/>
          <w:szCs w:val="16"/>
          <w:color w:val="auto"/>
        </w:rPr>
        <w:t>In November 2015, U.S. Water Services acquired 100 percent of A and W Technologies, Inc. (AWT). Total consideration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was $9.3 million, which included payment of $8.3 million in cash and a $1.0 million payment due in April 2017. AWT, similar to U.S. Water Services, is an integrated water management company and was acquired to expand U.S. Water Services’ regional footprint in the Southeastern United States.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124460</wp:posOffset>
            </wp:positionV>
            <wp:extent cx="7212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4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6"/>
                <w:szCs w:val="16"/>
                <w:i w:val="1"/>
                <w:iCs w:val="1"/>
                <w:color w:val="auto"/>
              </w:rPr>
              <w:t>(a)</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(b)</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37"/>
        </w:trPr>
        <w:tc>
          <w:tcPr>
            <w:tcW w:w="696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4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9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Intangible Assets include customer relationships and non-compete agreements. (See Note 7. Goodwill and Intangible Assets.)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$4.4 million of deductible goodwill.</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were immaterial, expensed as incurred during 2015 and recorded in Operating and Maintenance on the Consolidated Statement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Activity.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ACE Wind Acquisition. </w:t>
      </w:r>
      <w:r>
        <w:rPr>
          <w:rFonts w:ascii="Arial" w:cs="Arial" w:eastAsia="Arial" w:hAnsi="Arial"/>
          <w:sz w:val="18"/>
          <w:szCs w:val="18"/>
          <w:color w:val="auto"/>
        </w:rPr>
        <w:t>In 2014, ALLETE Clean Energy acquired wind energy facilities located in Lake Benton, Minnesota (Lake Benton), Storm Lake, Iowa</w:t>
      </w:r>
      <w:r>
        <w:rPr>
          <w:rFonts w:ascii="Arial" w:cs="Arial" w:eastAsia="Arial" w:hAnsi="Arial"/>
          <w:sz w:val="18"/>
          <w:szCs w:val="18"/>
          <w:i w:val="1"/>
          <w:iCs w:val="1"/>
          <w:color w:val="auto"/>
        </w:rPr>
        <w:t xml:space="preserve"> </w:t>
      </w:r>
      <w:r>
        <w:rPr>
          <w:rFonts w:ascii="Arial" w:cs="Arial" w:eastAsia="Arial" w:hAnsi="Arial"/>
          <w:sz w:val="18"/>
          <w:szCs w:val="18"/>
          <w:color w:val="auto"/>
        </w:rPr>
        <w:t>(Storm Lake II) and Condon, Oregon (Condon) from AES for $26.9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Lake Benton, Storm Lake II and Condon have 104 MW, 77 MW and 50 MW of generating capability, respectively. Lake Benton and Storm Lake II began commercial operations in 1998, while Condon began operations in 2002. All three wind energy facilities have PPAs in place for their entire output, which expire in various years between 2019 and 2032.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acquired a controlling interest in the limited liability company (LLC) which owns Lake Benton and Storm Lake II, and a controlling interest in the LLC that owns Condon. The acquisition was accounted for as a business combination and the purchase price was allocated based on the estimated fair values of the assets acquired and the liabilities assumed at the date of acquisition. Fair value measurements were valued primarily using the discounted cash flow method.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702"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Activity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134620</wp:posOffset>
            </wp:positionV>
            <wp:extent cx="71437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58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156.9</w:t>
            </w:r>
          </w:p>
        </w:tc>
      </w:tr>
      <w:tr>
        <w:trPr>
          <w:trHeight w:val="27"/>
        </w:trPr>
        <w:tc>
          <w:tcPr>
            <w:tcW w:w="758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75"/>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3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37"/>
        </w:trPr>
        <w:tc>
          <w:tcPr>
            <w:tcW w:w="75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3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$182.5</w:t>
            </w:r>
          </w:p>
        </w:tc>
      </w:tr>
      <w:tr>
        <w:trPr>
          <w:trHeight w:val="27"/>
        </w:trPr>
        <w:tc>
          <w:tcPr>
            <w:tcW w:w="75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6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18"/>
                <w:szCs w:val="18"/>
                <w:i w:val="1"/>
                <w:iCs w:val="1"/>
                <w:color w:val="auto"/>
              </w:rPr>
              <w:t>(b)</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758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Due Within One Year</w:t>
            </w:r>
          </w:p>
        </w:tc>
        <w:tc>
          <w:tcPr>
            <w:tcW w:w="3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758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Sales Agreements</w:t>
            </w:r>
          </w:p>
        </w:tc>
        <w:tc>
          <w:tcPr>
            <w:tcW w:w="3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758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75"/>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18"/>
                <w:szCs w:val="18"/>
                <w:i w:val="1"/>
                <w:iCs w:val="1"/>
                <w:color w:val="auto"/>
              </w:rPr>
              <w:t>(c)</w:t>
            </w:r>
          </w:p>
        </w:tc>
        <w:tc>
          <w:tcPr>
            <w:tcW w:w="3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37"/>
        </w:trPr>
        <w:tc>
          <w:tcPr>
            <w:tcW w:w="75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and Non-Controlling Interest Assumed</w:t>
            </w:r>
          </w:p>
        </w:tc>
        <w:tc>
          <w:tcPr>
            <w:tcW w:w="3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w:t>
            </w:r>
          </w:p>
        </w:tc>
      </w:tr>
      <w:tr>
        <w:trPr>
          <w:trHeight w:val="27"/>
        </w:trPr>
        <w:tc>
          <w:tcPr>
            <w:tcW w:w="75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3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0"/>
        </w:trPr>
        <w:tc>
          <w:tcPr>
            <w:tcW w:w="758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$0.3 million for the option to purchase Armenia Mountain, and goodwill of $2.9 million. For tax purposes, the purchase price allocation resulted in no allocation to goodwill.</w:t>
      </w:r>
    </w:p>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Current Liabilities included $12.4 million related to the current portion of PSAs.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The purchase price accounting valued the non-controlling interest related to Lake Benton, Storm Lake II and Condon at fair value using the discounted cash flow method.</w:t>
      </w: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$1.4 million after-tax were expensed as incurred during 2014 and recorded in Operating and Maintenance on the Consolidated Statement of Income.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2014, ALLETE Clean Energy purchased the non-controlling interest related to Lake Benton and Storm Lake II for $6.0 million. This was accounted for as an equity transaction, and no gain or loss was recognized in net income or other comprehensive income.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Storm Lake I Acquisition. </w:t>
      </w:r>
      <w:r>
        <w:rPr>
          <w:rFonts w:ascii="Arial" w:cs="Arial" w:eastAsia="Arial" w:hAnsi="Arial"/>
          <w:sz w:val="18"/>
          <w:szCs w:val="18"/>
          <w:color w:val="auto"/>
        </w:rPr>
        <w:t>In 2014, ALLETE Clean Energy acquired a wind energy facility in Storm Lake, Iowa (Storm Lake I) from NRG Energy, Inc. for</w:t>
      </w:r>
      <w:r>
        <w:rPr>
          <w:rFonts w:ascii="Arial" w:cs="Arial" w:eastAsia="Arial" w:hAnsi="Arial"/>
          <w:sz w:val="18"/>
          <w:szCs w:val="18"/>
          <w:i w:val="1"/>
          <w:iCs w:val="1"/>
          <w:color w:val="auto"/>
        </w:rPr>
        <w:t xml:space="preserve"> </w:t>
      </w:r>
      <w:r>
        <w:rPr>
          <w:rFonts w:ascii="Arial" w:cs="Arial" w:eastAsia="Arial" w:hAnsi="Arial"/>
          <w:sz w:val="18"/>
          <w:szCs w:val="18"/>
          <w:color w:val="auto"/>
        </w:rPr>
        <w:t>$15.1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Storm Lake I has 108 MW of generating capability and is located adjacent to Storm Lake II. The wind energy facility began commercial operations in 1999 and has a PPA in place for its entire output which expires in 2019.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02"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Activity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37"/>
        </w:trPr>
        <w:tc>
          <w:tcPr>
            <w:tcW w:w="694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69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4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18"/>
                <w:szCs w:val="18"/>
                <w:i w:val="1"/>
                <w:iCs w:val="1"/>
                <w:color w:val="auto"/>
              </w:rPr>
              <w:t>(b)</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Sales Agreements</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69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69"/>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37"/>
        </w:trPr>
        <w:tc>
          <w:tcPr>
            <w:tcW w:w="694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55" w:lineRule="auto"/>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$0.4 million of restricted cash and an immaterial amount of goodwill. For tax purposes, the purchase price allocation resulted in no allocation to goodwill.</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Current Liabilities included $7.5 million related to the current portion of PSAs.</w:t>
      </w:r>
    </w:p>
    <w:p>
      <w:pPr>
        <w:spacing w:after="0" w:line="2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Acquisition-related costs were immaterial, expensed as incurred during 2014 and recorded in Operating and Maintenance on the Consolidated Statement of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7. GOODWILL AND INTANGIBLE ASSETS</w:t>
            </w:r>
          </w:p>
        </w:tc>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w w:val="98"/>
              </w:rPr>
              <w:t>The following table summarizes changes to goodwill by reportable segment:</w:t>
            </w:r>
          </w:p>
        </w:tc>
        <w:tc>
          <w:tcPr>
            <w:tcW w:w="1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41"/>
        </w:trPr>
        <w:tc>
          <w:tcPr>
            <w:tcW w:w="5980" w:type="dxa"/>
            <w:vAlign w:val="bottom"/>
          </w:tcPr>
          <w:p>
            <w:pPr>
              <w:spacing w:after="0"/>
              <w:rPr>
                <w:sz w:val="24"/>
                <w:szCs w:val="24"/>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b w:val="1"/>
                <w:bCs w:val="1"/>
                <w:color w:val="auto"/>
              </w:rPr>
              <w:t>ALLETE Clean</w:t>
            </w: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b w:val="1"/>
                <w:bCs w:val="1"/>
                <w:color w:val="auto"/>
              </w:rPr>
              <w:t>Energy</w:t>
            </w:r>
          </w:p>
        </w:tc>
        <w:tc>
          <w:tcPr>
            <w:tcW w:w="2300" w:type="dxa"/>
            <w:vAlign w:val="bottom"/>
          </w:tcPr>
          <w:p>
            <w:pPr>
              <w:jc w:val="right"/>
              <w:ind w:right="550"/>
              <w:spacing w:after="0"/>
              <w:rPr>
                <w:sz w:val="20"/>
                <w:szCs w:val="20"/>
                <w:color w:val="auto"/>
              </w:rPr>
            </w:pPr>
            <w:r>
              <w:rPr>
                <w:rFonts w:ascii="Arial" w:cs="Arial" w:eastAsia="Arial" w:hAnsi="Arial"/>
                <w:sz w:val="18"/>
                <w:szCs w:val="18"/>
                <w:b w:val="1"/>
                <w:bCs w:val="1"/>
                <w:color w:val="auto"/>
                <w:w w:val="96"/>
              </w:rPr>
              <w:t>U.S. Water Services</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5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23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 xml:space="preserve">Acquired Goodwill </w:t>
            </w:r>
            <w:r>
              <w:rPr>
                <w:rFonts w:ascii="Arial" w:cs="Arial" w:eastAsia="Arial" w:hAnsi="Arial"/>
                <w:sz w:val="16"/>
                <w:szCs w:val="16"/>
                <w:i w:val="1"/>
                <w:iCs w:val="1"/>
                <w:color w:val="auto"/>
              </w:rPr>
              <w:t>(a)</w:t>
            </w:r>
          </w:p>
        </w:tc>
        <w:tc>
          <w:tcPr>
            <w:tcW w:w="188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2300" w:type="dxa"/>
            <w:vAlign w:val="bottom"/>
          </w:tcPr>
          <w:p>
            <w:pPr>
              <w:jc w:val="right"/>
              <w:ind w:right="550"/>
              <w:spacing w:after="0"/>
              <w:rPr>
                <w:sz w:val="20"/>
                <w:szCs w:val="20"/>
                <w:color w:val="auto"/>
              </w:rPr>
            </w:pPr>
            <w:r>
              <w:rPr>
                <w:rFonts w:ascii="Arial" w:cs="Arial" w:eastAsia="Arial" w:hAnsi="Arial"/>
                <w:sz w:val="18"/>
                <w:szCs w:val="18"/>
                <w:color w:val="auto"/>
              </w:rPr>
              <w:t>$127.3</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127.7</w:t>
            </w:r>
          </w:p>
        </w:tc>
      </w:tr>
      <w:tr>
        <w:trPr>
          <w:trHeight w:val="27"/>
        </w:trPr>
        <w:tc>
          <w:tcPr>
            <w:tcW w:w="5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23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127.3</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 xml:space="preserve">Acquired Goodwill </w:t>
            </w:r>
            <w:r>
              <w:rPr>
                <w:rFonts w:ascii="Arial" w:cs="Arial" w:eastAsia="Arial" w:hAnsi="Arial"/>
                <w:sz w:val="16"/>
                <w:szCs w:val="16"/>
                <w:i w:val="1"/>
                <w:iCs w:val="1"/>
                <w:color w:val="auto"/>
              </w:rPr>
              <w:t>(a)</w:t>
            </w:r>
          </w:p>
        </w:tc>
        <w:tc>
          <w:tcPr>
            <w:tcW w:w="18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550"/>
              <w:spacing w:after="0"/>
              <w:rPr>
                <w:sz w:val="20"/>
                <w:szCs w:val="20"/>
                <w:color w:val="auto"/>
              </w:rPr>
            </w:pPr>
            <w:r>
              <w:rPr>
                <w:rFonts w:ascii="Arial" w:cs="Arial" w:eastAsia="Arial" w:hAnsi="Arial"/>
                <w:sz w:val="18"/>
                <w:szCs w:val="18"/>
                <w:color w:val="auto"/>
              </w:rPr>
              <w:t>3.9</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5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Impairment Charge </w:t>
            </w:r>
            <w:r>
              <w:rPr>
                <w:rFonts w:ascii="Arial" w:cs="Arial" w:eastAsia="Arial" w:hAnsi="Arial"/>
                <w:sz w:val="16"/>
                <w:szCs w:val="16"/>
                <w:i w:val="1"/>
                <w:iCs w:val="1"/>
                <w:color w:val="auto"/>
              </w:rPr>
              <w:t>(b)</w:t>
            </w:r>
          </w:p>
        </w:tc>
        <w:tc>
          <w:tcPr>
            <w:tcW w:w="1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23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5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2016</w:t>
            </w:r>
          </w:p>
        </w:tc>
        <w:tc>
          <w:tcPr>
            <w:tcW w:w="1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3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$131.2</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See Note 6. Acquisitions.</w:t>
      </w:r>
    </w:p>
    <w:p>
      <w:pPr>
        <w:spacing w:after="0" w:line="19"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The facts and circumstances that led to an impairment of ALLETE Clean Energy’s goodwill primarily relate to lower estimated energy prices in periods not under PSAs. Impairment Charge is included in Operating Expenses – Other on the Consolidated Statement of Income. (See Note 1. Operations and Significant Accounting Policies.) ALLETE Clean Energy’s goodwill was primarily related to the acquisition of Storm Lake II in January 2014.</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702"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NOTE 7. GOODWILL AND INTANGIBLE ASSETS (Continued)</w:t>
            </w: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260" w:type="dxa"/>
            <w:vAlign w:val="bottom"/>
            <w:gridSpan w:val="3"/>
          </w:tcPr>
          <w:p>
            <w:pPr>
              <w:spacing w:after="0"/>
              <w:rPr>
                <w:sz w:val="20"/>
                <w:szCs w:val="20"/>
                <w:color w:val="auto"/>
              </w:rPr>
            </w:pPr>
            <w:r>
              <w:rPr>
                <w:rFonts w:ascii="Arial" w:cs="Arial" w:eastAsia="Arial" w:hAnsi="Arial"/>
                <w:sz w:val="18"/>
                <w:szCs w:val="18"/>
                <w:color w:val="auto"/>
                <w:w w:val="97"/>
              </w:rPr>
              <w:t>The following table summarizes changes to intangible assets, net, for the year ended December 31, 2016:</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1"/>
        </w:trPr>
        <w:tc>
          <w:tcPr>
            <w:tcW w:w="522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22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600" w:type="dxa"/>
            <w:vAlign w:val="bottom"/>
          </w:tcPr>
          <w:p>
            <w:pPr>
              <w:jc w:val="right"/>
              <w:ind w:right="270"/>
              <w:spacing w:after="0"/>
              <w:rPr>
                <w:sz w:val="20"/>
                <w:szCs w:val="20"/>
                <w:color w:val="auto"/>
              </w:rPr>
            </w:pPr>
            <w:r>
              <w:rPr>
                <w:rFonts w:ascii="Arial" w:cs="Arial" w:eastAsia="Arial" w:hAnsi="Arial"/>
                <w:sz w:val="18"/>
                <w:szCs w:val="18"/>
                <w:b w:val="1"/>
                <w:bCs w:val="1"/>
                <w:color w:val="auto"/>
              </w:rPr>
              <w:t xml:space="preserve">Additions </w:t>
            </w:r>
            <w:r>
              <w:rPr>
                <w:rFonts w:ascii="Arial" w:cs="Arial" w:eastAsia="Arial" w:hAnsi="Arial"/>
                <w:sz w:val="16"/>
                <w:szCs w:val="16"/>
                <w:i w:val="1"/>
                <w:iCs w:val="1"/>
                <w:color w:val="auto"/>
              </w:rPr>
              <w:t>(a)</w:t>
            </w: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Amortization</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Definite-Lived Intangible Assets</w:t>
            </w:r>
          </w:p>
        </w:tc>
        <w:tc>
          <w:tcPr>
            <w:tcW w:w="1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$60.8</w:t>
            </w: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(b)</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7.2</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5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68.0</w:t>
            </w: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Indefinite-Lived Intangible Assets</w:t>
            </w:r>
          </w:p>
        </w:tc>
        <w:tc>
          <w:tcPr>
            <w:tcW w:w="1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16.6</w:t>
            </w: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5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 Assets</w:t>
            </w:r>
          </w:p>
        </w:tc>
        <w:tc>
          <w:tcPr>
            <w:tcW w:w="1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$84.6</w:t>
            </w:r>
          </w:p>
        </w:tc>
        <w:tc>
          <w:tcPr>
            <w:tcW w:w="1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$2.8</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$(5.2)</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Additions resulting from the October 11, 2016, acquisition of WEST. (See Note 6. Acquisitions.)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Developed Technology and Other includes patents, non-compete agreements and land easements.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remaining useful life of approximately 21 years, and developed technology and other have remaining useful lives ranging from approximately 2 years to approximately 12 years (weighted average of approximately 8 years). The weighted average remaining useful life of all definite-lived intangible assets as of December 31, 2016, is approximately 20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of intangible assets for the year ended December 31, 2016, was $5.2 million ($4.0 million in 2015; $0.1 million in 2014). Accumulated amortization was $9.3 million and $4.1 million as of December 31, 2016, and December 31, 2015, respectively. Estimated amortization expense for definite-lived intangible assets is $5.5 million in 2017, $5.1 million in 2018, $4.8 million in 2019, $4.5 million in 2020, $4.4 million in 2021 and $41.3 million thereafter.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As of December 31, 2016, the investment portfolio included the legacy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in other postretirement plans to fund employee benefits, the cash equivalents within these plans and other assets consisting primarily of land in Minnesota.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5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9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ALLETE Properties </w:t>
            </w:r>
            <w:r>
              <w:rPr>
                <w:rFonts w:ascii="Arial" w:cs="Arial" w:eastAsia="Arial" w:hAnsi="Arial"/>
                <w:sz w:val="16"/>
                <w:szCs w:val="16"/>
                <w:i w:val="1"/>
                <w:iCs w:val="1"/>
                <w:color w:val="auto"/>
              </w:rPr>
              <w:t>(a)</w:t>
            </w:r>
          </w:p>
        </w:tc>
        <w:tc>
          <w:tcPr>
            <w:tcW w:w="45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$31.7</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6"/>
                <w:szCs w:val="16"/>
                <w:i w:val="1"/>
                <w:iCs w:val="1"/>
                <w:color w:val="auto"/>
              </w:rPr>
              <w:t>(b)</w:t>
            </w:r>
          </w:p>
        </w:tc>
        <w:tc>
          <w:tcPr>
            <w:tcW w:w="4500" w:type="dxa"/>
            <w:vAlign w:val="bottom"/>
          </w:tcPr>
          <w:p>
            <w:pPr>
              <w:jc w:val="right"/>
              <w:ind w:right="390"/>
              <w:spacing w:after="0"/>
              <w:rPr>
                <w:sz w:val="20"/>
                <w:szCs w:val="20"/>
                <w:color w:val="auto"/>
              </w:rPr>
            </w:pPr>
            <w:r>
              <w:rPr>
                <w:rFonts w:ascii="Arial" w:cs="Arial" w:eastAsia="Arial" w:hAnsi="Arial"/>
                <w:sz w:val="18"/>
                <w:szCs w:val="18"/>
                <w:color w:val="auto"/>
              </w:rPr>
              <w:t>18.8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59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5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Other</w:t>
            </w:r>
          </w:p>
        </w:tc>
        <w:tc>
          <w:tcPr>
            <w:tcW w:w="4500" w:type="dxa"/>
            <w:vAlign w:val="bottom"/>
          </w:tcPr>
          <w:p>
            <w:pPr>
              <w:jc w:val="right"/>
              <w:ind w:right="390"/>
              <w:spacing w:after="0"/>
              <w:rPr>
                <w:sz w:val="20"/>
                <w:szCs w:val="20"/>
                <w:color w:val="auto"/>
              </w:rPr>
            </w:pPr>
            <w:r>
              <w:rPr>
                <w:rFonts w:ascii="Arial" w:cs="Arial" w:eastAsia="Arial" w:hAnsi="Arial"/>
                <w:sz w:val="18"/>
                <w:szCs w:val="18"/>
                <w:color w:val="auto"/>
              </w:rPr>
              <w:t>3.8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59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5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$55.6</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0"/>
        </w:trPr>
        <w:tc>
          <w:tcPr>
            <w:tcW w:w="5940" w:type="dxa"/>
            <w:vAlign w:val="bottom"/>
            <w:shd w:val="clear" w:color="auto" w:fill="000000"/>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jc w:val="both"/>
        <w:ind w:left="340" w:hanging="332"/>
        <w:spacing w:after="0" w:line="247"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On September 22, 2016, ALLETE Properties sold its Ormond Crossings project and Lake Swamp wetland mitigation bank for consideration of approximately $21 million. The consideration included a down payment in the form of 0.1 million shares of ALLETE common stock with a value of $8.0 million, with the remaining purchase price to be paid under the terms of a finance receivable due over a five-year period which bears interest at market rates. The finance receivable is collateralized by the property sold.</w:t>
      </w:r>
    </w:p>
    <w:p>
      <w:pPr>
        <w:spacing w:after="0" w:line="3" w:lineRule="exact"/>
        <w:rPr>
          <w:rFonts w:ascii="Arial" w:cs="Arial" w:eastAsia="Arial" w:hAnsi="Arial"/>
          <w:sz w:val="16"/>
          <w:szCs w:val="16"/>
          <w:i w:val="1"/>
          <w:iCs w:val="1"/>
          <w:color w:val="auto"/>
        </w:rPr>
      </w:pPr>
    </w:p>
    <w:p>
      <w:pPr>
        <w:ind w:left="340" w:hanging="332"/>
        <w:spacing w:after="0" w:line="290" w:lineRule="auto"/>
        <w:tabs>
          <w:tab w:leader="none" w:pos="340" w:val="left"/>
        </w:tabs>
        <w:numPr>
          <w:ilvl w:val="0"/>
          <w:numId w:val="42"/>
        </w:numPr>
        <w:rPr>
          <w:rFonts w:ascii="Arial" w:cs="Arial" w:eastAsia="Arial" w:hAnsi="Arial"/>
          <w:sz w:val="15"/>
          <w:szCs w:val="15"/>
          <w:i w:val="1"/>
          <w:iCs w:val="1"/>
          <w:color w:val="auto"/>
        </w:rPr>
      </w:pPr>
      <w:r>
        <w:rPr>
          <w:rFonts w:ascii="Arial" w:cs="Arial" w:eastAsia="Arial" w:hAnsi="Arial"/>
          <w:sz w:val="15"/>
          <w:szCs w:val="15"/>
          <w:i w:val="1"/>
          <w:iCs w:val="1"/>
          <w:color w:val="auto"/>
        </w:rPr>
        <w:t>As of December 31, 2016, the aggregate amount of available-for-sale corporate and governmental debt securities maturing in one year or less was $0.2 million, in one year to less than three years was $3.2 million, in three years to less than five years was $5.0 million, and in five or more years was $3.3 million.</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estimated fair value. Land values are reviewed for indicators of impairment on a quarterly basis and no impairment was recorded in 2016 ($36.3 million in 2015; none in 2014). (See Note 1. Operations and Significant Accounting Policies.)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02"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8. INVESTMENTS (Continued)</w:t>
      </w:r>
    </w:p>
    <w:p>
      <w:pPr>
        <w:spacing w:after="0" w:line="2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Available-for-Sale Investments. </w:t>
      </w:r>
      <w:r>
        <w:rPr>
          <w:rFonts w:ascii="Arial" w:cs="Arial" w:eastAsia="Arial" w:hAnsi="Arial"/>
          <w:sz w:val="17"/>
          <w:szCs w:val="17"/>
          <w:color w:val="auto"/>
        </w:rPr>
        <w:t>We account for our available-for-sale portfolio in accordance with the guidance for certain investments in debt and equity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Our available-for-sale securities portfolio consisted primarily of securities held in other postretirement plans to fund employee benefits.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and unrealized gains and losses on our available-for-sale investments were immaterial in 2016, 2015 and 2014.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equity securities.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and fixed income securities.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includes the U.S. Water Services contingent consideration liability.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December 31, 2016 and December 31, 2015.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702"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NOTE 9. FAIR VALUE (Continued)</w:t>
            </w:r>
          </w:p>
        </w:tc>
        <w:tc>
          <w:tcPr>
            <w:tcW w:w="2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59"/>
        </w:trPr>
        <w:tc>
          <w:tcPr>
            <w:tcW w:w="6180" w:type="dxa"/>
            <w:vAlign w:val="bottom"/>
          </w:tcPr>
          <w:p>
            <w:pPr>
              <w:spacing w:after="0"/>
              <w:rPr>
                <w:sz w:val="24"/>
                <w:szCs w:val="24"/>
                <w:color w:val="auto"/>
              </w:rPr>
            </w:pPr>
          </w:p>
        </w:tc>
        <w:tc>
          <w:tcPr>
            <w:tcW w:w="45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Fair Value as of December 31, 2016</w:t>
            </w:r>
          </w:p>
        </w:tc>
        <w:tc>
          <w:tcPr>
            <w:tcW w:w="700" w:type="dxa"/>
            <w:vAlign w:val="bottom"/>
          </w:tcPr>
          <w:p>
            <w:pPr>
              <w:spacing w:after="0"/>
              <w:rPr>
                <w:sz w:val="24"/>
                <w:szCs w:val="24"/>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04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3</w:t>
            </w: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$7.1</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2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$11.7</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6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0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$8.4</w:t>
            </w:r>
          </w:p>
        </w:tc>
        <w:tc>
          <w:tcPr>
            <w:tcW w:w="11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$11.7</w:t>
            </w:r>
          </w:p>
        </w:tc>
        <w:tc>
          <w:tcPr>
            <w:tcW w:w="13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6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91"/>
        </w:trPr>
        <w:tc>
          <w:tcPr>
            <w:tcW w:w="61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2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$16.0</w:t>
            </w:r>
          </w:p>
        </w:tc>
        <w:tc>
          <w:tcPr>
            <w:tcW w:w="13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$25.0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6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$16.0</w:t>
            </w:r>
          </w:p>
        </w:tc>
        <w:tc>
          <w:tcPr>
            <w:tcW w:w="13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$25.0</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0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$8.4</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$(4.3)</w:t>
            </w:r>
          </w:p>
        </w:tc>
        <w:tc>
          <w:tcPr>
            <w:tcW w:w="13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$(25.0)</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52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Fair Value as of December 31, 2015</w:t>
            </w:r>
          </w:p>
        </w:tc>
        <w:tc>
          <w:tcPr>
            <w:tcW w:w="700" w:type="dxa"/>
            <w:vAlign w:val="bottom"/>
          </w:tcPr>
          <w:p>
            <w:pPr>
              <w:spacing w:after="0"/>
              <w:rPr>
                <w:sz w:val="20"/>
                <w:szCs w:val="20"/>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4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3</w:t>
            </w: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7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$7.6</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7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$10.9</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5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$9.6</w:t>
            </w:r>
          </w:p>
        </w:tc>
        <w:tc>
          <w:tcPr>
            <w:tcW w:w="11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$10.9</w:t>
            </w:r>
          </w:p>
        </w:tc>
        <w:tc>
          <w:tcPr>
            <w:tcW w:w="13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54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91"/>
        </w:trPr>
        <w:tc>
          <w:tcPr>
            <w:tcW w:w="54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27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$16.1</w:t>
            </w:r>
          </w:p>
        </w:tc>
        <w:tc>
          <w:tcPr>
            <w:tcW w:w="13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7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$36.6</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36.6</w:t>
            </w:r>
          </w:p>
        </w:tc>
      </w:tr>
      <w:tr>
        <w:trPr>
          <w:trHeight w:val="27"/>
        </w:trPr>
        <w:tc>
          <w:tcPr>
            <w:tcW w:w="54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$16.1</w:t>
            </w:r>
          </w:p>
        </w:tc>
        <w:tc>
          <w:tcPr>
            <w:tcW w:w="13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$36.6</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$9.6</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$(5.2)</w:t>
            </w:r>
          </w:p>
        </w:tc>
        <w:tc>
          <w:tcPr>
            <w:tcW w:w="13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$(36.6)</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table provides a reconciliation of the beginning and ending balances of the U.S. Water Services Contingent Consideration measured at fair value using Level 3 measurements as of December 31, 2016, and December 31, 2015. The acquisition contingent consideration was recorded at the acquisition date at its estimated fair value. The acquisition date fair value was measured based on the consideration expected to be transferred, discounted to present value. The discount rate was determined at the time of measurement in accordance with generally accepted valuation methods. The fair value of the acquisition contingent consideration is remeasured to arrive at estimated fair value each reporting period with the change in fair value recognized as income or expense in the Consolidated Statement of Income. Changes to the fair value of the acquisition contingent consideration can result from changes in discount rates, timing of milestones that trigger payments, and the timing and amount of earnings estimates. Using different valuation assumptions, including earnings projections or discount rates, may result in different fair value measurements and expense (or income) in future periods. Management analyzes the fair value of the contingent liability on a quarterly basis and makes adjustments as appropriate.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702"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9. FAIR VALUE (Continued)</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fourth quarter of 2016, management assessed earnings estimates used in calculating the fair value of the U.S. Water Services contingent consideration liability and determined an adjustment was necessary to the liability’s carrying amount based on its assessment. As a result, we recorded a reduction of $13.6 million to the liability’s carrying amount which resulted in an after-tax gain of the same amount presented within Operating Expenses – Other in the Consolidated Statement of Income. The acquisition contingent consideration was measured at $25.0 million as of December 31, 2016.</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Recurring Fair Value Measures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Activity in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3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Recognition of U.S. Water Services Contingent Consideration</w:t>
            </w:r>
          </w:p>
        </w:tc>
        <w:tc>
          <w:tcPr>
            <w:tcW w:w="3500" w:type="dxa"/>
            <w:vAlign w:val="bottom"/>
          </w:tcPr>
          <w:p>
            <w:pPr>
              <w:jc w:val="right"/>
              <w:ind w:right="30"/>
              <w:spacing w:after="0"/>
              <w:rPr>
                <w:sz w:val="20"/>
                <w:szCs w:val="20"/>
                <w:color w:val="auto"/>
              </w:rPr>
            </w:pPr>
            <w:r>
              <w:rPr>
                <w:rFonts w:ascii="Arial" w:cs="Arial" w:eastAsia="Arial" w:hAnsi="Arial"/>
                <w:sz w:val="18"/>
                <w:szCs w:val="18"/>
                <w:color w:val="auto"/>
              </w:rPr>
              <w:t>$35.7</w:t>
            </w:r>
          </w:p>
        </w:tc>
      </w:tr>
      <w:tr>
        <w:trPr>
          <w:trHeight w:val="27"/>
        </w:trPr>
        <w:tc>
          <w:tcPr>
            <w:tcW w:w="4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Accretion </w:t>
            </w:r>
            <w:r>
              <w:rPr>
                <w:rFonts w:ascii="Arial" w:cs="Arial" w:eastAsia="Arial" w:hAnsi="Arial"/>
                <w:sz w:val="16"/>
                <w:szCs w:val="16"/>
                <w:i w:val="1"/>
                <w:iCs w:val="1"/>
                <w:color w:val="auto"/>
              </w:rPr>
              <w:t>(a)</w:t>
            </w:r>
          </w:p>
        </w:tc>
        <w:tc>
          <w:tcPr>
            <w:tcW w:w="3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43"/>
        </w:trPr>
        <w:tc>
          <w:tcPr>
            <w:tcW w:w="4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Payments</w:t>
            </w:r>
          </w:p>
        </w:tc>
        <w:tc>
          <w:tcPr>
            <w:tcW w:w="35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Cash Flow Projections</w:t>
            </w:r>
          </w:p>
        </w:tc>
        <w:tc>
          <w:tcPr>
            <w:tcW w:w="3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40" w:type="dxa"/>
            <w:vAlign w:val="bottom"/>
          </w:tcPr>
          <w:p>
            <w:pPr>
              <w:spacing w:after="0"/>
              <w:rPr>
                <w:sz w:val="20"/>
                <w:szCs w:val="20"/>
                <w:color w:val="auto"/>
              </w:rPr>
            </w:pPr>
          </w:p>
        </w:tc>
        <w:tc>
          <w:tcPr>
            <w:tcW w:w="7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as of December 31, 2015</w:t>
            </w:r>
          </w:p>
        </w:tc>
        <w:tc>
          <w:tcPr>
            <w:tcW w:w="3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$36.6</w:t>
            </w:r>
          </w:p>
        </w:tc>
      </w:tr>
      <w:tr>
        <w:trPr>
          <w:trHeight w:val="27"/>
        </w:trPr>
        <w:tc>
          <w:tcPr>
            <w:tcW w:w="4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Accretion </w:t>
            </w:r>
            <w:r>
              <w:rPr>
                <w:rFonts w:ascii="Arial" w:cs="Arial" w:eastAsia="Arial" w:hAnsi="Arial"/>
                <w:sz w:val="16"/>
                <w:szCs w:val="16"/>
                <w:i w:val="1"/>
                <w:iCs w:val="1"/>
                <w:color w:val="auto"/>
              </w:rPr>
              <w:t>(a)</w:t>
            </w:r>
          </w:p>
        </w:tc>
        <w:tc>
          <w:tcPr>
            <w:tcW w:w="3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43"/>
        </w:trPr>
        <w:tc>
          <w:tcPr>
            <w:tcW w:w="4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Payments</w:t>
            </w:r>
          </w:p>
        </w:tc>
        <w:tc>
          <w:tcPr>
            <w:tcW w:w="35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Cash Flow Projections</w:t>
            </w:r>
          </w:p>
        </w:tc>
        <w:tc>
          <w:tcPr>
            <w:tcW w:w="3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40" w:type="dxa"/>
            <w:vAlign w:val="bottom"/>
          </w:tcPr>
          <w:p>
            <w:pPr>
              <w:spacing w:after="0"/>
              <w:rPr>
                <w:sz w:val="20"/>
                <w:szCs w:val="20"/>
                <w:color w:val="auto"/>
              </w:rPr>
            </w:pPr>
          </w:p>
        </w:tc>
        <w:tc>
          <w:tcPr>
            <w:tcW w:w="7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as of December 31, 2016</w:t>
            </w:r>
          </w:p>
        </w:tc>
        <w:tc>
          <w:tcPr>
            <w:tcW w:w="3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w:t>
            </w:r>
          </w:p>
        </w:tc>
      </w:tr>
      <w:tr>
        <w:trPr>
          <w:trHeight w:val="27"/>
        </w:trPr>
        <w:tc>
          <w:tcPr>
            <w:tcW w:w="7900" w:type="dxa"/>
            <w:vAlign w:val="bottom"/>
            <w:gridSpan w:val="2"/>
          </w:tcPr>
          <w:p>
            <w:pPr>
              <w:spacing w:after="0"/>
              <w:rPr>
                <w:sz w:val="2"/>
                <w:szCs w:val="2"/>
                <w:color w:val="auto"/>
              </w:rPr>
            </w:pPr>
          </w:p>
        </w:tc>
        <w:tc>
          <w:tcPr>
            <w:tcW w:w="3500" w:type="dxa"/>
            <w:vAlign w:val="bottom"/>
          </w:tcPr>
          <w:p>
            <w:pPr>
              <w:spacing w:after="0"/>
              <w:rPr>
                <w:sz w:val="2"/>
                <w:szCs w:val="2"/>
                <w:color w:val="auto"/>
              </w:rPr>
            </w:pPr>
          </w:p>
        </w:tc>
      </w:tr>
      <w:tr>
        <w:trPr>
          <w:trHeight w:val="200"/>
        </w:trPr>
        <w:tc>
          <w:tcPr>
            <w:tcW w:w="40" w:type="dxa"/>
            <w:vAlign w:val="bottom"/>
          </w:tcPr>
          <w:p>
            <w:pPr>
              <w:spacing w:after="0"/>
              <w:rPr>
                <w:sz w:val="17"/>
                <w:szCs w:val="17"/>
                <w:color w:val="auto"/>
              </w:rPr>
            </w:pPr>
          </w:p>
        </w:tc>
        <w:tc>
          <w:tcPr>
            <w:tcW w:w="78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Included in Interest Expense on the Consolidated Statement of Income.</w:t>
            </w:r>
          </w:p>
        </w:tc>
        <w:tc>
          <w:tcPr>
            <w:tcW w:w="350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recognize transfers in and transfers out of Levels as of the actual date of the event or change in circumstances that caused the transfer. For the years ended December 31, 2016 and 2015, there were no transfers in or out of Levels 1, 2 or 3.</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80" w:type="dxa"/>
            <w:vAlign w:val="bottom"/>
          </w:tcPr>
          <w:p>
            <w:pPr>
              <w:jc w:val="center"/>
              <w:ind w:left="850"/>
              <w:spacing w:after="0"/>
              <w:rPr>
                <w:sz w:val="20"/>
                <w:szCs w:val="20"/>
                <w:color w:val="auto"/>
              </w:rPr>
            </w:pPr>
            <w:r>
              <w:rPr>
                <w:rFonts w:ascii="Arial" w:cs="Arial" w:eastAsia="Arial" w:hAnsi="Arial"/>
                <w:sz w:val="18"/>
                <w:szCs w:val="18"/>
                <w:b w:val="1"/>
                <w:bCs w:val="1"/>
                <w:color w:val="auto"/>
                <w:w w:val="93"/>
              </w:rPr>
              <w:t>Carrying Amount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3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December 31, 2016</w:t>
            </w:r>
          </w:p>
        </w:tc>
        <w:tc>
          <w:tcPr>
            <w:tcW w:w="3280" w:type="dxa"/>
            <w:vAlign w:val="bottom"/>
          </w:tcPr>
          <w:p>
            <w:pPr>
              <w:jc w:val="center"/>
              <w:ind w:left="850"/>
              <w:spacing w:after="0"/>
              <w:rPr>
                <w:sz w:val="20"/>
                <w:szCs w:val="20"/>
                <w:color w:val="auto"/>
              </w:rPr>
            </w:pPr>
            <w:r>
              <w:rPr>
                <w:rFonts w:ascii="Arial" w:cs="Arial" w:eastAsia="Arial" w:hAnsi="Arial"/>
                <w:sz w:val="18"/>
                <w:szCs w:val="18"/>
                <w:color w:val="auto"/>
                <w:w w:val="88"/>
              </w:rPr>
              <w:t>$1,569.1</w:t>
            </w: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88"/>
              </w:rPr>
              <w:t>$1,653.8</w:t>
            </w:r>
          </w:p>
        </w:tc>
      </w:tr>
      <w:tr>
        <w:trPr>
          <w:trHeight w:val="27"/>
        </w:trPr>
        <w:tc>
          <w:tcPr>
            <w:tcW w:w="6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2015</w:t>
            </w:r>
          </w:p>
        </w:tc>
        <w:tc>
          <w:tcPr>
            <w:tcW w:w="3280" w:type="dxa"/>
            <w:vAlign w:val="bottom"/>
            <w:tcBorders>
              <w:bottom w:val="single" w:sz="8" w:color="CCEEFF"/>
            </w:tcBorders>
            <w:shd w:val="clear" w:color="auto" w:fill="CCEEFF"/>
          </w:tcPr>
          <w:p>
            <w:pPr>
              <w:jc w:val="center"/>
              <w:ind w:left="850"/>
              <w:spacing w:after="0"/>
              <w:rPr>
                <w:sz w:val="20"/>
                <w:szCs w:val="20"/>
                <w:color w:val="auto"/>
              </w:rPr>
            </w:pPr>
            <w:r>
              <w:rPr>
                <w:rFonts w:ascii="Arial" w:cs="Arial" w:eastAsia="Arial" w:hAnsi="Arial"/>
                <w:sz w:val="18"/>
                <w:szCs w:val="18"/>
                <w:color w:val="auto"/>
                <w:w w:val="88"/>
              </w:rPr>
              <w:t>$1,605.0</w:t>
            </w:r>
          </w:p>
        </w:tc>
        <w:tc>
          <w:tcPr>
            <w:tcW w:w="18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8"/>
              </w:rPr>
              <w:t>$1,676.0</w:t>
            </w:r>
          </w:p>
        </w:tc>
      </w:tr>
      <w:tr>
        <w:trPr>
          <w:trHeight w:val="20"/>
        </w:trPr>
        <w:tc>
          <w:tcPr>
            <w:tcW w:w="630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Equity Method Investment. </w:t>
      </w:r>
      <w:r>
        <w:rPr>
          <w:rFonts w:ascii="Arial" w:cs="Arial" w:eastAsia="Arial" w:hAnsi="Arial"/>
          <w:sz w:val="17"/>
          <w:szCs w:val="17"/>
          <w:color w:val="auto"/>
        </w:rPr>
        <w:t>Our wholly-owned subsidiary, ALLETE Transmission Holdings, owns approximately 8 percent of ATC. (See Note 5.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in ATC.) The aggregate carrying amount of the investment was $135.6 million as of December 31, 2016 ($124.5 million as of December 31, 2015). The Company assesses our investment in ATC for impairment whenever events or changes in circumstances indicate that the carrying amount of our investment in ATC may not be recoverable. For the years ended December 31, 2016 and 2015, there were no indicators of impairment.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Company assesses the impairment of goodwill annually in the fourth quarter and whenever an event occurs or circumstances change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indicate that the carrying amount may be impaired. Substantially all of the Company’s goodwill is a result of the U.S. Water Services acquisition in February 2015. (See Note 6. Acquisitions.) The aggregate carrying amount of goodwill was $131.2 million as of December 31, 2016 and $130.6 million as of December 31,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702"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9. FAIR VALUE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 (Continued)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The Company calculates the excess of each reporting unit's fair value over its carrying amount, including goodwill, utilizing a discounted cash flow analysis. Our annual impairment analysis for ALLETE Clean Energy indicated the carrying amount of ALLETE Clean Energy’s goodwill may be impaired, and additional analysis was performed to measure the impact of the goodwill impairment loss. It was determined that the implied fair value of ALLETE Clean Energy’s goodwill was less than the carrying amount, resulting in an impairment charge of $3.3 million for the year ended December 31, 2016, which represented the entire carrying amount of goodwill for ALLETE Clean Energy. Our annual impairment test for U.S. Water Services indicated that the estimated fair value of U.S. Water Services exceeded its carrying value, and no impairment existed. (See Note 1. Operations and Significant Accounting Policies.)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The Company assesses indefinite-lived intangible assets for impairment annually in the fourth quarter. The Company also assesses</w:t>
      </w:r>
      <w:r>
        <w:rPr>
          <w:rFonts w:ascii="Arial" w:cs="Arial" w:eastAsia="Arial" w:hAnsi="Arial"/>
          <w:sz w:val="17"/>
          <w:szCs w:val="17"/>
          <w:i w:val="1"/>
          <w:iCs w:val="1"/>
          <w:color w:val="auto"/>
        </w:rPr>
        <w:t xml:space="preserve"> </w:t>
      </w:r>
      <w:r>
        <w:rPr>
          <w:rFonts w:ascii="Arial" w:cs="Arial" w:eastAsia="Arial" w:hAnsi="Arial"/>
          <w:sz w:val="17"/>
          <w:szCs w:val="17"/>
          <w:color w:val="auto"/>
        </w:rPr>
        <w:t>indefinite-lived and definite-lived intangible assets whenever events or changes in circumstances indicate that the carrying amount of an intangible asset may not be recoverable. Substantially all of the Company’s intangible assets are a result of the U.S. Water Services acquisition in February 2015. The aggregate carrying amount of intangible assets was $82.2 million as of December 31, 2016 ($84.6 million as of December 31, 2015). When events or changes in circumstances indicate that the carrying amount of an intangible asset may not be recoverable, the Company calculates the excess of an intangible asset's carrying amount over its undiscounted future cash flows. If the carrying amount is not recoverable, an impairment loss is recorded based on the amount by which the carrying amount exceeds the fair value. The inputs used in the fair value analysis fall within Level 3 of the fair value hierarchy due to the use of significant unobservable inputs to determine fair value. As of December 31, 2016, there have been no events or changes in circumstance which would indicate impairment of our intangible assets.</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Property, Plant and Equipment. </w:t>
      </w:r>
      <w:r>
        <w:rPr>
          <w:rFonts w:ascii="Arial" w:cs="Arial" w:eastAsia="Arial" w:hAnsi="Arial"/>
          <w:sz w:val="16"/>
          <w:szCs w:val="16"/>
          <w:color w:val="auto"/>
        </w:rPr>
        <w:t>The Company assesses the impairment of property, plant, and equipment whenever events or changes 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that the carrying amount of property, plant, and equipment assets may not be recoverable. The impairment of ALLETE Clean Energy’s goodwill primarily due to lower estimated energy prices in periods not under PSAs caused management to review ALLETE Clean Energy’s WTGs for impairment. Based on the results of the undiscounted cash flow analysis, the undiscounted future cash flows were adequate to recover the carrying value of the WTGs. (See Note 1. Operations and Significant Accounting Policies.) For the year ended December 31, 2016, there were no indicators of impairment.</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believe that long-standing ratemaking practices approved by applicable state and federal regulatory commissions allow for the recovery of the remaining book value of retired plant assets. In 2015, Minnesota Power retired Taconite Harbor Unit 3 and converted Laskin to natural gas which were actions included in Minnesota Power’s MPUC-approved 2013 IRP. In an order dated July 18, 2016, the MPUC approved Minnesota Power’s 2015 IRP with modifications which contains the next steps in Minnesota Power’s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including the economic idling of Taconite Harbor Units 1 and 2, which occurred in September 2016, and the ceasing of coal-fired operations at Taconite Harbor in 2020. (See Note 4. Regulatory Matters.) The MPUC order for the 2015 IRP also directs Minnesota Power to retire Boswell Units 1 and 2 no later than 2022, and on October 19, 2016, Minnesota Power announced that Boswell Units 1 and 2 will be retired in 2018. We do not expect to record any impairment charge as a result of the retirement of Taconite Harbor Unit 3 or Boswell Units 1 and 2, the ceasing of coal-fired operations at Taconite Harbor Units 1 and 2, or the conversion of Laskin. In addition, we expect to be able to continue depreciating these assets for at least their established remaining useful lives; however, we are unable to predict the impact of regulatory outcomes resulting in changes to their established remaining useful lives. (See Note 4. Regulatory Matters.) The net book values for Taconite Harbor and Boswell Units 1 and 2 as of December 31, 2016, were approximately $90 million and $30 million, respectively. We would seek recovery in a general rate case of additional depreciation expense as a result of material changes in useful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702"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10. SHORT-TERM AND LONG-TERM DEBT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December 31, 2016, total short-term debt outstanding was $187.7 million ($37.3 million as of December 31, 2015),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due within one year and included $0.6 million of unamortized debt issuance costs.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2016, we had bank lines of credit aggregating $409.0 million ($408.4 million as of December 31, 2015), the majority of which expire in November 2019. We had $11.1 million outstanding in standby letters of credit and no outstanding draws under our lines of credit as of December 31, 2016 ($12.4 million in standby letters of credit and $1.6 million in draws outstanding as of December 31, 2015).</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As of December 31, 2016, total long-term debt outstanding was $1,370.4 million ($1,556.7 million as of December 31, 2015) and included</w:t>
      </w:r>
      <w:r>
        <w:rPr>
          <w:rFonts w:ascii="Arial" w:cs="Arial" w:eastAsia="Arial" w:hAnsi="Arial"/>
          <w:sz w:val="17"/>
          <w:szCs w:val="17"/>
          <w:b w:val="1"/>
          <w:bCs w:val="1"/>
          <w:color w:val="auto"/>
        </w:rPr>
        <w:t xml:space="preserve"> </w:t>
      </w:r>
      <w:r>
        <w:rPr>
          <w:rFonts w:ascii="Arial" w:cs="Arial" w:eastAsia="Arial" w:hAnsi="Arial"/>
          <w:sz w:val="17"/>
          <w:szCs w:val="17"/>
          <w:color w:val="auto"/>
        </w:rPr>
        <w:t>$10.4 million of unamortized debt issuance costs. The aggregate amount of long-term debt maturing in 2017 is $188.3 million; $63.1 million in 2018; $55.2 million in 2019; $101.2 million in 2020; $96.4 million in 2021; and $1,064.9 million thereafter. Substantially all of our regulated electric plant is subject to the lien of the mortgage collateralizing outstanding first mortgage bonds. The mortgages contain non-financial covenants customary in utility mortgages, including restrictions on our ability to incur liens, dispose of assets, and merge with other entities.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is obligated to make financing payments for the Camp Ripley solar array totaling $1.4 million annually during the financing term, which expires in 2027. Minnesota Power has the option at the end of the financing term to renew for a two-year term, or to purchase the solar array for approximately $4 million. Minnesota Power anticipates exercising the purchase option when the term expires.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8, 2016, ALLETE entered into an agreement to sell $80 million of the Company's senior unsecured notes (the Notes) to certain institutional buyers in the private placement market. The Notes will be sold in reliance on an exemption from registration under Section 4(a)(2) of the Securities Act of 1933, as amended, to institutional accredited investors. The Notes will be issued on or about June 1, 2017, carry an interest rate of 3.11 percent and mature on June 1, 2027.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Notes is payable semi-annually on June 1 and December 1 of each year, commencing on December 1, 2017. The Company has the option to prepay all or a portion of the Notes at its discretion, subject to a make-whole provision. The Notes are subject to additional terms and conditions which are customary for these types of transactions. Proceeds from the sale of the Notes will be used to redeem debt, fund corporate growth opportunities and/or for general corporate purposes.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702"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10. SHORT-TERM AND LONG-TERM DEBT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w:t>
            </w: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2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w:t>
            </w:r>
          </w:p>
        </w:tc>
        <w:tc>
          <w:tcPr>
            <w:tcW w:w="20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r>
      <w:tr>
        <w:trPr>
          <w:trHeight w:val="27"/>
        </w:trPr>
        <w:tc>
          <w:tcPr>
            <w:tcW w:w="680" w:type="dxa"/>
            <w:vAlign w:val="bottom"/>
            <w:tcBorders>
              <w:bottom w:val="single" w:sz="8" w:color="auto"/>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ind w:left="40"/>
              <w:spacing w:after="0"/>
              <w:rPr>
                <w:sz w:val="20"/>
                <w:szCs w:val="20"/>
                <w:color w:val="auto"/>
              </w:rPr>
            </w:pPr>
            <w:r>
              <w:rPr>
                <w:rFonts w:ascii="Arial" w:cs="Arial" w:eastAsia="Arial" w:hAnsi="Arial"/>
                <w:sz w:val="18"/>
                <w:szCs w:val="18"/>
                <w:b w:val="1"/>
                <w:bCs w:val="1"/>
                <w:color w:val="auto"/>
                <w:w w:val="92"/>
              </w:rPr>
              <w:t>Millions</w:t>
            </w:r>
          </w:p>
        </w:tc>
        <w:tc>
          <w:tcPr>
            <w:tcW w:w="7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Mortgage Bonds</w:t>
            </w:r>
          </w:p>
        </w:tc>
        <w:tc>
          <w:tcPr>
            <w:tcW w:w="20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7.70%</w:t>
            </w:r>
          </w:p>
        </w:tc>
        <w:tc>
          <w:tcPr>
            <w:tcW w:w="7520" w:type="dxa"/>
            <w:vAlign w:val="bottom"/>
          </w:tcPr>
          <w:p>
            <w:pPr>
              <w:spacing w:after="0"/>
              <w:rPr>
                <w:sz w:val="20"/>
                <w:szCs w:val="20"/>
                <w:color w:val="auto"/>
              </w:rPr>
            </w:pPr>
            <w:r>
              <w:rPr>
                <w:rFonts w:ascii="Arial" w:cs="Arial" w:eastAsia="Arial" w:hAnsi="Arial"/>
                <w:sz w:val="18"/>
                <w:szCs w:val="18"/>
                <w:color w:val="auto"/>
              </w:rPr>
              <w:t>Series Due 2016</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2018</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8.17%</w:t>
            </w:r>
          </w:p>
        </w:tc>
        <w:tc>
          <w:tcPr>
            <w:tcW w:w="7520" w:type="dxa"/>
            <w:vAlign w:val="bottom"/>
          </w:tcPr>
          <w:p>
            <w:pPr>
              <w:spacing w:after="0"/>
              <w:rPr>
                <w:sz w:val="20"/>
                <w:szCs w:val="20"/>
                <w:color w:val="auto"/>
              </w:rPr>
            </w:pPr>
            <w:r>
              <w:rPr>
                <w:rFonts w:ascii="Arial" w:cs="Arial" w:eastAsia="Arial" w:hAnsi="Arial"/>
                <w:sz w:val="18"/>
                <w:szCs w:val="18"/>
                <w:color w:val="auto"/>
              </w:rPr>
              <w:t>Series Due 2019</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42.0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42.0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2.80%</w:t>
            </w:r>
          </w:p>
        </w:tc>
        <w:tc>
          <w:tcPr>
            <w:tcW w:w="7520" w:type="dxa"/>
            <w:vAlign w:val="bottom"/>
          </w:tcPr>
          <w:p>
            <w:pPr>
              <w:spacing w:after="0"/>
              <w:rPr>
                <w:sz w:val="20"/>
                <w:szCs w:val="20"/>
                <w:color w:val="auto"/>
              </w:rPr>
            </w:pPr>
            <w:r>
              <w:rPr>
                <w:rFonts w:ascii="Arial" w:cs="Arial" w:eastAsia="Arial" w:hAnsi="Arial"/>
                <w:sz w:val="18"/>
                <w:szCs w:val="18"/>
                <w:color w:val="auto"/>
              </w:rPr>
              <w:t>Series Due 2020</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2021</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3.02%</w:t>
            </w:r>
          </w:p>
        </w:tc>
        <w:tc>
          <w:tcPr>
            <w:tcW w:w="7520" w:type="dxa"/>
            <w:vAlign w:val="bottom"/>
          </w:tcPr>
          <w:p>
            <w:pPr>
              <w:spacing w:after="0"/>
              <w:rPr>
                <w:sz w:val="20"/>
                <w:szCs w:val="20"/>
                <w:color w:val="auto"/>
              </w:rPr>
            </w:pPr>
            <w:r>
              <w:rPr>
                <w:rFonts w:ascii="Arial" w:cs="Arial" w:eastAsia="Arial" w:hAnsi="Arial"/>
                <w:sz w:val="18"/>
                <w:szCs w:val="18"/>
                <w:color w:val="auto"/>
              </w:rPr>
              <w:t>Series Due 2021</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2022</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6.02%</w:t>
            </w:r>
          </w:p>
        </w:tc>
        <w:tc>
          <w:tcPr>
            <w:tcW w:w="7520" w:type="dxa"/>
            <w:vAlign w:val="bottom"/>
          </w:tcPr>
          <w:p>
            <w:pPr>
              <w:spacing w:after="0"/>
              <w:rPr>
                <w:sz w:val="20"/>
                <w:szCs w:val="20"/>
                <w:color w:val="auto"/>
              </w:rPr>
            </w:pPr>
            <w:r>
              <w:rPr>
                <w:rFonts w:ascii="Arial" w:cs="Arial" w:eastAsia="Arial" w:hAnsi="Arial"/>
                <w:sz w:val="18"/>
                <w:szCs w:val="18"/>
                <w:color w:val="auto"/>
              </w:rPr>
              <w:t>Series Due 2023</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75.0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2024</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4.90%</w:t>
            </w:r>
          </w:p>
        </w:tc>
        <w:tc>
          <w:tcPr>
            <w:tcW w:w="7520" w:type="dxa"/>
            <w:vAlign w:val="bottom"/>
          </w:tcPr>
          <w:p>
            <w:pPr>
              <w:spacing w:after="0"/>
              <w:rPr>
                <w:sz w:val="20"/>
                <w:szCs w:val="20"/>
                <w:color w:val="auto"/>
              </w:rPr>
            </w:pPr>
            <w:r>
              <w:rPr>
                <w:rFonts w:ascii="Arial" w:cs="Arial" w:eastAsia="Arial" w:hAnsi="Arial"/>
                <w:sz w:val="18"/>
                <w:szCs w:val="18"/>
                <w:color w:val="auto"/>
              </w:rPr>
              <w:t>Series Due 2025</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30.0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2025</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3.20%</w:t>
            </w:r>
          </w:p>
        </w:tc>
        <w:tc>
          <w:tcPr>
            <w:tcW w:w="7520" w:type="dxa"/>
            <w:vAlign w:val="bottom"/>
          </w:tcPr>
          <w:p>
            <w:pPr>
              <w:spacing w:after="0"/>
              <w:rPr>
                <w:sz w:val="20"/>
                <w:szCs w:val="20"/>
                <w:color w:val="auto"/>
              </w:rPr>
            </w:pPr>
            <w:r>
              <w:rPr>
                <w:rFonts w:ascii="Arial" w:cs="Arial" w:eastAsia="Arial" w:hAnsi="Arial"/>
                <w:sz w:val="18"/>
                <w:szCs w:val="18"/>
                <w:color w:val="auto"/>
              </w:rPr>
              <w:t>Series Due 2026</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75.0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2027</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3.30%</w:t>
            </w:r>
          </w:p>
        </w:tc>
        <w:tc>
          <w:tcPr>
            <w:tcW w:w="7520" w:type="dxa"/>
            <w:vAlign w:val="bottom"/>
          </w:tcPr>
          <w:p>
            <w:pPr>
              <w:spacing w:after="0"/>
              <w:rPr>
                <w:sz w:val="20"/>
                <w:szCs w:val="20"/>
                <w:color w:val="auto"/>
              </w:rPr>
            </w:pPr>
            <w:r>
              <w:rPr>
                <w:rFonts w:ascii="Arial" w:cs="Arial" w:eastAsia="Arial" w:hAnsi="Arial"/>
                <w:sz w:val="18"/>
                <w:szCs w:val="18"/>
                <w:color w:val="auto"/>
              </w:rPr>
              <w:t>Series Due 2028</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2029</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3.86%</w:t>
            </w:r>
          </w:p>
        </w:tc>
        <w:tc>
          <w:tcPr>
            <w:tcW w:w="7520" w:type="dxa"/>
            <w:vAlign w:val="bottom"/>
          </w:tcPr>
          <w:p>
            <w:pPr>
              <w:spacing w:after="0"/>
              <w:rPr>
                <w:sz w:val="20"/>
                <w:szCs w:val="20"/>
                <w:color w:val="auto"/>
              </w:rPr>
            </w:pPr>
            <w:r>
              <w:rPr>
                <w:rFonts w:ascii="Arial" w:cs="Arial" w:eastAsia="Arial" w:hAnsi="Arial"/>
                <w:sz w:val="18"/>
                <w:szCs w:val="18"/>
                <w:color w:val="auto"/>
              </w:rPr>
              <w:t>Series Due 2030</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2036</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6.00%</w:t>
            </w:r>
          </w:p>
        </w:tc>
        <w:tc>
          <w:tcPr>
            <w:tcW w:w="7520" w:type="dxa"/>
            <w:vAlign w:val="bottom"/>
          </w:tcPr>
          <w:p>
            <w:pPr>
              <w:spacing w:after="0"/>
              <w:rPr>
                <w:sz w:val="20"/>
                <w:szCs w:val="20"/>
                <w:color w:val="auto"/>
              </w:rPr>
            </w:pPr>
            <w:r>
              <w:rPr>
                <w:rFonts w:ascii="Arial" w:cs="Arial" w:eastAsia="Arial" w:hAnsi="Arial"/>
                <w:sz w:val="18"/>
                <w:szCs w:val="18"/>
                <w:color w:val="auto"/>
              </w:rPr>
              <w:t>Series Due 2040</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35.0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4.08%</w:t>
            </w:r>
          </w:p>
        </w:tc>
        <w:tc>
          <w:tcPr>
            <w:tcW w:w="7520" w:type="dxa"/>
            <w:vAlign w:val="bottom"/>
          </w:tcPr>
          <w:p>
            <w:pPr>
              <w:spacing w:after="0"/>
              <w:rPr>
                <w:sz w:val="20"/>
                <w:szCs w:val="20"/>
                <w:color w:val="auto"/>
              </w:rPr>
            </w:pPr>
            <w:r>
              <w:rPr>
                <w:rFonts w:ascii="Arial" w:cs="Arial" w:eastAsia="Arial" w:hAnsi="Arial"/>
                <w:sz w:val="18"/>
                <w:szCs w:val="18"/>
                <w:color w:val="auto"/>
              </w:rPr>
              <w:t>Series Due 2042</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85.0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2043</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4.95%</w:t>
            </w:r>
          </w:p>
        </w:tc>
        <w:tc>
          <w:tcPr>
            <w:tcW w:w="7520" w:type="dxa"/>
            <w:vAlign w:val="bottom"/>
          </w:tcPr>
          <w:p>
            <w:pPr>
              <w:spacing w:after="0"/>
              <w:rPr>
                <w:sz w:val="20"/>
                <w:szCs w:val="20"/>
                <w:color w:val="auto"/>
              </w:rPr>
            </w:pPr>
            <w:r>
              <w:rPr>
                <w:rFonts w:ascii="Arial" w:cs="Arial" w:eastAsia="Arial" w:hAnsi="Arial"/>
                <w:sz w:val="18"/>
                <w:szCs w:val="18"/>
                <w:color w:val="auto"/>
              </w:rPr>
              <w:t>Series Due 2044</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2044</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4.39%</w:t>
            </w:r>
          </w:p>
        </w:tc>
        <w:tc>
          <w:tcPr>
            <w:tcW w:w="7520" w:type="dxa"/>
            <w:vAlign w:val="bottom"/>
          </w:tcPr>
          <w:p>
            <w:pPr>
              <w:spacing w:after="0"/>
              <w:rPr>
                <w:sz w:val="20"/>
                <w:szCs w:val="20"/>
                <w:color w:val="auto"/>
              </w:rPr>
            </w:pPr>
            <w:r>
              <w:rPr>
                <w:rFonts w:ascii="Arial" w:cs="Arial" w:eastAsia="Arial" w:hAnsi="Arial"/>
                <w:sz w:val="18"/>
                <w:szCs w:val="18"/>
                <w:color w:val="auto"/>
              </w:rPr>
              <w:t>Series Due 2044</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Term Loan Variable Rate Due 2017</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Senior Unsecured Notes 5.99% Due 2017</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Demand Revenue Refunding Bonds Series 1997 A Due 2020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13.5</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Industrial Development Variable Rate Demand Refunding Revenue Bonds Series 2006, Due 2025</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27.8</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27.8</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Armenia Mountain Senior Secured Notes 3.26% Due 2024</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74.6</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83.3</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SWL&amp;P First Mortgage Bonds 4.15% Series Due 2028</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15.0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15.0</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Debt, 3.11% – 6.20% Due 2017 – 2037</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61.2</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68.4</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Unamortized Debt Issuance Costs</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(11.0)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(12.6)</w:t>
            </w:r>
          </w:p>
        </w:tc>
      </w:tr>
      <w:tr>
        <w:trPr>
          <w:trHeight w:val="27"/>
        </w:trPr>
        <w:tc>
          <w:tcPr>
            <w:tcW w:w="8200" w:type="dxa"/>
            <w:vAlign w:val="bottom"/>
            <w:tcBorders>
              <w:bottom w:val="single" w:sz="8" w:color="auto"/>
            </w:tcBorders>
            <w:gridSpan w:val="2"/>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1,558.1</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1,592.4</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Less: Due Within One Year</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187.7</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35.7</w:t>
            </w:r>
          </w:p>
        </w:tc>
      </w:tr>
      <w:tr>
        <w:trPr>
          <w:trHeight w:val="27"/>
        </w:trPr>
        <w:tc>
          <w:tcPr>
            <w:tcW w:w="8200" w:type="dxa"/>
            <w:vAlign w:val="bottom"/>
            <w:tcBorders>
              <w:bottom w:val="single" w:sz="8" w:color="auto"/>
            </w:tcBorders>
            <w:gridSpan w:val="2"/>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Long-Term Debt</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$1,370.4</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$1,556.7</w:t>
            </w:r>
          </w:p>
        </w:tc>
      </w:tr>
      <w:tr>
        <w:trPr>
          <w:trHeight w:val="20"/>
        </w:trPr>
        <w:tc>
          <w:tcPr>
            <w:tcW w:w="680" w:type="dxa"/>
            <w:vAlign w:val="bottom"/>
            <w:shd w:val="clear" w:color="auto" w:fill="000000"/>
          </w:tcPr>
          <w:p>
            <w:pPr>
              <w:spacing w:after="0" w:line="20" w:lineRule="exact"/>
              <w:rPr>
                <w:sz w:val="1"/>
                <w:szCs w:val="1"/>
                <w:color w:val="auto"/>
              </w:rPr>
            </w:pPr>
          </w:p>
        </w:tc>
        <w:tc>
          <w:tcPr>
            <w:tcW w:w="752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702"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10. SHORT-TERM AND LONG-TERM DEBT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covenant requires ALLETE to maintain a ratio of indebtedness to total capitalization (as the amounts are calculated in accordance with the respective long-term debt arrangements) of less than or equal to 0.65 to 1.00, measured quarterly. As of December 31, 2016, our ratio was approximately 0.45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December 31, 2016, ALLETE was in compliance with its financial covenants.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GUARANTEES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estimated minimum annual payments for certain long-term commitments:</w:t>
      </w:r>
    </w:p>
    <w:p>
      <w:pPr>
        <w:spacing w:after="0" w:line="24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34290</wp:posOffset>
            </wp:positionV>
            <wp:extent cx="57975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9"/>
              </w:rPr>
              <w:t>Thereafter</w:t>
            </w:r>
          </w:p>
        </w:tc>
      </w:tr>
      <w:tr>
        <w:trPr>
          <w:trHeight w:val="27"/>
        </w:trPr>
        <w:tc>
          <w:tcPr>
            <w:tcW w:w="3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Coal, Rail and Shipping Contracts</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$27.9</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Leasing Agreements</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$13.7</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9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3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PPAs </w:t>
            </w:r>
            <w:r>
              <w:rPr>
                <w:rFonts w:ascii="Arial" w:cs="Arial" w:eastAsia="Arial" w:hAnsi="Arial"/>
                <w:sz w:val="16"/>
                <w:szCs w:val="16"/>
                <w:i w:val="1"/>
                <w:iCs w:val="1"/>
                <w:color w:val="auto"/>
              </w:rPr>
              <w:t>(a)</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$98.0</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$102.9</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$105.5</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$1,803.9</w:t>
            </w:r>
          </w:p>
        </w:tc>
      </w:tr>
      <w:tr>
        <w:trPr>
          <w:trHeight w:val="20"/>
        </w:trPr>
        <w:tc>
          <w:tcPr>
            <w:tcW w:w="35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jc w:val="both"/>
        <w:ind w:left="340" w:hanging="332"/>
        <w:spacing w:after="0" w:line="254" w:lineRule="auto"/>
        <w:tabs>
          <w:tab w:leader="none" w:pos="34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Excludes the agreement with Manitoba Hydro expiring in 2022, as this contract is for surplus energy only, and the 133 MW agreement with Manitoba Hydro commencing in 2020, as our obligation under this contract is subject to construction of additional transmission capacity. Also excludes Oliver Wind I and Oliver Wind II, as Minnesota Power only pays for energy as it is delivered.</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December 2017 and a portion of its coal requirements through December 2021. Minnesota Power also has coal transportation agreements in place for the delivery of a significant portion of its coal requirements through December 2018. The delivered costs of fuel for Minnesota Power’s generation are recoverable from Minnesota Power’s utility customers through the fuel adjustment clause.</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Leasing Agreements. </w:t>
      </w:r>
      <w:r>
        <w:rPr>
          <w:rFonts w:ascii="Arial" w:cs="Arial" w:eastAsia="Arial" w:hAnsi="Arial"/>
          <w:sz w:val="17"/>
          <w:szCs w:val="17"/>
          <w:color w:val="auto"/>
        </w:rPr>
        <w:t>BNI Energy is obligated to make lease payments for a dragline totaling $2.8 million annually during the lease term, which expires in</w:t>
      </w:r>
      <w:r>
        <w:rPr>
          <w:rFonts w:ascii="Arial" w:cs="Arial" w:eastAsia="Arial" w:hAnsi="Arial"/>
          <w:sz w:val="17"/>
          <w:szCs w:val="17"/>
          <w:b w:val="1"/>
          <w:bCs w:val="1"/>
          <w:color w:val="auto"/>
        </w:rPr>
        <w:t xml:space="preserve"> </w:t>
      </w:r>
      <w:r>
        <w:rPr>
          <w:rFonts w:ascii="Arial" w:cs="Arial" w:eastAsia="Arial" w:hAnsi="Arial"/>
          <w:sz w:val="17"/>
          <w:szCs w:val="17"/>
          <w:color w:val="auto"/>
        </w:rPr>
        <w:t>2027. BNI Energy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2023. Total lease expense was $17.1 million in 2016 ($17.3 million in 2015; $14.8 million in 2014).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02"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Minnesota Power has a PPA with Square Butte that extends through December 2026 (Agreement). Minnesota Power is obligated to pay its</w:t>
      </w:r>
      <w:r>
        <w:rPr>
          <w:rFonts w:ascii="Arial" w:cs="Arial" w:eastAsia="Arial" w:hAnsi="Arial"/>
          <w:sz w:val="17"/>
          <w:szCs w:val="17"/>
          <w:i w:val="1"/>
          <w:iCs w:val="1"/>
          <w:color w:val="auto"/>
        </w:rPr>
        <w:t xml:space="preserve"> </w:t>
      </w:r>
      <w:r>
        <w:rPr>
          <w:rFonts w:ascii="Arial" w:cs="Arial" w:eastAsia="Arial" w:hAnsi="Arial"/>
          <w:sz w:val="17"/>
          <w:szCs w:val="17"/>
          <w:color w:val="auto"/>
        </w:rPr>
        <w:t>pro rata share of Square Butte’s costs based on its entitlement to the output of Square Butte’s 455 MW coal-fired generating unit. Minnesota Power’s output entitlement under the Agreement is 50 percent for the remainder of the Agreement, subject to the provisions of the Minnkota Power PSA described in the following table. Minnesota Power’s payment obligation will be suspended if Square Butte fails to deliver any power, whether produced or purchased, for a period of one year. Square Butte’s costs consist primarily of debt service, operating and maintenance, depreciation and fuel expenses. As of December 31, 2016, Square Butte had total debt outstanding of $327.7 million. Annual debt service for Square Butte is expected to be approximately $45 million in each of the next five years, 2017 through 2021, of which Minnesota Power’s obligation is 50 percent. Fuel expenses are recoverable through Minnesota Power’s fuel adjustment clause and include the cost of coal purchased from BNI Energy under a long-term contract.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cost of power purchased from Square Butte during 2016 was $73.3 million ($77.8 million in 2015; $70.1 million in 2014). This reflects Minnesota Power’s pro rata share of total Square Butte costs based on the 50 percent output entitlement. Included in this amount was Minnesota Power’s pro rata share of interest expense of $9.6 million in 2016 ($10.1 million in 2015; $10.5 million in 2014). Minnesota Power’s payments to Square Butte are approved as a purchased power expense for ratemaking purposes by both the MPUC and the FERC.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702"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has also entered into the following agreements for the purchase or sale of capacity and energy as of December 31, 2016:</w:t>
      </w:r>
    </w:p>
    <w:p>
      <w:pPr>
        <w:spacing w:after="0" w:line="24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1720" w:type="dxa"/>
            <w:vAlign w:val="bottom"/>
          </w:tcPr>
          <w:p>
            <w:pPr>
              <w:ind w:left="380"/>
              <w:spacing w:after="0"/>
              <w:rPr>
                <w:sz w:val="20"/>
                <w:szCs w:val="20"/>
                <w:color w:val="auto"/>
              </w:rPr>
            </w:pPr>
            <w:r>
              <w:rPr>
                <w:rFonts w:ascii="Arial" w:cs="Arial" w:eastAsia="Arial" w:hAnsi="Arial"/>
                <w:sz w:val="18"/>
                <w:szCs w:val="18"/>
                <w:b w:val="1"/>
                <w:bCs w:val="1"/>
                <w:color w:val="auto"/>
              </w:rPr>
              <w:t>Counterparty</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Quantity</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Pricing</w:t>
            </w:r>
          </w:p>
        </w:tc>
      </w:tr>
      <w:tr>
        <w:trPr>
          <w:trHeight w:val="27"/>
        </w:trPr>
        <w:tc>
          <w:tcPr>
            <w:tcW w:w="1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PPAs</w:t>
            </w:r>
          </w:p>
        </w:tc>
        <w:tc>
          <w:tcPr>
            <w:tcW w:w="9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Great River Energy</w:t>
            </w:r>
          </w:p>
        </w:tc>
        <w:tc>
          <w:tcPr>
            <w:tcW w:w="9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1720" w:type="dxa"/>
            <w:vAlign w:val="bottom"/>
          </w:tcPr>
          <w:p>
            <w:pPr>
              <w:ind w:left="280"/>
              <w:spacing w:after="0"/>
              <w:rPr>
                <w:sz w:val="20"/>
                <w:szCs w:val="20"/>
                <w:color w:val="auto"/>
              </w:rPr>
            </w:pPr>
            <w:r>
              <w:rPr>
                <w:rFonts w:ascii="Arial" w:cs="Arial" w:eastAsia="Arial" w:hAnsi="Arial"/>
                <w:sz w:val="18"/>
                <w:szCs w:val="18"/>
                <w:color w:val="auto"/>
              </w:rPr>
              <w:t>PPA 1</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Capacity / Energy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2016</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May 2020</w:t>
            </w:r>
          </w:p>
        </w:tc>
        <w:tc>
          <w:tcPr>
            <w:tcW w:w="1920" w:type="dxa"/>
            <w:vAlign w:val="bottom"/>
          </w:tcPr>
          <w:p>
            <w:pPr>
              <w:jc w:val="center"/>
              <w:spacing w:after="0"/>
              <w:rPr>
                <w:sz w:val="20"/>
                <w:szCs w:val="20"/>
                <w:color w:val="auto"/>
              </w:rPr>
            </w:pPr>
            <w:r>
              <w:rPr>
                <w:rFonts w:ascii="Arial" w:cs="Arial" w:eastAsia="Arial" w:hAnsi="Arial"/>
                <w:sz w:val="16"/>
                <w:szCs w:val="16"/>
                <w:i w:val="1"/>
                <w:iCs w:val="1"/>
                <w:color w:val="auto"/>
              </w:rPr>
              <w:t>(a)</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 2</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2016</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2020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r>
      <w:tr>
        <w:trPr>
          <w:trHeight w:val="243"/>
        </w:trPr>
        <w:tc>
          <w:tcPr>
            <w:tcW w:w="1720" w:type="dxa"/>
            <w:vAlign w:val="bottom"/>
          </w:tcPr>
          <w:p>
            <w:pPr>
              <w:ind w:left="280"/>
              <w:spacing w:after="0"/>
              <w:rPr>
                <w:sz w:val="20"/>
                <w:szCs w:val="20"/>
                <w:color w:val="auto"/>
              </w:rPr>
            </w:pPr>
            <w:r>
              <w:rPr>
                <w:rFonts w:ascii="Arial" w:cs="Arial" w:eastAsia="Arial" w:hAnsi="Arial"/>
                <w:sz w:val="18"/>
                <w:szCs w:val="18"/>
                <w:color w:val="auto"/>
              </w:rPr>
              <w:t>PPA 3</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May 2020</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Fixed</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Manitoba Hydro</w:t>
            </w:r>
          </w:p>
        </w:tc>
        <w:tc>
          <w:tcPr>
            <w:tcW w:w="9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1720" w:type="dxa"/>
            <w:vAlign w:val="bottom"/>
          </w:tcPr>
          <w:p>
            <w:pPr>
              <w:ind w:left="280"/>
              <w:spacing w:after="0"/>
              <w:rPr>
                <w:sz w:val="20"/>
                <w:szCs w:val="20"/>
                <w:color w:val="auto"/>
              </w:rPr>
            </w:pPr>
            <w:r>
              <w:rPr>
                <w:rFonts w:ascii="Arial" w:cs="Arial" w:eastAsia="Arial" w:hAnsi="Arial"/>
                <w:sz w:val="18"/>
                <w:szCs w:val="18"/>
                <w:color w:val="auto"/>
              </w:rPr>
              <w:t>PPA 1</w:t>
            </w:r>
          </w:p>
        </w:tc>
        <w:tc>
          <w:tcPr>
            <w:tcW w:w="960" w:type="dxa"/>
            <w:vAlign w:val="bottom"/>
          </w:tcPr>
          <w:p>
            <w:pPr>
              <w:jc w:val="center"/>
              <w:spacing w:after="0"/>
              <w:rPr>
                <w:sz w:val="20"/>
                <w:szCs w:val="20"/>
                <w:color w:val="auto"/>
              </w:rPr>
            </w:pPr>
            <w:r>
              <w:rPr>
                <w:rFonts w:ascii="Arial" w:cs="Arial" w:eastAsia="Arial" w:hAnsi="Arial"/>
                <w:sz w:val="16"/>
                <w:szCs w:val="16"/>
                <w:i w:val="1"/>
                <w:iCs w:val="1"/>
                <w:color w:val="auto"/>
              </w:rPr>
              <w:t>(b)</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May 2011</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April 2022</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Forward Market Prices</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 2</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Capacity / Energy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2015</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2020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6"/>
              </w:rPr>
              <w:t>(c)</w:t>
            </w:r>
          </w:p>
        </w:tc>
      </w:tr>
      <w:tr>
        <w:trPr>
          <w:trHeight w:val="243"/>
        </w:trPr>
        <w:tc>
          <w:tcPr>
            <w:tcW w:w="1720" w:type="dxa"/>
            <w:vAlign w:val="bottom"/>
          </w:tcPr>
          <w:p>
            <w:pPr>
              <w:ind w:left="280"/>
              <w:spacing w:after="0"/>
              <w:rPr>
                <w:sz w:val="20"/>
                <w:szCs w:val="20"/>
                <w:color w:val="auto"/>
              </w:rPr>
            </w:pPr>
            <w:r>
              <w:rPr>
                <w:rFonts w:ascii="Arial" w:cs="Arial" w:eastAsia="Arial" w:hAnsi="Arial"/>
                <w:sz w:val="18"/>
                <w:szCs w:val="18"/>
                <w:color w:val="auto"/>
              </w:rPr>
              <w:t>PPA 3</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May 2020</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Fixed</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PPA 4 </w:t>
            </w:r>
            <w:r>
              <w:rPr>
                <w:rFonts w:ascii="Arial" w:cs="Arial" w:eastAsia="Arial" w:hAnsi="Arial"/>
                <w:sz w:val="16"/>
                <w:szCs w:val="16"/>
                <w:i w:val="1"/>
                <w:iCs w:val="1"/>
                <w:color w:val="auto"/>
              </w:rPr>
              <w:t>(d)</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250 MW</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Capacity / Energy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2020</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2035</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1"/>
              </w:rPr>
              <w:t>(e)</w:t>
            </w:r>
          </w:p>
        </w:tc>
      </w:tr>
      <w:tr>
        <w:trPr>
          <w:trHeight w:val="243"/>
        </w:trPr>
        <w:tc>
          <w:tcPr>
            <w:tcW w:w="1720" w:type="dxa"/>
            <w:vAlign w:val="bottom"/>
          </w:tcPr>
          <w:p>
            <w:pPr>
              <w:ind w:left="280"/>
              <w:spacing w:after="0"/>
              <w:rPr>
                <w:sz w:val="20"/>
                <w:szCs w:val="20"/>
                <w:color w:val="auto"/>
              </w:rPr>
            </w:pPr>
            <w:r>
              <w:rPr>
                <w:rFonts w:ascii="Arial" w:cs="Arial" w:eastAsia="Arial" w:hAnsi="Arial"/>
                <w:sz w:val="18"/>
                <w:szCs w:val="18"/>
                <w:color w:val="auto"/>
              </w:rPr>
              <w:t xml:space="preserve">PPA 5 </w:t>
            </w:r>
            <w:r>
              <w:rPr>
                <w:rFonts w:ascii="Arial" w:cs="Arial" w:eastAsia="Arial" w:hAnsi="Arial"/>
                <w:sz w:val="16"/>
                <w:szCs w:val="16"/>
                <w:i w:val="1"/>
                <w:iCs w:val="1"/>
                <w:color w:val="auto"/>
              </w:rPr>
              <w:t>(d)</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133 MW</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Pr>
          <w:p>
            <w:pPr>
              <w:jc w:val="center"/>
              <w:spacing w:after="0"/>
              <w:rPr>
                <w:sz w:val="20"/>
                <w:szCs w:val="20"/>
                <w:color w:val="auto"/>
              </w:rPr>
            </w:pPr>
            <w:r>
              <w:rPr>
                <w:rFonts w:ascii="Arial" w:cs="Arial" w:eastAsia="Arial" w:hAnsi="Arial"/>
                <w:sz w:val="16"/>
                <w:szCs w:val="16"/>
                <w:i w:val="1"/>
                <w:iCs w:val="1"/>
                <w:color w:val="auto"/>
              </w:rPr>
              <w:t>(f)</w:t>
            </w:r>
          </w:p>
        </w:tc>
        <w:tc>
          <w:tcPr>
            <w:tcW w:w="1440" w:type="dxa"/>
            <w:vAlign w:val="bottom"/>
          </w:tcPr>
          <w:p>
            <w:pPr>
              <w:jc w:val="center"/>
              <w:spacing w:after="0"/>
              <w:rPr>
                <w:sz w:val="20"/>
                <w:szCs w:val="20"/>
                <w:color w:val="auto"/>
              </w:rPr>
            </w:pPr>
            <w:r>
              <w:rPr>
                <w:rFonts w:ascii="Arial" w:cs="Arial" w:eastAsia="Arial" w:hAnsi="Arial"/>
                <w:sz w:val="16"/>
                <w:szCs w:val="16"/>
                <w:i w:val="1"/>
                <w:iCs w:val="1"/>
                <w:color w:val="auto"/>
              </w:rPr>
              <w:t>(f)</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Forward Market Prices</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Minnkota Power</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Capacity / Energy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2016</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2020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rPr>
              <w:t>(g)</w:t>
            </w:r>
          </w:p>
        </w:tc>
      </w:tr>
      <w:tr>
        <w:trPr>
          <w:trHeight w:val="243"/>
        </w:trPr>
        <w:tc>
          <w:tcPr>
            <w:tcW w:w="1720" w:type="dxa"/>
            <w:vAlign w:val="bottom"/>
          </w:tcPr>
          <w:p>
            <w:pPr>
              <w:ind w:left="160"/>
              <w:spacing w:after="0"/>
              <w:rPr>
                <w:sz w:val="20"/>
                <w:szCs w:val="20"/>
                <w:color w:val="auto"/>
              </w:rPr>
            </w:pPr>
            <w:r>
              <w:rPr>
                <w:rFonts w:ascii="Arial" w:cs="Arial" w:eastAsia="Arial" w:hAnsi="Arial"/>
                <w:sz w:val="18"/>
                <w:szCs w:val="18"/>
                <w:color w:val="auto"/>
              </w:rPr>
              <w:t>Oliver Wind I</w:t>
            </w:r>
          </w:p>
        </w:tc>
        <w:tc>
          <w:tcPr>
            <w:tcW w:w="960" w:type="dxa"/>
            <w:vAlign w:val="bottom"/>
          </w:tcPr>
          <w:p>
            <w:pPr>
              <w:jc w:val="center"/>
              <w:spacing w:after="0"/>
              <w:rPr>
                <w:sz w:val="20"/>
                <w:szCs w:val="20"/>
                <w:color w:val="auto"/>
              </w:rPr>
            </w:pPr>
            <w:r>
              <w:rPr>
                <w:rFonts w:ascii="Arial" w:cs="Arial" w:eastAsia="Arial" w:hAnsi="Arial"/>
                <w:sz w:val="16"/>
                <w:szCs w:val="16"/>
                <w:i w:val="1"/>
                <w:iCs w:val="1"/>
                <w:color w:val="auto"/>
              </w:rPr>
              <w:t>(h)</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December 2006</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December 2031</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Fixed</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Oliver Wind II</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rPr>
              <w:t>(h)</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2007</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2032</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r>
      <w:tr>
        <w:trPr>
          <w:trHeight w:val="243"/>
        </w:trPr>
        <w:tc>
          <w:tcPr>
            <w:tcW w:w="1720" w:type="dxa"/>
            <w:vAlign w:val="bottom"/>
          </w:tcPr>
          <w:p>
            <w:pPr>
              <w:ind w:left="160"/>
              <w:spacing w:after="0"/>
              <w:rPr>
                <w:sz w:val="20"/>
                <w:szCs w:val="20"/>
                <w:color w:val="auto"/>
              </w:rPr>
            </w:pPr>
            <w:r>
              <w:rPr>
                <w:rFonts w:ascii="Arial" w:cs="Arial" w:eastAsia="Arial" w:hAnsi="Arial"/>
                <w:sz w:val="18"/>
                <w:szCs w:val="18"/>
                <w:color w:val="auto"/>
              </w:rPr>
              <w:t>Shell Energy</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January 2017</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December 2019</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Fixed</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TransAlta</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rPr>
              <w:t>(i)</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2017</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2019</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PSAs</w:t>
            </w:r>
          </w:p>
        </w:tc>
        <w:tc>
          <w:tcPr>
            <w:tcW w:w="9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Basin</w:t>
            </w:r>
          </w:p>
        </w:tc>
        <w:tc>
          <w:tcPr>
            <w:tcW w:w="9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1720" w:type="dxa"/>
            <w:vAlign w:val="bottom"/>
          </w:tcPr>
          <w:p>
            <w:pPr>
              <w:ind w:left="280"/>
              <w:spacing w:after="0"/>
              <w:rPr>
                <w:sz w:val="20"/>
                <w:szCs w:val="20"/>
                <w:color w:val="auto"/>
              </w:rPr>
            </w:pPr>
            <w:r>
              <w:rPr>
                <w:rFonts w:ascii="Arial" w:cs="Arial" w:eastAsia="Arial" w:hAnsi="Arial"/>
                <w:sz w:val="18"/>
                <w:szCs w:val="18"/>
                <w:color w:val="auto"/>
              </w:rPr>
              <w:t>PSA 1</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100 MW</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Capacity / Energy</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May 2010</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April 2020</w:t>
            </w:r>
          </w:p>
        </w:tc>
        <w:tc>
          <w:tcPr>
            <w:tcW w:w="1920" w:type="dxa"/>
            <w:vAlign w:val="bottom"/>
          </w:tcPr>
          <w:p>
            <w:pPr>
              <w:jc w:val="center"/>
              <w:spacing w:after="0"/>
              <w:rPr>
                <w:sz w:val="20"/>
                <w:szCs w:val="20"/>
                <w:color w:val="auto"/>
              </w:rPr>
            </w:pPr>
            <w:r>
              <w:rPr>
                <w:rFonts w:ascii="Arial" w:cs="Arial" w:eastAsia="Arial" w:hAnsi="Arial"/>
                <w:sz w:val="16"/>
                <w:szCs w:val="16"/>
                <w:i w:val="1"/>
                <w:iCs w:val="1"/>
                <w:color w:val="auto"/>
              </w:rPr>
              <w:t>(j)</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2</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100 MW</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2016</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2018</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r>
      <w:tr>
        <w:trPr>
          <w:trHeight w:val="243"/>
        </w:trPr>
        <w:tc>
          <w:tcPr>
            <w:tcW w:w="1720" w:type="dxa"/>
            <w:vAlign w:val="bottom"/>
          </w:tcPr>
          <w:p>
            <w:pPr>
              <w:ind w:left="160"/>
              <w:spacing w:after="0"/>
              <w:rPr>
                <w:sz w:val="20"/>
                <w:szCs w:val="20"/>
                <w:color w:val="auto"/>
              </w:rPr>
            </w:pPr>
            <w:r>
              <w:rPr>
                <w:rFonts w:ascii="Arial" w:cs="Arial" w:eastAsia="Arial" w:hAnsi="Arial"/>
                <w:sz w:val="18"/>
                <w:szCs w:val="18"/>
                <w:color w:val="auto"/>
              </w:rPr>
              <w:t>Minnkota Power</w:t>
            </w:r>
          </w:p>
        </w:tc>
        <w:tc>
          <w:tcPr>
            <w:tcW w:w="960" w:type="dxa"/>
            <w:vAlign w:val="bottom"/>
          </w:tcPr>
          <w:p>
            <w:pPr>
              <w:jc w:val="center"/>
              <w:spacing w:after="0"/>
              <w:rPr>
                <w:sz w:val="20"/>
                <w:szCs w:val="20"/>
                <w:color w:val="auto"/>
              </w:rPr>
            </w:pPr>
            <w:r>
              <w:rPr>
                <w:rFonts w:ascii="Arial" w:cs="Arial" w:eastAsia="Arial" w:hAnsi="Arial"/>
                <w:sz w:val="16"/>
                <w:szCs w:val="16"/>
                <w:i w:val="1"/>
                <w:iCs w:val="1"/>
                <w:color w:val="auto"/>
                <w:w w:val="96"/>
              </w:rPr>
              <w:t>(k)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Capacity / Energy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2014</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December 2026</w:t>
            </w:r>
          </w:p>
        </w:tc>
        <w:tc>
          <w:tcPr>
            <w:tcW w:w="1920" w:type="dxa"/>
            <w:vAlign w:val="bottom"/>
          </w:tcPr>
          <w:p>
            <w:pPr>
              <w:jc w:val="center"/>
              <w:spacing w:after="0"/>
              <w:rPr>
                <w:sz w:val="20"/>
                <w:szCs w:val="20"/>
                <w:color w:val="auto"/>
              </w:rPr>
            </w:pPr>
            <w:r>
              <w:rPr>
                <w:rFonts w:ascii="Arial" w:cs="Arial" w:eastAsia="Arial" w:hAnsi="Arial"/>
                <w:sz w:val="16"/>
                <w:szCs w:val="16"/>
                <w:i w:val="1"/>
                <w:iCs w:val="1"/>
                <w:color w:val="auto"/>
                <w:w w:val="96"/>
              </w:rPr>
              <w:t>(k)</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Silver Bay Power</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rPr>
              <w:t>(l)</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2017</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2031</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9"/>
              </w:rPr>
              <w:t>(m)</w:t>
            </w:r>
          </w:p>
        </w:tc>
      </w:tr>
      <w:tr>
        <w:trPr>
          <w:trHeight w:val="20"/>
        </w:trPr>
        <w:tc>
          <w:tcPr>
            <w:tcW w:w="17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price is fixed and the energy price is based on a formula that includes an annual fixed price component adjusted for changes in a natural gas index, as well as market prices.</w:t>
      </w:r>
    </w:p>
    <w:p>
      <w:pPr>
        <w:ind w:left="340" w:hanging="332"/>
        <w:spacing w:after="0" w:line="246" w:lineRule="auto"/>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energy purchased consists primarily of surplus hydro energy on Manitoba Hydro's system and is delivered on a non-firm basis. Minnesota Power will purchase at least one million MWh of energy over the contract term.</w:t>
      </w:r>
    </w:p>
    <w:p>
      <w:pPr>
        <w:ind w:left="340" w:hanging="332"/>
        <w:spacing w:after="0"/>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and energy prices are adjusted annually by the change in a governmental inflationary index.</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Agreements are subject to the construction of additional transmission capacity between Manitoba and the U.S., along with construction of new hydroelectric generating capacity in Manitoba. (See Great Northern Transmission Line.)</w:t>
      </w:r>
    </w:p>
    <w:p>
      <w:pPr>
        <w:ind w:left="340" w:hanging="332"/>
        <w:spacing w:after="0" w:line="246" w:lineRule="auto"/>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price is adjusted annually until 2020 by the change in a governmental inflationary index. The energy price is based on a formula that includes an annual fixed component adjusted for the change in a governmental inflationary index and a natural gas index, as well as market prices.</w:t>
      </w:r>
    </w:p>
    <w:p>
      <w:pPr>
        <w:ind w:left="340" w:hanging="332"/>
        <w:spacing w:after="0"/>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term shall be the 20-year period beginning on the in-service date for the GNTL. (See Great Northern Transmission Line.)</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agreement includes a fixed capacity charge and energy prices that escalate at a fixed rate annually over the term.</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PPAs provide for the purchase of all output from the 50 MW Oliver Wind I and 48 MW Oliver Wind II wind energy facilities.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energy purchased under the 50 MW PPA is during off-peak hours and the 100 MW PPA is during on-peak hours.</w:t>
      </w:r>
    </w:p>
    <w:p>
      <w:pPr>
        <w:spacing w:after="0" w:line="5"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charge is based on a fixed monthly schedule with a minimum annual escalation provision. The energy charge is based on a fixed monthly schedule and provides for annual escalation based on the cost of fuel. The agreement also allows Minnesota Power to recover a pro rata share of increased costs related to emissions that occur during the last five years of the contract.</w:t>
      </w:r>
    </w:p>
    <w:p>
      <w:pPr>
        <w:spacing w:after="0" w:line="1" w:lineRule="exact"/>
        <w:rPr>
          <w:rFonts w:ascii="Arial" w:cs="Arial" w:eastAsia="Arial" w:hAnsi="Arial"/>
          <w:sz w:val="16"/>
          <w:szCs w:val="16"/>
          <w:i w:val="1"/>
          <w:iCs w:val="1"/>
          <w:color w:val="auto"/>
        </w:rPr>
      </w:pPr>
    </w:p>
    <w:p>
      <w:pPr>
        <w:jc w:val="both"/>
        <w:ind w:left="340" w:right="20" w:hanging="332"/>
        <w:spacing w:after="0" w:line="246" w:lineRule="auto"/>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2016 (28 percent in 2015; 23 percent in 2014). (See Square Butte PPA.)</w:t>
      </w:r>
    </w:p>
    <w:p>
      <w:pPr>
        <w:spacing w:after="0" w:line="1"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Silver Bay Power supplies approximately 90 MW of load to Northshore Mining, an affiliate of Silver Bay Power, which has been served predominately through self-generation by Silver Bay Power. In the years 2016 through 2019, Minnesota Power will supply Silver Bay Power with at least 50 MW of energy and Silver Bay Power will have the option to purchase additional energy from Minnesota Power as it transitions away from self-generation. On December 31, 2019, Silver Bay Power will cease its self-generation and Minnesota Power will supply the energy requirements for Silver Bay Power.</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energy pricing is fixed through 2019 with pricing in later years escalating at a fixed rate annually and adjusted for changes in a natural gas index.</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702"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Transmission</w:t>
      </w:r>
      <w:r>
        <w:rPr>
          <w:rFonts w:ascii="Arial" w:cs="Arial" w:eastAsia="Arial" w:hAnsi="Arial"/>
          <w:sz w:val="17"/>
          <w:szCs w:val="17"/>
          <w:color w:val="auto"/>
        </w:rPr>
        <w:t>. 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 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and Manitoba Hydro proposed construction of the GNTL, an approximately 220-mile 500-kV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GNTL is subject to various federal and state regulatory approvals. In 2013, a certificate of need application was filed with the MPUC which was approved in a June 2015 order. Based on this order, Minnesota Power’s portion of the investments and expenditures for the project are eligible for cost recovery under its existing transmission cost recovery rider and are anticipated to be included in future transmission factor filings. (See Note 4. Regulatory Matters.) In a December 2015 order, the FERC approved our request to recover on construction work in progress related to the GNTL from Minnesota Power’s wholesale customers. In 2014, Minnesota Power filed a route permit application with the MPUC and a request for a presidential permit to cross the U.S.-Canadian border with the U.S. Department of Energy. In an order dated April 11, 2016, the MPUC approved the route permit which largely follows Minnesota Power’s preferred route, including the international border crossing, and on November 16, 2016, the U.S. Department of Energy issued a presidential permit, which was the final major regulatory approval needed before construction in the U.S. can begin in early 2017. Construction is expected to be completed in 2020, and total project cost in the U.S., including substation work, is estimated to be between $560 million and $710 million. Minnesota Power is expected to have majority ownership of the transmission line.</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September 2015, Manitoba Hydro submitted the final preferred route and EIS for the transmission line in Canada to the Manitoba Conservation and Water Stewardship for regulatory approval. Construction of Manitoba Hydro’s hydroelectric generation facility commenced in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regulation under many of these regulations. In response to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to conduct such operations have been obtained. We anticipate that with many state and federal environmental regulations finalized, or to be finalized in the near future, potential expenditures for future environmental matters may be material and may require significant capital investments. Minnesota Power has evaluated various environmental compliance scenarios using possible outcomes of environmental regulations to project power supply trends and impacts on customers.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702"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New Source Review (NSR). </w:t>
      </w:r>
      <w:r>
        <w:rPr>
          <w:rFonts w:ascii="Arial" w:cs="Arial" w:eastAsia="Arial" w:hAnsi="Arial"/>
          <w:sz w:val="17"/>
          <w:szCs w:val="17"/>
          <w:color w:val="auto"/>
        </w:rPr>
        <w:t>In 2008, Minnesota Power received a Notice of Violation (NOV) from the EPA asserting violations of the NSR requirements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Clean Air Act at Boswell and Laskin Unit 2 between the years of 1981 and 2001. Minnesota Power received an additional NOV in April 2011 alleging that two projects undertaken at Rapids Energy Center in 2004 and 2005 should have been reviewed under the NSR requirements and that the Rapids Energy Center’s Title V permit was violated. Minnesota Power reached a settlement with the EPA regarding these NOVs and entered into a Consent Decree which was approved by the U.S. District Court for the District of Minnesota in 2014. The Consent Decree provided for, among other requirements, more stringent emissions limits at all affected units, the option of refueling, retrofits or retirements at certain small coal units, and the addition of 200 MW of wind energy. Provisions of the Consent Decree require that, by no later than December 31, 2018, Boswell Units 1 and 2 must be retired, refueled, repowered, or emissions rerouted through existing emission control technology at Boswell. On October 19, 2016, Minnesota Power announced that Boswell Units 1 and 2 will be retired in 2018 as the latest step in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We believe that costs to retire will be eligible for recovery in rates over time, subject to regulatory approval in a rate proceeding.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a total of 28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rather it requires that facilities have sufficient allowances to cover their emissions on an annual basis. These allowances are allocated to facilities from each state’s annual budget, and can be bought and sold.</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2014, the EPA distributed the CSAPR allowances to CSAPR-subject units for the Phase I years (2015 and 2016). Phase II allowances (2017 and beyond) for 2017 and 2018 were distributed on June 29, 2016. Based on our review of the NO</w:t>
      </w:r>
      <w:r>
        <w:rPr>
          <w:rFonts w:ascii="Arial" w:cs="Arial" w:eastAsia="Arial" w:hAnsi="Arial"/>
          <w:sz w:val="11"/>
          <w:szCs w:val="11"/>
          <w:color w:val="auto"/>
        </w:rPr>
        <w:t>x</w:t>
      </w:r>
      <w:r>
        <w:rPr>
          <w:rFonts w:ascii="Arial" w:cs="Arial" w:eastAsia="Arial" w:hAnsi="Arial"/>
          <w:sz w:val="16"/>
          <w:szCs w:val="16"/>
          <w:color w:val="auto"/>
        </w:rPr>
        <w:t xml:space="preserve"> and SO</w:t>
      </w:r>
      <w:r>
        <w:rPr>
          <w:rFonts w:ascii="Arial" w:cs="Arial" w:eastAsia="Arial" w:hAnsi="Arial"/>
          <w:sz w:val="11"/>
          <w:szCs w:val="11"/>
          <w:color w:val="auto"/>
        </w:rPr>
        <w:t>2</w:t>
      </w:r>
      <w:r>
        <w:rPr>
          <w:rFonts w:ascii="Arial" w:cs="Arial" w:eastAsia="Arial" w:hAnsi="Arial"/>
          <w:sz w:val="16"/>
          <w:szCs w:val="16"/>
          <w:color w:val="auto"/>
        </w:rPr>
        <w:t xml:space="preserve"> Phase I and Phase II allowances already issued, and Phase II allowances not yet issued, we currently expect projected generation levels and emission rates will result in compliance in both Phase I and Phase II.</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Mercury and Air Toxics Standards (MATS) Rule (formerly known as the Electric Generating Unit Maximum Achievable Control Technology (MACT) Rule). </w:t>
      </w:r>
      <w:r>
        <w:rPr>
          <w:rFonts w:ascii="Arial" w:cs="Arial" w:eastAsia="Arial" w:hAnsi="Arial"/>
          <w:sz w:val="16"/>
          <w:szCs w:val="16"/>
          <w:color w:val="auto"/>
        </w:rPr>
        <w:t>Under Section 112 of the Clean Air Act, the EPA is required to set emission standards for hazardous air pollutants (HAPs) for certain source categories. The EPA published the final MATS rule in the Federal Register in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were required to be in compliance with the rule by April 2015. States had the authority to grant sources a one-year extension. The MPCA approved Minnesota Power’s request for an extension of the date of compliance for the Boswell Unit 4 environmental upgrade to April 1, 2016. Construction on the project to implement the Boswell Unit 4 mercury emissions reduction plan was completed in 2015. Boswell Unit 3 is also subject to the MATS rule; however, investments and compliance work completed at Boswell Unit 3, including the emission reduction investments completed in 2009, meet the requirements of the MATS rule. The conversion of Laskin Units 1 and 2 to natural gas in June 2015 positioned those units for MATS compliance.</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2015, the U.S. Supreme Court reversed and remanded an earlier U.S. Court of Appeals for the D.C. Circuit decision on the MATS rule. The U.S. Supreme Court ruled that it was unreasonable for the EPA to deem cost of compliance irrelevant in determining that regulation of emissions of hazardous air pollutants from power plants was “appropriate and necessary” under Section 112 of the Clean Air Act. The MATS rule remains in effect until the U.S. Court of Appeals for the D.C. Circuit acts on the remand. In December 2015, the U.S. Court of Appeals for the D.C. Circuit rejected a motion by utilities and states to vacate the MATS rule, instead ordering the rule to remain in effect while the EPA completes its review. On April 15, 2016, the EPA announced its determination that the MATS rule is appropriate and necessary, even after considering cost of compliance. The outcome of these proceedings is not expected to have a material impact on Minnesota Power generation due to emission reduction obligations under the Minnesota Mercury Emissions Reduction Act and the Consent Decree. (See </w:t>
      </w:r>
      <w:r>
        <w:rPr>
          <w:rFonts w:ascii="Arial" w:cs="Arial" w:eastAsia="Arial" w:hAnsi="Arial"/>
          <w:sz w:val="17"/>
          <w:szCs w:val="17"/>
          <w:i w:val="1"/>
          <w:iCs w:val="1"/>
          <w:color w:val="auto"/>
        </w:rPr>
        <w:t>New Source Review.</w:t>
      </w:r>
      <w:r>
        <w:rPr>
          <w:rFonts w:ascii="Arial" w:cs="Arial" w:eastAsia="Arial" w:hAnsi="Arial"/>
          <w:sz w:val="17"/>
          <w:szCs w:val="17"/>
          <w:color w:val="auto"/>
        </w:rPr>
        <w: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Mercury Emissions Reduction Act/Rule. </w:t>
      </w:r>
      <w:r>
        <w:rPr>
          <w:rFonts w:ascii="Arial" w:cs="Arial" w:eastAsia="Arial" w:hAnsi="Arial"/>
          <w:sz w:val="18"/>
          <w:szCs w:val="18"/>
          <w:color w:val="auto"/>
        </w:rPr>
        <w:t>In order to comply with the 2006 Minnesota Mercury Emissions Reduction Act, which was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into rules promulgated by the MPCA in September 2014, Minnesota Power was required to implement a mercury emissions reduction project for Boswell Unit 4 by December 31, 2018. The Boswell Unit 4 environmental upgrade discussed above (see </w:t>
      </w:r>
      <w:r>
        <w:rPr>
          <w:rFonts w:ascii="Arial" w:cs="Arial" w:eastAsia="Arial" w:hAnsi="Arial"/>
          <w:sz w:val="18"/>
          <w:szCs w:val="18"/>
          <w:i w:val="1"/>
          <w:iCs w:val="1"/>
          <w:color w:val="auto"/>
        </w:rPr>
        <w:t>Mercury and Air Toxics Standards (MATS) Rule</w:t>
      </w:r>
      <w:r>
        <w:rPr>
          <w:rFonts w:ascii="Arial" w:cs="Arial" w:eastAsia="Arial" w:hAnsi="Arial"/>
          <w:sz w:val="18"/>
          <w:szCs w:val="18"/>
          <w:color w:val="auto"/>
        </w:rPr>
        <w:t>) fulfills the requirements of the Minnesota Mercury Emissions Reduction Act.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702"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8"/>
          <w:szCs w:val="18"/>
          <w:color w:val="auto"/>
        </w:rPr>
        <w:t>A</w:t>
      </w:r>
      <w:r>
        <w:rPr>
          <w:rFonts w:ascii="Arial" w:cs="Arial" w:eastAsia="Arial" w:hAnsi="Arial"/>
          <w:sz w:val="18"/>
          <w:szCs w:val="18"/>
          <w:i w:val="1"/>
          <w:iCs w:val="1"/>
          <w:color w:val="auto"/>
        </w:rPr>
        <w:t xml:space="preserve"> </w:t>
      </w:r>
      <w:r>
        <w:rPr>
          <w:rFonts w:ascii="Arial" w:cs="Arial" w:eastAsia="Arial" w:hAnsi="Arial"/>
          <w:sz w:val="18"/>
          <w:szCs w:val="18"/>
          <w:color w:val="auto"/>
        </w:rPr>
        <w:t>final rule issued by the EPA for Industrial Boiler MACT became effective in 2012. Major existing sources had until January 31, 2016, to achieve compliance with the final rule and July 29, 2016, to perform initial compliance demonstrations. Minnesota Power’s Hibbard Renewable Energy Center and Rapids Energy Center are subject to this rule and are currently in compliance. Compliance consists largely of adjustments to our operating practices; therefore, the costs for complying with the final rule are not expected to be material.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has proposed more stringent control related to emissions that result in ground level ozone. In 2010, the EPA proposed to revise the</w:t>
      </w:r>
      <w:r>
        <w:rPr>
          <w:rFonts w:ascii="Arial" w:cs="Arial" w:eastAsia="Arial" w:hAnsi="Arial"/>
          <w:sz w:val="17"/>
          <w:szCs w:val="17"/>
          <w:i w:val="1"/>
          <w:iCs w:val="1"/>
          <w:color w:val="auto"/>
        </w:rPr>
        <w:t xml:space="preserve"> </w:t>
      </w:r>
      <w:r>
        <w:rPr>
          <w:rFonts w:ascii="Arial" w:cs="Arial" w:eastAsia="Arial" w:hAnsi="Arial"/>
          <w:sz w:val="17"/>
          <w:szCs w:val="17"/>
          <w:color w:val="auto"/>
        </w:rPr>
        <w:t>2008 eight-hour ozone standard of 75 parts per billion (ppb) and to adopt a secondary standard for the protection of sensitive vegetation from ozone-related damage. In October 2015, the EPA published the final rule in the Federal Register revising the eight-hour ozone standard to 70 ppb with a secondary standard also set at 70 ppb. All areas of Minnesota currently meet the new standard based on the most recent available ambient monitoring data; however, some areas in the metropolitan Twin Cities and southwest portion of the state are close to exceeding the standard. As a result, voluntary efforts to reduce ozone continue in the state. No additional costs for compliance are anticipated at this time.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Particulate Matter NAAQS. </w:t>
      </w:r>
      <w:r>
        <w:rPr>
          <w:rFonts w:ascii="Arial" w:cs="Arial" w:eastAsia="Arial" w:hAnsi="Arial"/>
          <w:sz w:val="18"/>
          <w:szCs w:val="18"/>
          <w:color w:val="auto"/>
        </w:rPr>
        <w:t>The EPA finalized the Particulate Matter NAAQS in 2006. Since then, the EPA has established more stringent 24-hour and annual</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fine particulate matter (PM</w:t>
      </w:r>
      <w:r>
        <w:rPr>
          <w:rFonts w:ascii="Arial" w:cs="Arial" w:eastAsia="Arial" w:hAnsi="Arial"/>
          <w:sz w:val="12"/>
          <w:szCs w:val="12"/>
          <w:color w:val="auto"/>
        </w:rPr>
        <w:t>2.5</w:t>
      </w:r>
      <w:r>
        <w:rPr>
          <w:rFonts w:ascii="Arial" w:cs="Arial" w:eastAsia="Arial" w:hAnsi="Arial"/>
          <w:sz w:val="18"/>
          <w:szCs w:val="18"/>
          <w:color w:val="auto"/>
        </w:rPr>
        <w:t>) standards; the 24-hour coarse particulate matter standard has remained unchanged. In 2012, the EPA issued a final rule implementing a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revising aspects of relevant monitoring, designation and permitting requirements. New projects and permits must comply with the new standard, which is generally demonstrated by modeling at the facility level.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relocating or repurposing existing monitors. The EPA asked states to submit attainment designations by 2013, based on already available monitoring data, and issued designations of the 2012 revised primary annual fine particulate attainment status in 2014. The EPA designated the entire state of Minnesota as unclassifiable/attainment; however, Minnesota sources may ultimately be required to reduce their emissions to assist with attainment in neighboring states. On September 27, 2016, environmental groups filed a lawsuit against the EPA in the United States District Court for the Northern District of California alleging the EPA had failed to fully implement the PM</w:t>
      </w:r>
      <w:r>
        <w:rPr>
          <w:rFonts w:ascii="Arial" w:cs="Arial" w:eastAsia="Arial" w:hAnsi="Arial"/>
          <w:sz w:val="12"/>
          <w:szCs w:val="12"/>
          <w:color w:val="auto"/>
        </w:rPr>
        <w:t>2.5</w:t>
      </w:r>
      <w:r>
        <w:rPr>
          <w:rFonts w:ascii="Arial" w:cs="Arial" w:eastAsia="Arial" w:hAnsi="Arial"/>
          <w:sz w:val="18"/>
          <w:szCs w:val="18"/>
          <w:color w:val="auto"/>
        </w:rPr>
        <w:t xml:space="preserve"> standards in 24 states, including Minnesota, by not enforcing states’ submittals of required infrastructure SIPs for the 2012 PM</w:t>
      </w:r>
      <w:r>
        <w:rPr>
          <w:rFonts w:ascii="Arial" w:cs="Arial" w:eastAsia="Arial" w:hAnsi="Arial"/>
          <w:sz w:val="12"/>
          <w:szCs w:val="12"/>
          <w:color w:val="auto"/>
        </w:rPr>
        <w:t>2.5</w:t>
      </w:r>
      <w:r>
        <w:rPr>
          <w:rFonts w:ascii="Arial" w:cs="Arial" w:eastAsia="Arial" w:hAnsi="Arial"/>
          <w:sz w:val="18"/>
          <w:szCs w:val="18"/>
          <w:color w:val="auto"/>
        </w:rPr>
        <w:t xml:space="preserve"> NAAQS. The outcome of this litigation is uncertain, and as such any costs for complying with the final Particulate Matter NAAQS cannot be estimated at this time.</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SO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NAAQS. </w:t>
      </w:r>
      <w:r>
        <w:rPr>
          <w:rFonts w:ascii="Arial" w:cs="Arial" w:eastAsia="Arial" w:hAnsi="Arial"/>
          <w:sz w:val="16"/>
          <w:szCs w:val="16"/>
          <w:color w:val="auto"/>
        </w:rPr>
        <w:t>During 2010, the EPA finalized one-hour NAAQS for SO</w:t>
      </w:r>
      <w:r>
        <w:rPr>
          <w:rFonts w:ascii="Arial" w:cs="Arial" w:eastAsia="Arial" w:hAnsi="Arial"/>
          <w:sz w:val="11"/>
          <w:szCs w:val="11"/>
          <w:color w:val="auto"/>
        </w:rPr>
        <w:t>2</w:t>
      </w:r>
      <w:r>
        <w:rPr>
          <w:rFonts w:ascii="Arial" w:cs="Arial" w:eastAsia="Arial" w:hAnsi="Arial"/>
          <w:sz w:val="16"/>
          <w:szCs w:val="16"/>
          <w:i w:val="1"/>
          <w:iCs w:val="1"/>
          <w:color w:val="auto"/>
        </w:rPr>
        <w:t xml:space="preserve"> </w:t>
      </w:r>
      <w:r>
        <w:rPr>
          <w:rFonts w:ascii="Arial" w:cs="Arial" w:eastAsia="Arial" w:hAnsi="Arial"/>
          <w:sz w:val="16"/>
          <w:szCs w:val="16"/>
          <w:color w:val="auto"/>
        </w:rPr>
        <w:t>and NO</w:t>
      </w:r>
      <w:r>
        <w:rPr>
          <w:rFonts w:ascii="Arial" w:cs="Arial" w:eastAsia="Arial" w:hAnsi="Arial"/>
          <w:sz w:val="11"/>
          <w:szCs w:val="11"/>
          <w:color w:val="auto"/>
        </w:rPr>
        <w:t>2</w:t>
      </w:r>
      <w:r>
        <w:rPr>
          <w:rFonts w:ascii="Arial" w:cs="Arial" w:eastAsia="Arial" w:hAnsi="Arial"/>
          <w:sz w:val="16"/>
          <w:szCs w:val="16"/>
          <w:color w:val="auto"/>
        </w:rPr>
        <w:t>. Ambient monitoring data indicates that Minnesota is likely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these standards; however, the one-hour SO</w:t>
      </w:r>
      <w:r>
        <w:rPr>
          <w:rFonts w:ascii="Arial" w:cs="Arial" w:eastAsia="Arial" w:hAnsi="Arial"/>
          <w:sz w:val="11"/>
          <w:szCs w:val="11"/>
          <w:color w:val="auto"/>
        </w:rPr>
        <w:t>2</w:t>
      </w:r>
      <w:r>
        <w:rPr>
          <w:rFonts w:ascii="Arial" w:cs="Arial" w:eastAsia="Arial" w:hAnsi="Arial"/>
          <w:sz w:val="16"/>
          <w:szCs w:val="16"/>
          <w:color w:val="auto"/>
        </w:rPr>
        <w:t xml:space="preserve"> NAAQS also requires the EPA to evaluate additional modeling and monitoring considerations to determine attainment. In 2012, the MPCA notified Minnesota Power that modeling had been suspended as a result of the EPA’s announcement that the SIP submittals would not require modeling demonstrations for states, such as Minnesota, where ambient monitors indicate compliance with the standard. The EPA notified states that their infrastructure SIPs for maintaining attainment of the standard were required to be submitted to the EPA for approval by 2013. However, the State of Minnesota delayed completing the documents pending EPA guidance to states for preparing the SIP submittal.</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2013, the EPA provided guidance to states regarding implementation of the one-hour NO</w:t>
      </w:r>
      <w:r>
        <w:rPr>
          <w:rFonts w:ascii="Arial" w:cs="Arial" w:eastAsia="Arial" w:hAnsi="Arial"/>
          <w:sz w:val="11"/>
          <w:szCs w:val="11"/>
          <w:color w:val="auto"/>
        </w:rPr>
        <w:t>2</w:t>
      </w:r>
      <w:r>
        <w:rPr>
          <w:rFonts w:ascii="Arial" w:cs="Arial" w:eastAsia="Arial" w:hAnsi="Arial"/>
          <w:sz w:val="16"/>
          <w:szCs w:val="16"/>
          <w:color w:val="auto"/>
        </w:rPr>
        <w:t xml:space="preserve"> NAAQS and in 2014, as clarified in February 2015, the MPCA submitted a SIP revision to the EPA addressing the infrastructure requirements of Sections 110(a)(1) and 110(a)(2) of the Clean Air Act in regards to the one-hour NO</w:t>
      </w:r>
      <w:r>
        <w:rPr>
          <w:rFonts w:ascii="Arial" w:cs="Arial" w:eastAsia="Arial" w:hAnsi="Arial"/>
          <w:sz w:val="11"/>
          <w:szCs w:val="11"/>
          <w:color w:val="auto"/>
        </w:rPr>
        <w:t>2</w:t>
      </w:r>
      <w:r>
        <w:rPr>
          <w:rFonts w:ascii="Arial" w:cs="Arial" w:eastAsia="Arial" w:hAnsi="Arial"/>
          <w:sz w:val="16"/>
          <w:szCs w:val="16"/>
          <w:color w:val="auto"/>
        </w:rPr>
        <w:t xml:space="preserve"> and SO</w:t>
      </w:r>
      <w:r>
        <w:rPr>
          <w:rFonts w:ascii="Arial" w:cs="Arial" w:eastAsia="Arial" w:hAnsi="Arial"/>
          <w:sz w:val="11"/>
          <w:szCs w:val="11"/>
          <w:color w:val="auto"/>
        </w:rPr>
        <w:t>2</w:t>
      </w:r>
      <w:r>
        <w:rPr>
          <w:rFonts w:ascii="Arial" w:cs="Arial" w:eastAsia="Arial" w:hAnsi="Arial"/>
          <w:sz w:val="16"/>
          <w:szCs w:val="16"/>
          <w:color w:val="auto"/>
        </w:rPr>
        <w:t xml:space="preserve"> NAAQS, among other standards. The SIP stated that since the EPA determined in 2012 that no area in the country is in violation of the one-hour NO</w:t>
      </w:r>
      <w:r>
        <w:rPr>
          <w:rFonts w:ascii="Arial" w:cs="Arial" w:eastAsia="Arial" w:hAnsi="Arial"/>
          <w:sz w:val="11"/>
          <w:szCs w:val="11"/>
          <w:color w:val="auto"/>
        </w:rPr>
        <w:t>2</w:t>
      </w:r>
      <w:r>
        <w:rPr>
          <w:rFonts w:ascii="Arial" w:cs="Arial" w:eastAsia="Arial" w:hAnsi="Arial"/>
          <w:sz w:val="16"/>
          <w:szCs w:val="16"/>
          <w:color w:val="auto"/>
        </w:rPr>
        <w:t xml:space="preserve"> NAAQS, there are no nonattainment areas in the country for this pollutant, and therefore Minnesota’s NO</w:t>
      </w:r>
      <w:r>
        <w:rPr>
          <w:rFonts w:ascii="Arial" w:cs="Arial" w:eastAsia="Arial" w:hAnsi="Arial"/>
          <w:sz w:val="11"/>
          <w:szCs w:val="11"/>
          <w:color w:val="auto"/>
        </w:rPr>
        <w:t>2</w:t>
      </w:r>
      <w:r>
        <w:rPr>
          <w:rFonts w:ascii="Arial" w:cs="Arial" w:eastAsia="Arial" w:hAnsi="Arial"/>
          <w:sz w:val="16"/>
          <w:szCs w:val="16"/>
          <w:color w:val="auto"/>
        </w:rPr>
        <w:t xml:space="preserve"> emissions cannot be significantly contributing to nonattainment in any other state. In October 2015, the EPA published in the Federal Register an approval and partial disapproval of the 2014 SIP revision. According to the MPCA, the partial disapproval is regarding state delegation of a program unrelated to the one-hour NAAQS for SO</w:t>
      </w:r>
      <w:r>
        <w:rPr>
          <w:rFonts w:ascii="Arial" w:cs="Arial" w:eastAsia="Arial" w:hAnsi="Arial"/>
          <w:sz w:val="11"/>
          <w:szCs w:val="11"/>
          <w:color w:val="auto"/>
        </w:rPr>
        <w:t>2</w:t>
      </w:r>
      <w:r>
        <w:rPr>
          <w:rFonts w:ascii="Arial" w:cs="Arial" w:eastAsia="Arial" w:hAnsi="Arial"/>
          <w:sz w:val="16"/>
          <w:szCs w:val="16"/>
          <w:color w:val="auto"/>
        </w:rPr>
        <w:t xml:space="preserve"> and NO</w:t>
      </w:r>
      <w:r>
        <w:rPr>
          <w:rFonts w:ascii="Arial" w:cs="Arial" w:eastAsia="Arial" w:hAnsi="Arial"/>
          <w:sz w:val="11"/>
          <w:szCs w:val="11"/>
          <w:color w:val="auto"/>
        </w:rPr>
        <w:t>2,</w:t>
      </w:r>
      <w:r>
        <w:rPr>
          <w:rFonts w:ascii="Arial" w:cs="Arial" w:eastAsia="Arial" w:hAnsi="Arial"/>
          <w:sz w:val="16"/>
          <w:szCs w:val="16"/>
          <w:color w:val="auto"/>
        </w:rPr>
        <w:t xml:space="preserve"> and is not expected to require further action. As such, additional compliance costs for the one-hour NO</w:t>
      </w:r>
      <w:r>
        <w:rPr>
          <w:rFonts w:ascii="Arial" w:cs="Arial" w:eastAsia="Arial" w:hAnsi="Arial"/>
          <w:sz w:val="11"/>
          <w:szCs w:val="11"/>
          <w:color w:val="auto"/>
        </w:rPr>
        <w:t>2</w:t>
      </w:r>
      <w:r>
        <w:rPr>
          <w:rFonts w:ascii="Arial" w:cs="Arial" w:eastAsia="Arial" w:hAnsi="Arial"/>
          <w:sz w:val="16"/>
          <w:szCs w:val="16"/>
          <w:color w:val="auto"/>
        </w:rPr>
        <w:t xml:space="preserve"> NAAQS are not expected at this time.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702"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2015, the EPA finalized the SO</w:t>
      </w:r>
      <w:r>
        <w:rPr>
          <w:rFonts w:ascii="Arial" w:cs="Arial" w:eastAsia="Arial" w:hAnsi="Arial"/>
          <w:sz w:val="11"/>
          <w:szCs w:val="11"/>
          <w:color w:val="auto"/>
        </w:rPr>
        <w:t>2</w:t>
      </w:r>
      <w:r>
        <w:rPr>
          <w:rFonts w:ascii="Arial" w:cs="Arial" w:eastAsia="Arial" w:hAnsi="Arial"/>
          <w:sz w:val="17"/>
          <w:szCs w:val="17"/>
          <w:color w:val="auto"/>
        </w:rPr>
        <w:t xml:space="preserve"> data requirements rule (DRR) for the 2010 one-hour NAAQS to assist the states in implementing the standard. The rule sets emissions thresholds and exemptions for facilities that trigger modeling requirements. On January 8, 2016, the MPCA informed the EPA of the Minnesota sources subject to the rule, confirming that Boswell and Taconite Harbor are the only Minnesota Power generating facilities subject to the DRR. The MPCA was required to notify the EPA as to how each source will evaluate air quality by July 1, 2016. Compliance options include ambient monitoring, modeling existing enforceable emission limits, or modeling actual emissions. The MPCA initially informed Minnesota Power that compliant SO</w:t>
      </w:r>
      <w:r>
        <w:rPr>
          <w:rFonts w:ascii="Arial" w:cs="Arial" w:eastAsia="Arial" w:hAnsi="Arial"/>
          <w:sz w:val="11"/>
          <w:szCs w:val="11"/>
          <w:color w:val="auto"/>
        </w:rPr>
        <w:t>2</w:t>
      </w:r>
      <w:r>
        <w:rPr>
          <w:rFonts w:ascii="Arial" w:cs="Arial" w:eastAsia="Arial" w:hAnsi="Arial"/>
          <w:sz w:val="17"/>
          <w:szCs w:val="17"/>
          <w:color w:val="auto"/>
        </w:rPr>
        <w:t xml:space="preserve"> modeling recently completed at these facilities would satisfy the DRR obligations and no further modeling would be required; however, the DRR also requires facilities have federally-enforceable permit limits at which the one-hour SO</w:t>
      </w:r>
      <w:r>
        <w:rPr>
          <w:rFonts w:ascii="Arial" w:cs="Arial" w:eastAsia="Arial" w:hAnsi="Arial"/>
          <w:sz w:val="11"/>
          <w:szCs w:val="11"/>
          <w:color w:val="auto"/>
        </w:rPr>
        <w:t>2</w:t>
      </w:r>
      <w:r>
        <w:rPr>
          <w:rFonts w:ascii="Arial" w:cs="Arial" w:eastAsia="Arial" w:hAnsi="Arial"/>
          <w:sz w:val="17"/>
          <w:szCs w:val="17"/>
          <w:color w:val="auto"/>
        </w:rPr>
        <w:t xml:space="preserve"> NAAQS compliance was modeled by January 13, 2017. Taconite Harbor was issued an amended air permit on September 1, 2016, containing the new modeling limits at that facility. The MPCA did not meet the January 13, 2017, deadline to amend the Boswell permit. The MPCA is in discussions with the EPA on alternate compliance pathways to use existing completed modeling at current limits. Compliance costs for the one-hour SO</w:t>
      </w:r>
      <w:r>
        <w:rPr>
          <w:rFonts w:ascii="Arial" w:cs="Arial" w:eastAsia="Arial" w:hAnsi="Arial"/>
          <w:sz w:val="11"/>
          <w:szCs w:val="11"/>
          <w:color w:val="auto"/>
        </w:rPr>
        <w:t>2</w:t>
      </w:r>
      <w:r>
        <w:rPr>
          <w:rFonts w:ascii="Arial" w:cs="Arial" w:eastAsia="Arial" w:hAnsi="Arial"/>
          <w:sz w:val="17"/>
          <w:szCs w:val="17"/>
          <w:color w:val="auto"/>
        </w:rPr>
        <w:t xml:space="preserve"> NAAQS are not expected to be material.</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Class I Air Quality Petitions and Requests. </w:t>
      </w:r>
      <w:r>
        <w:rPr>
          <w:rFonts w:ascii="Arial" w:cs="Arial" w:eastAsia="Arial" w:hAnsi="Arial"/>
          <w:sz w:val="18"/>
          <w:szCs w:val="18"/>
          <w:color w:val="auto"/>
        </w:rPr>
        <w:t>In 2014, the Fond du Lac Band of Lake Superior Chippewa (Fond du Lac Band) announced its intent to 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EPA to redesignate its reservation air shed from Class II to Class I air quality pursuant to Section 164(c) of the Clean Air Act. The Fond du Lac Band does not currently possess authority to directly regulate air quality. Class I air shed status, if granted, would allow the Fond du Lac Band to impose more stringent Clean Air Act protections within the boundaries of the Fond du Lac reservation, including the reservation air shed, near Cloquet, Minnesota. Five other reservations across the U.S. have received Class I status. A public hearing was held by the Fond du Lac Band in October 2014, and the extended public comment period on the petition expired in November 2014. After the Fond du Lac Band prepares responses to the comments, it is anticipated to make a formal submittal request to the EPA.</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2013, the Bad River Band of Lake Superior Chippewa (Bad River Band) announced its intent to petition the EPA to redesignate its reservation air shed, which is located approximately 100 miles east of Duluth, Minnesota, from Class II to Class I air quality pursuant to Section 164(c) of the Clean Air Act. The Class I analysis report was issued by the Bad River Band in January 2015 which was followed by public hearings in March 2015 and a public comment period ending in May 2015. After the Bad River Band prepares responses to the comments, it is also anticipated to make a formal submittal request to the EPA.</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no deadline for the approval, denial, or modification of these requests by the EPA. We are unable to determine the impact of potential Class I status on the Company’s operations at this time.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President Obama’s Climate Action Plan. </w:t>
      </w:r>
      <w:r>
        <w:rPr>
          <w:rFonts w:ascii="Arial" w:cs="Arial" w:eastAsia="Arial" w:hAnsi="Arial"/>
          <w:sz w:val="18"/>
          <w:szCs w:val="18"/>
          <w:color w:val="auto"/>
        </w:rPr>
        <w:t>In 2015, President Obama announced an updated Climate Action Plan (CAP) that calls for implementation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2010, the EPA issued the Prevention of Significant Deterioration (PSD) and Title V Greenhouse Gas Tailoring Rule</w:t>
      </w:r>
      <w:r>
        <w:rPr>
          <w:rFonts w:ascii="Arial" w:cs="Arial" w:eastAsia="Arial" w:hAnsi="Arial"/>
          <w:sz w:val="18"/>
          <w:szCs w:val="18"/>
          <w:i w:val="1"/>
          <w:iCs w:val="1"/>
          <w:color w:val="auto"/>
        </w:rPr>
        <w:t xml:space="preserve"> </w:t>
      </w:r>
      <w:r>
        <w:rPr>
          <w:rFonts w:ascii="Arial" w:cs="Arial" w:eastAsia="Arial" w:hAnsi="Arial"/>
          <w:sz w:val="18"/>
          <w:szCs w:val="18"/>
          <w:color w:val="auto"/>
        </w:rPr>
        <w:t>(Tailoring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702"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w:t>
      </w:r>
      <w:r>
        <w:rPr>
          <w:rFonts w:ascii="MS PGothic" w:cs="MS PGothic" w:eastAsia="MS PGothic" w:hAnsi="MS PGothic"/>
          <w:sz w:val="17"/>
          <w:szCs w:val="17"/>
          <w:color w:val="auto"/>
        </w:rPr>
        <w:t>‑</w:t>
      </w:r>
      <w:r>
        <w:rPr>
          <w:rFonts w:ascii="Arial" w:cs="Arial" w:eastAsia="Arial" w:hAnsi="Arial"/>
          <w:sz w:val="17"/>
          <w:szCs w:val="17"/>
          <w:color w:val="auto"/>
        </w:rPr>
        <w:t>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2014, the U.S. Supreme Court invalidated the aspect of the Tailoring Rule that established higher permitting thresholds for GHG than for other pollutants subject to PSD. However, the court also upheld the EPA’s power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At this time, we are unable to predict the compliance costs that we might incur.</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3, 2016, the EPA published a proposed rule in the Federal Register to revise its PSD and Title V regulatory provisions concerning GHG emissions. In this proposed rule, the EPA proposes to amend its regulations to clarify that a source’s obligation to obtain a PSD or Title V permit is triggered only by non-GHG pollutants. If the PSD or Title V permitting requirements are triggered by non-GHG, NSR pollutants, then these programs will also apply to the source’s GHG emissions. The proposed rule, as currently written, is not expected to have a material impact on the Title V permitting for current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under Section 111(b) of the Clean Air Act, to new fossil fuel-fired electric generating units. The proposed NSPS would have applied only to new or re-powered units. Based on the volume of comments received, the EPA announced its intent to re-propose the rule. In 2013, the EPA retracted its 2012 proposal and announced the release of a revised NSPS for new or re-powered utility CO</w:t>
      </w:r>
      <w:r>
        <w:rPr>
          <w:rFonts w:ascii="Arial" w:cs="Arial" w:eastAsia="Arial" w:hAnsi="Arial"/>
          <w:sz w:val="12"/>
          <w:szCs w:val="12"/>
          <w:color w:val="auto"/>
        </w:rPr>
        <w:t>2</w:t>
      </w:r>
      <w:r>
        <w:rPr>
          <w:rFonts w:ascii="Arial" w:cs="Arial" w:eastAsia="Arial" w:hAnsi="Arial"/>
          <w:sz w:val="18"/>
          <w:szCs w:val="18"/>
          <w:color w:val="auto"/>
        </w:rPr>
        <w:t xml:space="preserve"> emissions.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2014, the EPA announced a proposed rule under Section 111(d) of the Clean Air Act for existing power plants entitled “Carbon Pollution Emission Guidelines for Existing Stationary Sources: Electric Generating Units”, also referred to as the Clean Power Plan (CPP). The EPA issued the final CPP in August 2015, together with a proposed federal implementation plan and a model rule for emissions trading. Petitions for review of the rule were filed with the U.S. Court of Appeals for the District of Columbia Circuit. On February 9, 2016, the U.S. Supreme Court issued an order staying the effectiveness of the rule until after the appellate court process is complete. On September 27, 2016, the U.S. Court of Appeals for the District of Columbia heard oral arguments and is currently deliberating. The EPA is precluded from enforcing the CPP while the U.S. Supreme Court stay is in force; however, the MPCA has been holding a series of meetings on the CPP for educational and planning purposes in the interim. Minnesota Power has been actively involved in these MPCA meetings, and is closely monitoring the appeals process.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upheld, the CPP would establish uniform CO</w:t>
      </w:r>
      <w:r>
        <w:rPr>
          <w:rFonts w:ascii="Arial" w:cs="Arial" w:eastAsia="Arial" w:hAnsi="Arial"/>
          <w:sz w:val="11"/>
          <w:szCs w:val="11"/>
          <w:color w:val="auto"/>
        </w:rPr>
        <w:t>2</w:t>
      </w:r>
      <w:r>
        <w:rPr>
          <w:rFonts w:ascii="Arial" w:cs="Arial" w:eastAsia="Arial" w:hAnsi="Arial"/>
          <w:sz w:val="17"/>
          <w:szCs w:val="17"/>
          <w:color w:val="auto"/>
        </w:rPr>
        <w:t xml:space="preserve"> emission performance rates for existing fossil fuel-fired and natural gas-fired combined cycle generating units, setting state-specific goals for CO</w:t>
      </w:r>
      <w:r>
        <w:rPr>
          <w:rFonts w:ascii="Arial" w:cs="Arial" w:eastAsia="Arial" w:hAnsi="Arial"/>
          <w:sz w:val="11"/>
          <w:szCs w:val="11"/>
          <w:color w:val="auto"/>
        </w:rPr>
        <w:t>2</w:t>
      </w:r>
      <w:r>
        <w:rPr>
          <w:rFonts w:ascii="Arial" w:cs="Arial" w:eastAsia="Arial" w:hAnsi="Arial"/>
          <w:sz w:val="17"/>
          <w:szCs w:val="17"/>
          <w:color w:val="auto"/>
        </w:rPr>
        <w:t xml:space="preserve"> emissions from the power sector. State goals were determined based on CPP source-specific performance emission rates and each state’s mix of power plants. The EPA maintains such goals are achievable if a state undertakes a combination of measures across its power sector that constitutes the EPA’s guideline for a Best System of Emission Reductions (BSER). BSER is comprised of three building blocks: 1) improved fossil fuel power plant efficiency, 2) increased reliance on low-emitting power sources by generating more electricity from existing natural gas combined cycle units, and 3) building more zero- and low-emitting power sources, including renewable energy. States may also choose to include avoided CO</w:t>
      </w:r>
      <w:r>
        <w:rPr>
          <w:rFonts w:ascii="Arial" w:cs="Arial" w:eastAsia="Arial" w:hAnsi="Arial"/>
          <w:sz w:val="11"/>
          <w:szCs w:val="11"/>
          <w:color w:val="auto"/>
        </w:rPr>
        <w:t>2</w:t>
      </w:r>
      <w:r>
        <w:rPr>
          <w:rFonts w:ascii="Arial" w:cs="Arial" w:eastAsia="Arial" w:hAnsi="Arial"/>
          <w:sz w:val="17"/>
          <w:szCs w:val="17"/>
          <w:color w:val="auto"/>
        </w:rPr>
        <w:t xml:space="preserve"> emissions from customer energy efficiency measures for credit towards meeting state goals.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State goals under the CPP are expressed as both mass-based and rate-based, and include interim goals to be met over the years 2022 through 2029, as well as a final goal to be met in 2030 and thereafter. Under the original schedule for the CPP, each state would have been required to develop a SIP by September 6, 2016, or by September 6, 2018, if granted an extension. Due to the U.S. Supreme Court order staying the effectiveness of the CPP, those SIP submittal dates are not currently in effect. If the CPP is upheld at the completion of the appellate court process, all of the CPP regulatory deadlines are expected to be reset based on the length of time that the appeals process takes.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702"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developing its plan, a state may choose to meet either the mass-based or the rate-based goals. Minnesota Power is currently evaluating the CPP as it relates to the State of Minnesota as well as its potential impact on the Company and is actively discussing potential compliance scenarios with regulatory agencies and in public stakeholder meetings. Minnesota has already initiated several measures consistent with those called for under the CAP and CPP. Minnesota Power is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(See Note 4. Regulatory Matters.)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EPA accepted comments through November 1, 2016, on the proposed Clean Energy Incentive Program (CEIP) that may be facilitated as part of the CPP. The CEIP would reassign CPP emission rate credits or allowances for certain early action or designated deployments of renewable energy and energy efficiency measures.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Minnesota Power would seek recovery of any additional costs through a rate proceeding.</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Minnesota’s Next Generation Energy Act of 2007. </w:t>
      </w:r>
      <w:r>
        <w:rPr>
          <w:rFonts w:ascii="Arial" w:cs="Arial" w:eastAsia="Arial" w:hAnsi="Arial"/>
          <w:sz w:val="18"/>
          <w:szCs w:val="18"/>
          <w:color w:val="auto"/>
        </w:rPr>
        <w:t>In April 2014, the U.S. District Court for the District of Minnesota ruled that part of Minnesota’s Next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Energy Act of 2007 (NEGA) violated the Commerce Clause of the U.S. Constitution. The portions of the law which were ruled unconstitutional prohibited the importation of power from a new CO</w:t>
      </w:r>
      <w:r>
        <w:rPr>
          <w:rFonts w:ascii="Arial" w:cs="Arial" w:eastAsia="Arial" w:hAnsi="Arial"/>
          <w:sz w:val="12"/>
          <w:szCs w:val="12"/>
          <w:color w:val="auto"/>
        </w:rPr>
        <w:t>2</w:t>
      </w:r>
      <w:r>
        <w:rPr>
          <w:rFonts w:ascii="Arial" w:cs="Arial" w:eastAsia="Arial" w:hAnsi="Arial"/>
          <w:sz w:val="18"/>
          <w:szCs w:val="18"/>
          <w:color w:val="auto"/>
        </w:rPr>
        <w:t>-producing facility outside of Minnesota and prohibited the entry into new long-term PPAs that would increase CO</w:t>
      </w:r>
      <w:r>
        <w:rPr>
          <w:rFonts w:ascii="Arial" w:cs="Arial" w:eastAsia="Arial" w:hAnsi="Arial"/>
          <w:sz w:val="12"/>
          <w:szCs w:val="12"/>
          <w:color w:val="auto"/>
        </w:rPr>
        <w:t>2</w:t>
      </w:r>
      <w:r>
        <w:rPr>
          <w:rFonts w:ascii="Arial" w:cs="Arial" w:eastAsia="Arial" w:hAnsi="Arial"/>
          <w:sz w:val="18"/>
          <w:szCs w:val="18"/>
          <w:color w:val="auto"/>
        </w:rPr>
        <w:t xml:space="preserve"> emissions in Minnesota. The State of Minnesota appealed the decision to the U.S. Court of Appeals for the Eighth Circuit in 2014. On June 15, 2016, the U.S. Court of Appeals for the Eighth Circuit upheld the federal district court’s decision that part of the NEGA violated the Commerce Clause of the U.S. Constitution. Minnesota Governor Dayton subsequently announced that the State of Minnesota would cease pursuing further appeals of the U.S. Court of Appeals for the Eighth Circuit’s decision.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was effective in 2014. The Section 316(b) standards will be implemented through NPDES permits issued to the covered facilities with compliance timing dependent on individual NPDES renewal schedules. No NPDES permits for Minnesota Power generating facilities have been re-issued containing Section 316(b) requirements since the final rule was published, so at this time we are unable to determine the final cost of compliance. Should the MPCA require significant modifications to Minnesota Power’s intake structures, a preliminary assessment suggests costs of compliance up to $15 million over the next 5 years. Minnesota Power would seek recovery of any additional costs through a general rate case.</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Steam Electric Power Generating Effluent Guidelines. </w:t>
      </w:r>
      <w:r>
        <w:rPr>
          <w:rFonts w:ascii="Arial" w:cs="Arial" w:eastAsia="Arial" w:hAnsi="Arial"/>
          <w:sz w:val="16"/>
          <w:szCs w:val="16"/>
          <w:color w:val="auto"/>
        </w:rPr>
        <w:t>In 2013, the EPA announced proposed revisions to the federal effluent limit guidelines (ELG) for</w:t>
      </w:r>
      <w:r>
        <w:rPr>
          <w:rFonts w:ascii="Arial" w:cs="Arial" w:eastAsia="Arial" w:hAnsi="Arial"/>
          <w:sz w:val="16"/>
          <w:szCs w:val="16"/>
          <w:i w:val="1"/>
          <w:iCs w:val="1"/>
          <w:color w:val="auto"/>
        </w:rPr>
        <w:t xml:space="preserve"> </w:t>
      </w:r>
      <w:r>
        <w:rPr>
          <w:rFonts w:ascii="Arial" w:cs="Arial" w:eastAsia="Arial" w:hAnsi="Arial"/>
          <w:sz w:val="16"/>
          <w:szCs w:val="16"/>
          <w:color w:val="auto"/>
        </w:rPr>
        <w:t>steam electric power generating stations under the Clean Water Act. The final ELG was issued in September 2015. It sets effluent limits and prescribes BACT for several wastewater streams, including flue gas desulphurization (FGD) water and coal combustion landfill leachate. The ELG rule also prohibits the discharge of bottom and fly ash contact waters. Compliance with the final rule is required between November 1, 2018, and December 31, 2023.</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reviewing the final rule and evaluating its potential impact on Minnesota Power’s operations, primarily at Boswell. Boswell currently discharges bottom ash contact water through its NPDES permit, and also has a closed-loop FGD system that does not currently discharge, but may do so in the future. Under the final ELG rule, bottom ash discharge would not be allowed and bottom ash contact water would either need to be re-used in a closed-loop process, routed to a FGD scrubber, or the bottom ash handling system would need to be converted to a dry process. If the FGD wastewater is discharged in the future, it would require additional wastewater treatment. Efforts have been underway at Boswell for several years to reduce the amount of water discharged and evaluate potential re-use options in its plant processes. Additional efforts are underway to determine if land application of certain wastewater streams under a state disposal system may be feasible.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702"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and/or reuse. Minnesota Power would seek recovery of any additional costs through a rate proceeding.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Coal Ash Management Facilities. </w:t>
      </w:r>
      <w:r>
        <w:rPr>
          <w:rFonts w:ascii="Arial" w:cs="Arial" w:eastAsia="Arial" w:hAnsi="Arial"/>
          <w:sz w:val="16"/>
          <w:szCs w:val="16"/>
          <w:color w:val="auto"/>
        </w:rPr>
        <w:t>Minnesota Power generates or disposes coal ash at four of its electric generating facilities. One facility stores ash in onsite</w:t>
      </w:r>
      <w:r>
        <w:rPr>
          <w:rFonts w:ascii="Arial" w:cs="Arial" w:eastAsia="Arial" w:hAnsi="Arial"/>
          <w:sz w:val="16"/>
          <w:szCs w:val="16"/>
          <w:i w:val="1"/>
          <w:iCs w:val="1"/>
          <w:color w:val="auto"/>
        </w:rPr>
        <w:t xml:space="preserve"> </w:t>
      </w:r>
      <w:r>
        <w:rPr>
          <w:rFonts w:ascii="Arial" w:cs="Arial" w:eastAsia="Arial" w:hAnsi="Arial"/>
          <w:sz w:val="16"/>
          <w:szCs w:val="16"/>
          <w:color w:val="auto"/>
        </w:rPr>
        <w:t>impoundments (ash ponds) with engineered liners and containment dikes. Another facility’s ash is beneficially re-used. The other two facilities generate a combined wood and coal ash that is either land applied as an approved beneficial use or trucked to state permitted landfills. In 2010, the EPA proposed regulations for coal combustion residuals (CCR) generated by the electric utility sector. The proposal sought comments on three general regulatory schemes for coal ash under Subtitle D of Resource Conservation and Recovery Act (RCRA) (non-hazardous) or Subtitle C of RCRA (hazardous).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EPA issued the final CCR rule in 2014 under Subtitle D (non-hazardous) of RCRA and it was published in the Federal Register in April 2015. The rule includes additional requirements for new landfill and impoundment construction as well as closure activities related to certain existing impoundments. Costs of compliance for Boswell and Laskin are expected to occur primarily over the next 10 years and be between approximately $65 million and $100 million. Recently, the EPA has indicated to Minnesota Power that the Taconite Harbor landfill is a CCR unit, based on EPA’s interpretation of the CCR Rule language. Minnesota Power has agreed to post the required CCR information for the Taconite Harbor landfill on Minnesota Power’s website while the CCR issue is resolved. Minnesota Power continues to work on minimizing costs through evaluation of beneficial re-use and recycling of CCR and CCR-related waters. Compliance costs, if any for CCR at Taconite Harbor are not expected to be material. Minnesota Power would seek recovery of any additional costs through a general rate case.</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Other Environmental Matters. </w:t>
      </w:r>
      <w:r>
        <w:rPr>
          <w:rFonts w:ascii="Arial" w:cs="Arial" w:eastAsia="Arial" w:hAnsi="Arial"/>
          <w:sz w:val="18"/>
          <w:szCs w:val="18"/>
          <w:color w:val="auto"/>
        </w:rPr>
        <w:t>On November 28, 2016, U.S. Water Services received notice from the EPA regarding potential violations under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Insecticide, Fungicide and Rodenticide Act for the sale of certain chemicals without registration or that were misbranded. The potential violations primarily relate to sales in 2013 by a U.S. Water Services subsidiary acquired in 2013. U.S. Water Services is cooperating with the EPA in its investigation of these potential violations. We are unable to predict the outcome of this matter at this time, but we do not expect that any potential fines will have a material effect on our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December 31, 2016, ALLETE Clean Energy has $14.6 million outstanding in standby letters of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December 31, 2016, U.S. Water Services has $0.8 million outstanding in standby letters of credit.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Energy. </w:t>
      </w:r>
      <w:r>
        <w:rPr>
          <w:rFonts w:ascii="Arial" w:cs="Arial" w:eastAsia="Arial" w:hAnsi="Arial"/>
          <w:sz w:val="18"/>
          <w:szCs w:val="18"/>
          <w:color w:val="auto"/>
        </w:rPr>
        <w:t>As of December 31, 2016, BNI Energy had surety bonds outstanding of $49.9 million related to the reclamation liability for closing costs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its mine and mine facilities. Although its coal supply agreements obligate the customers to provide for the closing costs, additional assurance is required by federal and state regulations. In addition to the surety bonds, BNI Energy has secured a letter of credit for an additional $0.6 million to provide for BNI Energy’s total reclamation liability, which is currently estimated at $47.5 million. BNI Energy does not believe it is likely that any of these outstanding surety bonds or the letter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December 31, 2016, ALLETE Properties, through its subsidiaries, had surety bonds outstanding and letters of credit to</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entities totaling $8.6 million primarily related to development and maintenance obligations for various projects. The estimated cost of the remaining development work is approximately $5.4 million. ALLETE Properties does not believe it is likely that any of these outstanding surety bonds or letters of credit will be drawn upon.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702"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2005, the Town Center District issued $26.4 million of tax-exempt, 6.0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2006, the Palm Coast Park District issued $31.8 million of tax-exempt, 5.7 percent special assessment bonds. The capital improvement revenue bonds and the special assessment bonds are payable over 31 years (by May 1, 2036 and 2037, respectively) and are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2006 for the Town Center District and 2007 for the Palm Coast Park District. To the extent that we still own land at the time of the assessment, we will incur the cost of our portion of these assessments, based upon our ownership of benefited property. As of December 31, 2016, we owned 72 percent of the assessable land in the Town Center District (72 percent as of December 31, 2015) and 92 percent of the assessable land in the Palm Coast Park District (92 percent as of December 31, 2015). At these ownership levels, our annual assessments related to capital improvement and special assessment bonds for the ALLETE Properties projects within these districts are approximately $1.4 million for the Town Center District and $2.1 million for the Palm Coast Park District. As we sell property at these projects, the obligation to pay special assessments will pass to the new landowners. In accordance with accounting guidance, these bonds are not reflected as debt on the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NOTE 12. COMMON STOCK AND EARNINGS PER SHARE</w:t>
            </w:r>
          </w:p>
        </w:tc>
        <w:tc>
          <w:tcPr>
            <w:tcW w:w="3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Summary of Common Stock</w:t>
            </w:r>
          </w:p>
        </w:tc>
        <w:tc>
          <w:tcPr>
            <w:tcW w:w="3340" w:type="dxa"/>
            <w:vAlign w:val="bottom"/>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Equity</w:t>
            </w:r>
          </w:p>
        </w:tc>
      </w:tr>
      <w:tr>
        <w:trPr>
          <w:trHeight w:val="270"/>
        </w:trPr>
        <w:tc>
          <w:tcPr>
            <w:tcW w:w="7000" w:type="dxa"/>
            <w:vAlign w:val="bottom"/>
          </w:tcPr>
          <w:p>
            <w:pPr>
              <w:spacing w:after="0"/>
              <w:rPr>
                <w:sz w:val="23"/>
                <w:szCs w:val="23"/>
                <w:color w:val="auto"/>
              </w:rPr>
            </w:pPr>
          </w:p>
        </w:tc>
        <w:tc>
          <w:tcPr>
            <w:tcW w:w="3340" w:type="dxa"/>
            <w:vAlign w:val="bottom"/>
          </w:tcPr>
          <w:p>
            <w:pPr>
              <w:jc w:val="right"/>
              <w:ind w:right="310"/>
              <w:spacing w:after="0"/>
              <w:rPr>
                <w:sz w:val="20"/>
                <w:szCs w:val="20"/>
                <w:color w:val="auto"/>
              </w:rPr>
            </w:pPr>
            <w:r>
              <w:rPr>
                <w:rFonts w:ascii="Arial" w:cs="Arial" w:eastAsia="Arial" w:hAnsi="Arial"/>
                <w:sz w:val="18"/>
                <w:szCs w:val="18"/>
                <w:b w:val="1"/>
                <w:bCs w:val="1"/>
                <w:color w:val="auto"/>
              </w:rPr>
              <w:t>Thousands</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Millions</w:t>
            </w:r>
          </w:p>
        </w:tc>
      </w:tr>
      <w:tr>
        <w:trPr>
          <w:trHeight w:val="27"/>
        </w:trPr>
        <w:tc>
          <w:tcPr>
            <w:tcW w:w="7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41,401</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$885.2</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Employee Stock Purchase Program</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378</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78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Issuance Program</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1,851</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Forward Sale Agreement and Issuance</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1,807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Contributions to Pension</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396</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2014</w:t>
            </w:r>
          </w:p>
        </w:tc>
        <w:tc>
          <w:tcPr>
            <w:tcW w:w="3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45,929</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1,107.6</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Employee Stock Purchase Program</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Invest Direct</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383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Options and Stock Awards</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43</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Equity Issuance Program</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1,289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69.9</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Forward Sale Agreement and Issuance</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1,413</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2015</w:t>
            </w:r>
          </w:p>
        </w:tc>
        <w:tc>
          <w:tcPr>
            <w:tcW w:w="3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49,075</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1,271.4</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Employee Stock Purchase Program</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Invest Direct</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344</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Options and Stock Awards</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65</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Contributions to RSOP</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60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Issuance Program</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Received for Sale of Land Inventory</w:t>
            </w:r>
          </w:p>
        </w:tc>
        <w:tc>
          <w:tcPr>
            <w:tcW w:w="3340" w:type="dxa"/>
            <w:vAlign w:val="bottom"/>
          </w:tcPr>
          <w:p>
            <w:pPr>
              <w:jc w:val="right"/>
              <w:ind w:right="250"/>
              <w:spacing w:after="0"/>
              <w:rPr>
                <w:sz w:val="20"/>
                <w:szCs w:val="20"/>
                <w:color w:val="auto"/>
              </w:rPr>
            </w:pPr>
            <w:r>
              <w:rPr>
                <w:rFonts w:ascii="Arial" w:cs="Arial" w:eastAsia="Arial" w:hAnsi="Arial"/>
                <w:sz w:val="18"/>
                <w:szCs w:val="18"/>
                <w:color w:val="auto"/>
              </w:rPr>
              <w:t>(130)</w:t>
            </w: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 of Non-Controlling Interest</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2016</w:t>
            </w:r>
          </w:p>
        </w:tc>
        <w:tc>
          <w:tcPr>
            <w:tcW w:w="3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49,560</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$1,295.3</w:t>
            </w:r>
          </w:p>
        </w:tc>
      </w:tr>
      <w:tr>
        <w:trPr>
          <w:trHeight w:val="27"/>
        </w:trPr>
        <w:tc>
          <w:tcPr>
            <w:tcW w:w="7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702"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NOTE 12. COMMON STOCK AND EARNINGS PER SHARE (Continued)</w:t>
      </w:r>
    </w:p>
    <w:p>
      <w:pPr>
        <w:spacing w:after="0" w:line="29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Equity Issuance Program. </w:t>
      </w:r>
      <w:r>
        <w:rPr>
          <w:rFonts w:ascii="Arial" w:cs="Arial" w:eastAsia="Arial" w:hAnsi="Arial"/>
          <w:sz w:val="17"/>
          <w:szCs w:val="17"/>
          <w:color w:val="auto"/>
        </w:rPr>
        <w:t>We entered into a distribution agreement with Lampert Capital Markets, Inc., in 2008, as amended most recently in August 2016,</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the issuance and sale of up to an aggregate of 13.6 million shares of our common stock, without par value, of which 3.9 million shares remain available for issuance. For the year ended December 31, 2016, 0.1 million shares of common stock were issued under this agreement, resulting in net proceeds of $8.0 million (1.3 million shares for net proceeds of $69.9 million in 2015; 1.9 million shares for net proceeds of $90.0 million in 2014). The shares issued in 2015 and 2014, were offered and sold pursuant to Registration Statement No. 333-190335. On August 1, 2016, we filed Registration Statement No. 333-212794, pursuant to which the remaining shares will continue to be offered for sale, from time to time.</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We compute basic earnings per share using the weighted average number of shares of common stock outstanding during each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difference between basic and diluted earnings per share, if any, arises from outstanding stock options, non-vested restricted stock units, performance share awards granted under our Executive Long-Term Incentive Compensation Plan and common shares under the forward sale agreement (described below). In accordance with accounting standards for earnings per share, no options to purchase shares of common stock were excluded from the computation of diluted earnings per share in 2016, 2015 and 2014.</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Forward Sale Agreement and Issuance of Common Stock</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2014, ALLETE entered into a confirmation of forward sale agreement (Agreement) with a</w:t>
      </w:r>
      <w:r>
        <w:rPr>
          <w:rFonts w:ascii="Arial" w:cs="Arial" w:eastAsia="Arial" w:hAnsi="Arial"/>
          <w:sz w:val="18"/>
          <w:szCs w:val="18"/>
          <w:b w:val="1"/>
          <w:bCs w:val="1"/>
          <w:color w:val="auto"/>
        </w:rPr>
        <w:t xml:space="preserve"> </w:t>
      </w:r>
      <w:r>
        <w:rPr>
          <w:rFonts w:ascii="Arial" w:cs="Arial" w:eastAsia="Arial" w:hAnsi="Arial"/>
          <w:sz w:val="18"/>
          <w:szCs w:val="18"/>
          <w:color w:val="auto"/>
        </w:rPr>
        <w:t>forward counterparty in connection with a public offering of 2.8 million shares of ALLETE common stock.</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forward counterparty (or its affiliate) borrowed 2.8 million shares of ALLETE common stock from third parties and sold them to the underwriters. The forward sale price was $48.01 per share, subject to adjustment as provided in the Agreement. In 2014, ALLETE physically settled a portion of its obligations under the Agreement by delivering approximately 1.4 million shares of common stock in exchange for cash proceeds of $65.0 million, and in February 2015, ALLETE physically settled the remaining portion of its obligation under the Agreement by delivering approximately 1.4 million shares of common stock for cash proceeds of $65.4 million.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in March 2014, the Company issued and sold the option shares to the underwriters at a price to ALLETE equal to the initial forward sale price for proceeds of $20.2 million.</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Contributions to Pension. </w:t>
      </w:r>
      <w:r>
        <w:rPr>
          <w:rFonts w:ascii="Arial" w:cs="Arial" w:eastAsia="Arial" w:hAnsi="Arial"/>
          <w:sz w:val="18"/>
          <w:szCs w:val="18"/>
          <w:color w:val="auto"/>
        </w:rPr>
        <w:t>On January 17, 2017, we contributed approximately 0.2 million shares of ALLETE common stock to our pension plan, which had</w:t>
      </w:r>
      <w:r>
        <w:rPr>
          <w:rFonts w:ascii="Arial" w:cs="Arial" w:eastAsia="Arial" w:hAnsi="Arial"/>
          <w:sz w:val="18"/>
          <w:szCs w:val="18"/>
          <w:b w:val="1"/>
          <w:bCs w:val="1"/>
          <w:color w:val="auto"/>
        </w:rPr>
        <w:t xml:space="preserve"> </w:t>
      </w:r>
      <w:r>
        <w:rPr>
          <w:rFonts w:ascii="Arial" w:cs="Arial" w:eastAsia="Arial" w:hAnsi="Arial"/>
          <w:sz w:val="18"/>
          <w:szCs w:val="18"/>
          <w:color w:val="auto"/>
        </w:rPr>
        <w:t>an aggregate value of $13.5 million when contributed. No shares of ALLETE common stock were contributed to the pension plan for the years ended December 31, 2016 and 2015. In 2014, we contributed approximately 0.4 million shares of ALLETE common stock to our pension plan, which had an aggregate value of $19.5 million when contributed. These shares of ALLETE common stock were contributed in reliance upon an exemption available pursuant to Section 4(a)(2) of the Securities Act of 1933, as amended.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702"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NOTE 12. COMMON STOCK AND EARNINGS PER SHARE (Continued)</w:t>
            </w:r>
          </w:p>
        </w:tc>
        <w:tc>
          <w:tcPr>
            <w:tcW w:w="1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960" w:type="dxa"/>
            <w:vAlign w:val="bottom"/>
          </w:tcPr>
          <w:p>
            <w:pPr>
              <w:spacing w:after="0"/>
              <w:rPr>
                <w:sz w:val="23"/>
                <w:szCs w:val="23"/>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Dilutive</w:t>
            </w:r>
          </w:p>
        </w:tc>
        <w:tc>
          <w:tcPr>
            <w:tcW w:w="1020" w:type="dxa"/>
            <w:vAlign w:val="bottom"/>
          </w:tcPr>
          <w:p>
            <w:pPr>
              <w:spacing w:after="0"/>
              <w:rPr>
                <w:sz w:val="23"/>
                <w:szCs w:val="23"/>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60" w:type="dxa"/>
            <w:vAlign w:val="bottom"/>
          </w:tcPr>
          <w:p>
            <w:pPr>
              <w:jc w:val="right"/>
              <w:ind w:right="270"/>
              <w:spacing w:after="0"/>
              <w:rPr>
                <w:sz w:val="20"/>
                <w:szCs w:val="20"/>
                <w:color w:val="auto"/>
              </w:rPr>
            </w:pPr>
            <w:r>
              <w:rPr>
                <w:rFonts w:ascii="Arial" w:cs="Arial" w:eastAsia="Arial" w:hAnsi="Arial"/>
                <w:sz w:val="18"/>
                <w:szCs w:val="18"/>
                <w:b w:val="1"/>
                <w:bCs w:val="1"/>
                <w:color w:val="auto"/>
              </w:rPr>
              <w:t>Basic</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Securities</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Diluted</w:t>
            </w:r>
          </w:p>
        </w:tc>
      </w:tr>
      <w:tr>
        <w:trPr>
          <w:trHeight w:val="27"/>
        </w:trPr>
        <w:tc>
          <w:tcPr>
            <w:tcW w:w="69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19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$155.3</w:t>
            </w:r>
          </w:p>
        </w:tc>
        <w:tc>
          <w:tcPr>
            <w:tcW w:w="1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$155.3</w:t>
            </w:r>
          </w:p>
        </w:tc>
      </w:tr>
      <w:tr>
        <w:trPr>
          <w:trHeight w:val="27"/>
        </w:trPr>
        <w:tc>
          <w:tcPr>
            <w:tcW w:w="6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49.3</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$3.15</w:t>
            </w:r>
          </w:p>
        </w:tc>
        <w:tc>
          <w:tcPr>
            <w:tcW w:w="1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6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19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$141.1</w:t>
            </w:r>
          </w:p>
        </w:tc>
        <w:tc>
          <w:tcPr>
            <w:tcW w:w="1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$141.1</w:t>
            </w:r>
          </w:p>
        </w:tc>
      </w:tr>
      <w:tr>
        <w:trPr>
          <w:trHeight w:val="27"/>
        </w:trPr>
        <w:tc>
          <w:tcPr>
            <w:tcW w:w="6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48.3</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$2.92</w:t>
            </w:r>
          </w:p>
        </w:tc>
        <w:tc>
          <w:tcPr>
            <w:tcW w:w="1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6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19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$124.8</w:t>
            </w:r>
          </w:p>
        </w:tc>
        <w:tc>
          <w:tcPr>
            <w:tcW w:w="1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$124.8</w:t>
            </w:r>
          </w:p>
        </w:tc>
      </w:tr>
      <w:tr>
        <w:trPr>
          <w:trHeight w:val="27"/>
        </w:trPr>
        <w:tc>
          <w:tcPr>
            <w:tcW w:w="6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42.9</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$2.91</w:t>
            </w:r>
          </w:p>
        </w:tc>
        <w:tc>
          <w:tcPr>
            <w:tcW w:w="1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69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642"/>
        </w:trPr>
        <w:tc>
          <w:tcPr>
            <w:tcW w:w="6980" w:type="dxa"/>
            <w:vAlign w:val="bottom"/>
          </w:tcPr>
          <w:p>
            <w:pPr>
              <w:spacing w:after="0"/>
              <w:rPr>
                <w:sz w:val="20"/>
                <w:szCs w:val="20"/>
                <w:color w:val="auto"/>
              </w:rPr>
            </w:pPr>
            <w:r>
              <w:rPr>
                <w:rFonts w:ascii="Arial" w:cs="Arial" w:eastAsia="Arial" w:hAnsi="Arial"/>
                <w:sz w:val="18"/>
                <w:szCs w:val="18"/>
                <w:b w:val="1"/>
                <w:bCs w:val="1"/>
                <w:color w:val="auto"/>
              </w:rPr>
              <w:t>NOTE 13. INCOME TAX EXPENSE</w:t>
            </w:r>
          </w:p>
        </w:tc>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9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Tax Expense </w:t>
            </w:r>
            <w:r>
              <w:rPr>
                <w:rFonts w:ascii="Arial" w:cs="Arial" w:eastAsia="Arial" w:hAnsi="Arial"/>
                <w:sz w:val="16"/>
                <w:szCs w:val="16"/>
                <w:i w:val="1"/>
                <w:iCs w:val="1"/>
                <w:color w:val="auto"/>
              </w:rPr>
              <w:t>(a)</w:t>
            </w:r>
          </w:p>
        </w:tc>
        <w:tc>
          <w:tcPr>
            <w:tcW w:w="19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Federal</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1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6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w:t>
            </w:r>
          </w:p>
        </w:tc>
        <w:tc>
          <w:tcPr>
            <w:tcW w:w="19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$0.4</w:t>
            </w:r>
          </w:p>
        </w:tc>
        <w:tc>
          <w:tcPr>
            <w:tcW w:w="14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$0.2</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69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w:t>
            </w:r>
          </w:p>
        </w:tc>
        <w:tc>
          <w:tcPr>
            <w:tcW w:w="19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Federal</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$12.0</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$19.4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6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8.1</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6.5</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(0.7)</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(0.8)</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9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$19.4</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$25.1</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19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$19.8</w:t>
            </w:r>
          </w:p>
        </w:tc>
        <w:tc>
          <w:tcPr>
            <w:tcW w:w="14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$25.3</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53" w:lineRule="auto"/>
        <w:tabs>
          <w:tab w:leader="none" w:pos="3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years ended December 31, 2016, 2015 and 2014, the federal and state current tax expense was minimal due to NOLs which resulted from the bonus depreciation provisions of the Protecting Americans from Tax Hikes Act of 2015, the Tax Increase Prevention Act of 2014 and the American Taxpayer Relief Act of 2012. The federal and state NOLs will be carried forward to offset future taxable income. The year ended December 31, 2014, includes the resolution of an Internal Revenue Service examination for tax years 2005 through 2009 and the impacts of initiatives implemented on the 2013 federal and state tax returns to utilize tax carryforwards that may have expired.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702"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NOTE 13. INCOME TAX EXPENSE (Continued)</w:t>
            </w:r>
          </w:p>
        </w:tc>
        <w:tc>
          <w:tcPr>
            <w:tcW w:w="2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27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7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r>
      <w:tr>
        <w:trPr>
          <w:trHeight w:val="27"/>
        </w:trPr>
        <w:tc>
          <w:tcPr>
            <w:tcW w:w="6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2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$175.6</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$166.8</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2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$61.5</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$58.4</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27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2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5.6</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4.4</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Regulatory Differences for Utility Plant</w:t>
            </w:r>
          </w:p>
        </w:tc>
        <w:tc>
          <w:tcPr>
            <w:tcW w:w="2760" w:type="dxa"/>
            <w:vAlign w:val="bottom"/>
          </w:tcPr>
          <w:p>
            <w:pPr>
              <w:jc w:val="right"/>
              <w:ind w:right="390"/>
              <w:spacing w:after="0"/>
              <w:rPr>
                <w:sz w:val="20"/>
                <w:szCs w:val="20"/>
                <w:color w:val="auto"/>
              </w:rPr>
            </w:pPr>
            <w:r>
              <w:rPr>
                <w:rFonts w:ascii="Arial" w:cs="Arial" w:eastAsia="Arial" w:hAnsi="Arial"/>
                <w:sz w:val="18"/>
                <w:szCs w:val="18"/>
                <w:color w:val="auto"/>
              </w:rPr>
              <w:t>(0.1)</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(0.6)</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Production Tax Credits</w:t>
            </w:r>
          </w:p>
        </w:tc>
        <w:tc>
          <w:tcPr>
            <w:tcW w:w="2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(41.5)</w:t>
            </w:r>
          </w:p>
        </w:tc>
        <w:tc>
          <w:tcPr>
            <w:tcW w:w="1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(37.0)</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760" w:type="dxa"/>
            <w:vAlign w:val="bottom"/>
          </w:tcPr>
          <w:p>
            <w:pPr>
              <w:jc w:val="right"/>
              <w:ind w:right="390"/>
              <w:spacing w:after="0"/>
              <w:rPr>
                <w:sz w:val="20"/>
                <w:szCs w:val="20"/>
                <w:color w:val="auto"/>
              </w:rPr>
            </w:pPr>
            <w:r>
              <w:rPr>
                <w:rFonts w:ascii="Arial" w:cs="Arial" w:eastAsia="Arial" w:hAnsi="Arial"/>
                <w:sz w:val="18"/>
                <w:szCs w:val="18"/>
                <w:color w:val="auto"/>
              </w:rPr>
              <w:t>(3.8)</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(1.9)</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0.1</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27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$19.8</w:t>
            </w:r>
          </w:p>
        </w:tc>
        <w:tc>
          <w:tcPr>
            <w:tcW w:w="14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$25.3</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$36.7</w:t>
            </w:r>
          </w:p>
        </w:tc>
      </w:tr>
      <w:tr>
        <w:trPr>
          <w:trHeight w:val="27"/>
        </w:trPr>
        <w:tc>
          <w:tcPr>
            <w:tcW w:w="6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was 11.3 percent for 2016 (15.2 percent for 2015; 22.6 percent for 2014). The 2016, 2015, and 2014 effective rates were primarily impacted by production tax credits. The 2016 effective rate was also impacted by a decrease in the liability related to U.S. Water Services’ contingent consideration (see Note 9. Fair Value), and the 2014 effective rate was also impacted by the deduction for AFUDC–Equity (included in Regulatory Differences for Utility Plant in the preceding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Deferred Tax Assets and Liabilities</w:t>
            </w:r>
          </w:p>
        </w:tc>
        <w:tc>
          <w:tcPr>
            <w:tcW w:w="2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24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880" w:type="dxa"/>
            <w:vAlign w:val="bottom"/>
          </w:tcPr>
          <w:p>
            <w:pPr>
              <w:ind w:left="260"/>
              <w:spacing w:after="0"/>
              <w:rPr>
                <w:sz w:val="20"/>
                <w:szCs w:val="20"/>
                <w:color w:val="auto"/>
              </w:rPr>
            </w:pPr>
            <w:r>
              <w:rPr>
                <w:rFonts w:ascii="Arial" w:cs="Arial" w:eastAsia="Arial" w:hAnsi="Arial"/>
                <w:sz w:val="18"/>
                <w:szCs w:val="18"/>
                <w:color w:val="auto"/>
              </w:rPr>
              <w:t>Employee Benefits and Compensation</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$104.6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$105.4</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Related</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117.8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w:t>
            </w:r>
          </w:p>
        </w:tc>
      </w:tr>
      <w:tr>
        <w:trPr>
          <w:trHeight w:val="243"/>
        </w:trPr>
        <w:tc>
          <w:tcPr>
            <w:tcW w:w="20" w:type="dxa"/>
            <w:vAlign w:val="bottom"/>
          </w:tcPr>
          <w:p>
            <w:pPr>
              <w:spacing w:after="0"/>
              <w:rPr>
                <w:sz w:val="21"/>
                <w:szCs w:val="21"/>
                <w:color w:val="auto"/>
              </w:rPr>
            </w:pPr>
          </w:p>
        </w:tc>
        <w:tc>
          <w:tcPr>
            <w:tcW w:w="7880" w:type="dxa"/>
            <w:vAlign w:val="bottom"/>
          </w:tcPr>
          <w:p>
            <w:pPr>
              <w:ind w:left="260"/>
              <w:spacing w:after="0"/>
              <w:rPr>
                <w:sz w:val="20"/>
                <w:szCs w:val="20"/>
                <w:color w:val="auto"/>
              </w:rPr>
            </w:pPr>
            <w:r>
              <w:rPr>
                <w:rFonts w:ascii="Arial" w:cs="Arial" w:eastAsia="Arial" w:hAnsi="Arial"/>
                <w:sz w:val="18"/>
                <w:szCs w:val="18"/>
                <w:color w:val="auto"/>
              </w:rPr>
              <w:t>NOL Carryforwards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185.6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186.4</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Tax Credit Carryforwards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227.4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w:t>
            </w:r>
          </w:p>
        </w:tc>
      </w:tr>
      <w:tr>
        <w:trPr>
          <w:trHeight w:val="243"/>
        </w:trPr>
        <w:tc>
          <w:tcPr>
            <w:tcW w:w="20" w:type="dxa"/>
            <w:vAlign w:val="bottom"/>
          </w:tcPr>
          <w:p>
            <w:pPr>
              <w:spacing w:after="0"/>
              <w:rPr>
                <w:sz w:val="21"/>
                <w:szCs w:val="21"/>
                <w:color w:val="auto"/>
              </w:rPr>
            </w:pPr>
          </w:p>
        </w:tc>
        <w:tc>
          <w:tcPr>
            <w:tcW w:w="7880" w:type="dxa"/>
            <w:vAlign w:val="bottom"/>
          </w:tcPr>
          <w:p>
            <w:pPr>
              <w:ind w:left="260"/>
              <w:spacing w:after="0"/>
              <w:rPr>
                <w:sz w:val="20"/>
                <w:szCs w:val="20"/>
                <w:color w:val="auto"/>
              </w:rPr>
            </w:pPr>
            <w:r>
              <w:rPr>
                <w:rFonts w:ascii="Arial" w:cs="Arial" w:eastAsia="Arial" w:hAnsi="Arial"/>
                <w:sz w:val="18"/>
                <w:szCs w:val="18"/>
                <w:color w:val="auto"/>
              </w:rPr>
              <w:t>Power Sales Agreements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59.3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73.0</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46.9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37"/>
        </w:trPr>
        <w:tc>
          <w:tcPr>
            <w:tcW w:w="20" w:type="dxa"/>
            <w:vAlign w:val="bottom"/>
          </w:tcPr>
          <w:p>
            <w:pPr>
              <w:spacing w:after="0"/>
              <w:rPr>
                <w:sz w:val="20"/>
                <w:szCs w:val="20"/>
                <w:color w:val="auto"/>
              </w:rPr>
            </w:pPr>
          </w:p>
        </w:tc>
        <w:tc>
          <w:tcPr>
            <w:tcW w:w="78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Gross Deferred Tax Assets</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741.6</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678.0</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2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(43.0)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37"/>
        </w:trPr>
        <w:tc>
          <w:tcPr>
            <w:tcW w:w="20" w:type="dxa"/>
            <w:vAlign w:val="bottom"/>
          </w:tcPr>
          <w:p>
            <w:pPr>
              <w:spacing w:after="0"/>
              <w:rPr>
                <w:sz w:val="20"/>
                <w:szCs w:val="20"/>
                <w:color w:val="auto"/>
              </w:rPr>
            </w:pPr>
          </w:p>
        </w:tc>
        <w:tc>
          <w:tcPr>
            <w:tcW w:w="7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Deferred Tax Assets</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$698.6</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$646.4</w:t>
            </w:r>
          </w:p>
        </w:tc>
      </w:tr>
      <w:tr>
        <w:trPr>
          <w:trHeight w:val="27"/>
        </w:trPr>
        <w:tc>
          <w:tcPr>
            <w:tcW w:w="20" w:type="dxa"/>
            <w:vAlign w:val="bottom"/>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880" w:type="dxa"/>
            <w:vAlign w:val="bottom"/>
          </w:tcPr>
          <w:p>
            <w:pPr>
              <w:ind w:left="260"/>
              <w:spacing w:after="0"/>
              <w:rPr>
                <w:sz w:val="20"/>
                <w:szCs w:val="20"/>
                <w:color w:val="auto"/>
              </w:rPr>
            </w:pPr>
            <w:r>
              <w:rPr>
                <w:rFonts w:ascii="Arial" w:cs="Arial" w:eastAsia="Arial" w:hAnsi="Arial"/>
                <w:sz w:val="18"/>
                <w:szCs w:val="18"/>
                <w:color w:val="auto"/>
              </w:rPr>
              <w:t>Property Related</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$1,094.7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$1,053.0</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Regulatory Asset for Benefit Obligations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91.9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r>
      <w:tr>
        <w:trPr>
          <w:trHeight w:val="243"/>
        </w:trPr>
        <w:tc>
          <w:tcPr>
            <w:tcW w:w="20" w:type="dxa"/>
            <w:vAlign w:val="bottom"/>
          </w:tcPr>
          <w:p>
            <w:pPr>
              <w:spacing w:after="0"/>
              <w:rPr>
                <w:sz w:val="21"/>
                <w:szCs w:val="21"/>
                <w:color w:val="auto"/>
              </w:rPr>
            </w:pPr>
          </w:p>
        </w:tc>
        <w:tc>
          <w:tcPr>
            <w:tcW w:w="7880" w:type="dxa"/>
            <w:vAlign w:val="bottom"/>
          </w:tcPr>
          <w:p>
            <w:pPr>
              <w:ind w:left="260"/>
              <w:spacing w:after="0"/>
              <w:rPr>
                <w:sz w:val="20"/>
                <w:szCs w:val="20"/>
                <w:color w:val="auto"/>
              </w:rPr>
            </w:pPr>
            <w:r>
              <w:rPr>
                <w:rFonts w:ascii="Arial" w:cs="Arial" w:eastAsia="Arial" w:hAnsi="Arial"/>
                <w:sz w:val="18"/>
                <w:szCs w:val="18"/>
                <w:color w:val="auto"/>
              </w:rPr>
              <w:t>Unamortized Investment Tax Credits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33.3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Partnership Basis Differences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50.9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r>
      <w:tr>
        <w:trPr>
          <w:trHeight w:val="243"/>
        </w:trPr>
        <w:tc>
          <w:tcPr>
            <w:tcW w:w="20" w:type="dxa"/>
            <w:vAlign w:val="bottom"/>
          </w:tcPr>
          <w:p>
            <w:pPr>
              <w:spacing w:after="0"/>
              <w:rPr>
                <w:sz w:val="21"/>
                <w:szCs w:val="21"/>
                <w:color w:val="auto"/>
              </w:rPr>
            </w:pPr>
          </w:p>
        </w:tc>
        <w:tc>
          <w:tcPr>
            <w:tcW w:w="7880" w:type="dxa"/>
            <w:vAlign w:val="bottom"/>
          </w:tcPr>
          <w:p>
            <w:pPr>
              <w:ind w:left="260"/>
              <w:spacing w:after="0"/>
              <w:rPr>
                <w:sz w:val="20"/>
                <w:szCs w:val="20"/>
                <w:color w:val="auto"/>
              </w:rPr>
            </w:pPr>
            <w:r>
              <w:rPr>
                <w:rFonts w:ascii="Arial" w:cs="Arial" w:eastAsia="Arial" w:hAnsi="Arial"/>
                <w:sz w:val="18"/>
                <w:szCs w:val="18"/>
                <w:color w:val="auto"/>
              </w:rPr>
              <w:t>Other</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11.9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20" w:type="dxa"/>
            <w:vAlign w:val="bottom"/>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$1,282.7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$1,226.2</w:t>
            </w:r>
          </w:p>
        </w:tc>
      </w:tr>
      <w:tr>
        <w:trPr>
          <w:trHeight w:val="237"/>
        </w:trPr>
        <w:tc>
          <w:tcPr>
            <w:tcW w:w="20" w:type="dxa"/>
            <w:vAlign w:val="bottom"/>
          </w:tcPr>
          <w:p>
            <w:pPr>
              <w:spacing w:after="0"/>
              <w:rPr>
                <w:sz w:val="20"/>
                <w:szCs w:val="20"/>
                <w:color w:val="auto"/>
              </w:rPr>
            </w:pPr>
          </w:p>
        </w:tc>
        <w:tc>
          <w:tcPr>
            <w:tcW w:w="7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xml:space="preserve">Net Deferred Income Taxes </w:t>
            </w:r>
            <w:r>
              <w:rPr>
                <w:rFonts w:ascii="Arial" w:cs="Arial" w:eastAsia="Arial" w:hAnsi="Arial"/>
                <w:sz w:val="16"/>
                <w:szCs w:val="16"/>
                <w:i w:val="1"/>
                <w:iCs w:val="1"/>
                <w:color w:val="auto"/>
              </w:rPr>
              <w:t>(a)</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$584.1</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$579.8</w:t>
            </w:r>
          </w:p>
        </w:tc>
      </w:tr>
      <w:tr>
        <w:trPr>
          <w:trHeight w:val="27"/>
        </w:trPr>
        <w:tc>
          <w:tcPr>
            <w:tcW w:w="7900" w:type="dxa"/>
            <w:vAlign w:val="bottom"/>
            <w:gridSpan w:val="2"/>
          </w:tcPr>
          <w:p>
            <w:pPr>
              <w:spacing w:after="0"/>
              <w:rPr>
                <w:sz w:val="2"/>
                <w:szCs w:val="2"/>
                <w:color w:val="auto"/>
              </w:rPr>
            </w:pPr>
          </w:p>
        </w:tc>
        <w:tc>
          <w:tcPr>
            <w:tcW w:w="2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8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Recorded as a net long-term Deferred Income Tax liability on the Consolidated Balance Sheet.</w:t>
            </w:r>
          </w:p>
        </w:tc>
        <w:tc>
          <w:tcPr>
            <w:tcW w:w="24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702"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NOTE 13. INCOME TAX EXPENSE (Continued)</w:t>
            </w:r>
          </w:p>
        </w:tc>
        <w:tc>
          <w:tcPr>
            <w:tcW w:w="3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NOL and Tax Credit Carryforwards</w:t>
            </w:r>
          </w:p>
        </w:tc>
        <w:tc>
          <w:tcPr>
            <w:tcW w:w="3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7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7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Federal NOL Carryforwards </w:t>
            </w:r>
            <w:r>
              <w:rPr>
                <w:rFonts w:ascii="Arial" w:cs="Arial" w:eastAsia="Arial" w:hAnsi="Arial"/>
                <w:sz w:val="18"/>
                <w:szCs w:val="18"/>
                <w:i w:val="1"/>
                <w:iCs w:val="1"/>
                <w:color w:val="auto"/>
              </w:rPr>
              <w:t>(a)</w:t>
            </w:r>
          </w:p>
        </w:tc>
        <w:tc>
          <w:tcPr>
            <w:tcW w:w="3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$485.3</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$493.0</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Federal Tax Credit Carryforwards</w:t>
            </w:r>
          </w:p>
        </w:tc>
        <w:tc>
          <w:tcPr>
            <w:tcW w:w="3720" w:type="dxa"/>
            <w:vAlign w:val="bottom"/>
          </w:tcPr>
          <w:p>
            <w:pPr>
              <w:jc w:val="right"/>
              <w:ind w:right="290"/>
              <w:spacing w:after="0"/>
              <w:rPr>
                <w:sz w:val="20"/>
                <w:szCs w:val="20"/>
                <w:color w:val="auto"/>
              </w:rPr>
            </w:pPr>
            <w:r>
              <w:rPr>
                <w:rFonts w:ascii="Arial" w:cs="Arial" w:eastAsia="Arial" w:hAnsi="Arial"/>
                <w:sz w:val="18"/>
                <w:szCs w:val="18"/>
                <w:color w:val="auto"/>
              </w:rPr>
              <w:t>$163.7</w:t>
            </w:r>
          </w:p>
        </w:tc>
        <w:tc>
          <w:tcPr>
            <w:tcW w:w="1000" w:type="dxa"/>
            <w:vAlign w:val="bottom"/>
          </w:tcPr>
          <w:p>
            <w:pPr>
              <w:jc w:val="right"/>
              <w:spacing w:after="0"/>
              <w:rPr>
                <w:sz w:val="20"/>
                <w:szCs w:val="20"/>
                <w:color w:val="auto"/>
              </w:rPr>
            </w:pPr>
            <w:r>
              <w:rPr>
                <w:rFonts w:ascii="Arial" w:cs="Arial" w:eastAsia="Arial" w:hAnsi="Arial"/>
                <w:sz w:val="18"/>
                <w:szCs w:val="18"/>
                <w:color w:val="auto"/>
              </w:rPr>
              <w:t>$113.6</w:t>
            </w:r>
          </w:p>
        </w:tc>
      </w:tr>
      <w:tr>
        <w:trPr>
          <w:trHeight w:val="27"/>
        </w:trPr>
        <w:tc>
          <w:tcPr>
            <w:tcW w:w="67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State NOL Carryforwards </w:t>
            </w:r>
            <w:r>
              <w:rPr>
                <w:rFonts w:ascii="Arial" w:cs="Arial" w:eastAsia="Arial" w:hAnsi="Arial"/>
                <w:sz w:val="18"/>
                <w:szCs w:val="18"/>
                <w:i w:val="1"/>
                <w:iCs w:val="1"/>
                <w:color w:val="auto"/>
              </w:rPr>
              <w:t>(a)</w:t>
            </w:r>
          </w:p>
        </w:tc>
        <w:tc>
          <w:tcPr>
            <w:tcW w:w="3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$294.4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 xml:space="preserve">State Tax Credit Carryforwards </w:t>
            </w:r>
            <w:r>
              <w:rPr>
                <w:rFonts w:ascii="Arial" w:cs="Arial" w:eastAsia="Arial" w:hAnsi="Arial"/>
                <w:sz w:val="18"/>
                <w:szCs w:val="18"/>
                <w:i w:val="1"/>
                <w:iCs w:val="1"/>
                <w:color w:val="auto"/>
              </w:rPr>
              <w:t>(b)</w:t>
            </w:r>
          </w:p>
        </w:tc>
        <w:tc>
          <w:tcPr>
            <w:tcW w:w="3720" w:type="dxa"/>
            <w:vAlign w:val="bottom"/>
          </w:tcPr>
          <w:p>
            <w:pPr>
              <w:jc w:val="right"/>
              <w:ind w:right="290"/>
              <w:spacing w:after="0"/>
              <w:rPr>
                <w:sz w:val="20"/>
                <w:szCs w:val="20"/>
                <w:color w:val="auto"/>
              </w:rPr>
            </w:pPr>
            <w:r>
              <w:rPr>
                <w:rFonts w:ascii="Arial" w:cs="Arial" w:eastAsia="Arial" w:hAnsi="Arial"/>
                <w:sz w:val="18"/>
                <w:szCs w:val="18"/>
                <w:color w:val="auto"/>
              </w:rPr>
              <w:t>$21.0</w:t>
            </w: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Pre-tax amounts.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Net of a $42.7 million valuation allowance as of December 31, 2016 ($31.2 million as of December 31, 2015).</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federal NOL and tax credit carryforward periods expire between 2030 and 2036. We expect to fully utilize the federal NOL and federal tax credit carryforwards; therefore no federal valuation allowance has been recognized as of December 31, 2016. The state NOL and tax credit carryforward periods expire between 2024 and 2045. We have established a valuation allowance against certain state NOL and tax credits that we do not expect to utilize before their expiration.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Gross Unrecognized Income Tax Benefits</w:t>
            </w:r>
          </w:p>
        </w:tc>
        <w:tc>
          <w:tcPr>
            <w:tcW w:w="27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27"/>
        </w:trPr>
        <w:tc>
          <w:tcPr>
            <w:tcW w:w="58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$2.4</w:t>
            </w:r>
          </w:p>
        </w:tc>
        <w:tc>
          <w:tcPr>
            <w:tcW w:w="15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$2.0</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Additions for Tax Positions Related to the Current Year</w:t>
            </w:r>
          </w:p>
        </w:tc>
        <w:tc>
          <w:tcPr>
            <w:tcW w:w="278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0.5</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0.2</w:t>
            </w:r>
          </w:p>
        </w:tc>
        <w:tc>
          <w:tcPr>
            <w:tcW w:w="15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0.7</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780" w:type="dxa"/>
            <w:vAlign w:val="bottom"/>
          </w:tcPr>
          <w:p>
            <w:pPr>
              <w:jc w:val="right"/>
              <w:ind w:right="450"/>
              <w:spacing w:after="0"/>
              <w:rPr>
                <w:sz w:val="20"/>
                <w:szCs w:val="20"/>
                <w:color w:val="auto"/>
              </w:rPr>
            </w:pPr>
            <w:r>
              <w:rPr>
                <w:rFonts w:ascii="Arial" w:cs="Arial" w:eastAsia="Arial" w:hAnsi="Arial"/>
                <w:sz w:val="18"/>
                <w:szCs w:val="18"/>
                <w:color w:val="auto"/>
              </w:rPr>
              <w:t>(0.3)</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(0.7)</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w:t>
            </w:r>
          </w:p>
        </w:tc>
        <w:tc>
          <w:tcPr>
            <w:tcW w:w="27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(0.4)</w:t>
            </w:r>
          </w:p>
        </w:tc>
        <w:tc>
          <w:tcPr>
            <w:tcW w:w="15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(0.1)</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r>
      <w:tr>
        <w:trPr>
          <w:trHeight w:val="237"/>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w:t>
            </w:r>
          </w:p>
        </w:tc>
        <w:tc>
          <w:tcPr>
            <w:tcW w:w="27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$2.0</w:t>
            </w:r>
          </w:p>
        </w:tc>
        <w:tc>
          <w:tcPr>
            <w:tcW w:w="15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$2.4</w:t>
            </w: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w:t>
            </w:r>
          </w:p>
        </w:tc>
      </w:tr>
      <w:tr>
        <w:trPr>
          <w:trHeight w:val="27"/>
        </w:trPr>
        <w:tc>
          <w:tcPr>
            <w:tcW w:w="58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Unrecognized tax benefits are the differences between a tax position taken or expected to be taken in a tax return and the benefit recognized and measured pursuant to the “more-likely-than-not” criteria. The unrecognized tax benefit balance includes permanent tax positions which, if recognized would affect the annual effective income tax rate. In addition, the unrecognized tax benefit balance includes temporary tax positions for which the ultimate deductibility is highly certain but for which there is uncertainty about the timing of such deductibility. A change in the period of deductibility would not affect the effective tax rate but would accelerate the payment of cash to the taxing authority to an earlier period. The gross unrecognized tax benefits as of December 31, 2016, included $0.6 million of net unrecognized tax benefits which, if recognized, would affect the annual effective income tax rate.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2016, we had no accrued interest (none as of December 31, 2015; none as of December 31, 2014) related to unrecognized tax benefits included on the Consolidated Balance Sheet due to our NOL carryforwards. We classify interest related to unrecognized tax benefits as interest expense and tax-related penalties in operating expenses on the Consolidated Statement of Income. Interest expense related to unrecognized tax benefits on the Consolidated Statement of Income was immaterial in 2016 (immaterial in 2015, and in 2014). There were no penalties recognized in 2016, 2015 or 2014. The unrecognized tax benefit amounts have been presented as reductions to the tax benefits associated with NOL and tax credit carryforwards on the Consolidated Balance Sheet.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changes to unrecognized tax benefits are expected during the next 12 months.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ALLETE has no open federal or state audits, and is no longer subject to federal examination for years before 2013 or state examination for years before 2012.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702"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14. RECLASSIFICATIONS OUT OF ACCUMULATED OTHER COMPREHENSIVE INCOME (LOSS)</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Accumulated Other Comprehensive Loss. </w:t>
      </w:r>
      <w:r>
        <w:rPr>
          <w:rFonts w:ascii="Arial" w:cs="Arial" w:eastAsia="Arial" w:hAnsi="Arial"/>
          <w:sz w:val="18"/>
          <w:szCs w:val="18"/>
          <w:color w:val="auto"/>
        </w:rPr>
        <w:t>Comprehensive income (loss) is the change in shareholders’ equity during a period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 events from non-owner sources, including net income. The amounts recorded to accumulated other comprehensive loss include unrealized gains and losses on available-for-sale securities, defined benefit pension and other postretirement items, consisting of deferred actuarial gains or losses and prior service costs or credits, and gains and losses on derivatives accounted for as cash flow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net of tax, for the years ended December 31, 2016, 2015 and 2014,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Defined Benefit</w:t>
            </w:r>
          </w:p>
        </w:tc>
        <w:tc>
          <w:tcPr>
            <w:tcW w:w="16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Gain</w:t>
            </w:r>
          </w:p>
        </w:tc>
        <w:tc>
          <w:tcPr>
            <w:tcW w:w="114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2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Unrealized Gain (Loss) on</w:t>
            </w:r>
          </w:p>
        </w:tc>
        <w:tc>
          <w:tcPr>
            <w:tcW w:w="17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Pension, Other</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(Loss) on</w:t>
            </w:r>
          </w:p>
        </w:tc>
        <w:tc>
          <w:tcPr>
            <w:tcW w:w="114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2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Available-for-sale</w:t>
            </w:r>
          </w:p>
        </w:tc>
        <w:tc>
          <w:tcPr>
            <w:tcW w:w="17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Postretirement</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Cash Flow</w:t>
            </w:r>
          </w:p>
        </w:tc>
        <w:tc>
          <w:tcPr>
            <w:tcW w:w="114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2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 xml:space="preserve">Items </w:t>
            </w:r>
            <w:r>
              <w:rPr>
                <w:rFonts w:ascii="Arial" w:cs="Arial" w:eastAsia="Arial" w:hAnsi="Arial"/>
                <w:sz w:val="16"/>
                <w:szCs w:val="16"/>
                <w:i w:val="1"/>
                <w:iCs w:val="1"/>
                <w:color w:val="auto"/>
                <w:w w:val="92"/>
              </w:rPr>
              <w:t>(a)</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Hedge</w:t>
            </w: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22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$(0.1)</w:t>
            </w:r>
          </w:p>
        </w:tc>
        <w:tc>
          <w:tcPr>
            <w:tcW w:w="17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$(16.7)</w:t>
            </w:r>
          </w:p>
        </w:tc>
        <w:tc>
          <w:tcPr>
            <w:tcW w:w="16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$(0.3)</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w w:val="92"/>
              </w:rPr>
              <w:t>Other Comprehensive Income (Loss) Before Reclassifications</w:t>
            </w:r>
          </w:p>
        </w:tc>
        <w:tc>
          <w:tcPr>
            <w:tcW w:w="2280" w:type="dxa"/>
            <w:vAlign w:val="bottom"/>
          </w:tcPr>
          <w:p>
            <w:pPr>
              <w:jc w:val="right"/>
              <w:ind w:right="430"/>
              <w:spacing w:after="0"/>
              <w:rPr>
                <w:sz w:val="20"/>
                <w:szCs w:val="20"/>
                <w:color w:val="auto"/>
              </w:rPr>
            </w:pPr>
            <w:r>
              <w:rPr>
                <w:rFonts w:ascii="Arial" w:cs="Arial" w:eastAsia="Arial" w:hAnsi="Arial"/>
                <w:sz w:val="18"/>
                <w:szCs w:val="18"/>
                <w:color w:val="auto"/>
              </w:rPr>
              <w:t>(0.3)</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(5.2)</w:t>
            </w: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0.2</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(5.3)</w:t>
            </w: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2"/>
        </w:trPr>
        <w:tc>
          <w:tcPr>
            <w:tcW w:w="4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Loss</w:t>
            </w:r>
          </w:p>
        </w:tc>
        <w:tc>
          <w:tcPr>
            <w:tcW w:w="22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0.1</w:t>
            </w:r>
          </w:p>
        </w:tc>
        <w:tc>
          <w:tcPr>
            <w:tcW w:w="17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w:t>
            </w: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 (Loss)</w:t>
            </w:r>
          </w:p>
        </w:tc>
        <w:tc>
          <w:tcPr>
            <w:tcW w:w="22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(0.2)</w:t>
            </w:r>
          </w:p>
        </w:tc>
        <w:tc>
          <w:tcPr>
            <w:tcW w:w="17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(4.0)</w:t>
            </w:r>
          </w:p>
        </w:tc>
        <w:tc>
          <w:tcPr>
            <w:tcW w:w="1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0.2</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22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(0.3)</w:t>
            </w:r>
          </w:p>
        </w:tc>
        <w:tc>
          <w:tcPr>
            <w:tcW w:w="1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(20.7)</w:t>
            </w: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Other Comprehensive Income (Loss) Before Reclassifications</w:t>
            </w:r>
          </w:p>
        </w:tc>
        <w:tc>
          <w:tcPr>
            <w:tcW w:w="22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(0.4)</w:t>
            </w:r>
          </w:p>
        </w:tc>
        <w:tc>
          <w:tcPr>
            <w:tcW w:w="17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(4.3)</w:t>
            </w:r>
          </w:p>
        </w:tc>
        <w:tc>
          <w:tcPr>
            <w:tcW w:w="1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0.1</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(4.6)</w:t>
            </w: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2"/>
        </w:trPr>
        <w:tc>
          <w:tcPr>
            <w:tcW w:w="4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Loss</w:t>
            </w:r>
          </w:p>
        </w:tc>
        <w:tc>
          <w:tcPr>
            <w:tcW w:w="22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(0.1)</w:t>
            </w:r>
          </w:p>
        </w:tc>
        <w:tc>
          <w:tcPr>
            <w:tcW w:w="17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 (Loss)</w:t>
            </w:r>
          </w:p>
        </w:tc>
        <w:tc>
          <w:tcPr>
            <w:tcW w:w="22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(0.5)</w:t>
            </w:r>
          </w:p>
        </w:tc>
        <w:tc>
          <w:tcPr>
            <w:tcW w:w="17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(3.0)</w:t>
            </w:r>
          </w:p>
        </w:tc>
        <w:tc>
          <w:tcPr>
            <w:tcW w:w="1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0.1</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2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(0.8)</w:t>
            </w:r>
          </w:p>
        </w:tc>
        <w:tc>
          <w:tcPr>
            <w:tcW w:w="1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(23.7)</w:t>
            </w: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Other Comprehensive Income (Loss) Before Reclassifications</w:t>
            </w:r>
          </w:p>
        </w:tc>
        <w:tc>
          <w:tcPr>
            <w:tcW w:w="22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(4.1)</w:t>
            </w:r>
          </w:p>
        </w:tc>
        <w:tc>
          <w:tcPr>
            <w:tcW w:w="1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w:t>
            </w: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2"/>
        </w:trPr>
        <w:tc>
          <w:tcPr>
            <w:tcW w:w="4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Loss</w:t>
            </w:r>
          </w:p>
        </w:tc>
        <w:tc>
          <w:tcPr>
            <w:tcW w:w="22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(0.2)</w:t>
            </w:r>
          </w:p>
        </w:tc>
        <w:tc>
          <w:tcPr>
            <w:tcW w:w="17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0.6</w:t>
            </w: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 (Loss)</w:t>
            </w:r>
          </w:p>
        </w:tc>
        <w:tc>
          <w:tcPr>
            <w:tcW w:w="22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(0.2)</w:t>
            </w:r>
          </w:p>
        </w:tc>
        <w:tc>
          <w:tcPr>
            <w:tcW w:w="17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(3.5)</w:t>
            </w:r>
          </w:p>
        </w:tc>
        <w:tc>
          <w:tcPr>
            <w:tcW w:w="1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2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$(1.0)</w:t>
            </w:r>
          </w:p>
        </w:tc>
        <w:tc>
          <w:tcPr>
            <w:tcW w:w="17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$(27.2)</w:t>
            </w: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$(28.2)</w:t>
            </w:r>
          </w:p>
        </w:tc>
      </w:tr>
      <w:tr>
        <w:trPr>
          <w:trHeight w:val="20"/>
        </w:trPr>
        <w:tc>
          <w:tcPr>
            <w:tcW w:w="46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jc w:val="both"/>
        <w:ind w:left="340" w:hanging="332"/>
        <w:spacing w:after="0" w:line="254" w:lineRule="auto"/>
        <w:tabs>
          <w:tab w:leader="none" w:pos="34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excluded from our Regulated Operations are recognized in accumulated other comprehensive loss and are subsequently reclassified out of accumulated other comprehensive loss as components of net periodic pension and other postretirement benefit expense. (See Note 15. Pension and Other Postretirement Benefit Plans.)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 AND OTHER POSTRETIREMENT BENEFIT PLANS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noncontributory union, non-union and combined retiree defined benefit pension plans covering eligible employees. The combined retiree defined benefit pension plan was created on January 1, 2016, to include all union and non-union retirees from the existing plans as of January 1, 2016. The plans provide defined benefits based on years of service and final average pay. We contributed $6.3 million in cash to the plans in 2016 (none in 2015; $19.5 million of ALLETE common stock in 2014). On January 13, 2017, we contributed $1.7 million in cash to the plans, and on January 17, 2017, we contributed $13.5 million of ALLETE common stock to the plans. We also have a defined contribution RSOP covering substantially all employees. The 2016 plan year employer contributions, which are made through the employee stock ownership plan portion of the RSOP, totaled $9.2 million ($9.0 million for the 2015 plan year; $9.1 million for the 2014 plan year). (See Note 12. Common Stock and Earnings Per Share and Note 16. Employee Stock and Incentive Plans.)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non-union defined benefit pension plan was amended to suspend further crediting of service to the plan and to close the plan to new participants. In conjunction with those amendments, contributions were increased to the RSOP. In 2010, the Minnesota Power union defined benefit pension plan was amended to close the plan to new participants beginning February 1, 2011.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702"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postretirement health care and life insurance plans covering eligible employees. In 2010, our postretirement health plan was amended to close the plan to employees hired after January 31, 2011. The full eligibility requirement was also amended in 2010, to require employees to be at least age 55 with 10 years of participation in the plan. In 2014, our postretirement life plan was amended to close the plan to non-union employees retiring after December 31, 2015. The postretirement health and life plans are contributory with participant contributions adjusted annually. Postretirement health and life benefits are funded through a combination of Voluntary Employee Benefit Association trusts (VEBAs), established under section 501(c)(9) of the Internal Revenue Code, and irrevocable grantor trusts. In 2016, no contributions were made to the VEBAs (none in 2015; none in 2014) and no contributions were made to the grantor trusts (none in 2015; none in 2014).</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considers various factors when making funding decisions such as regulatory requirements, actuarially determined minimum contribution requirements and contributions required to avoid benefit restrictions for the pension plans. Contributions are based on estimates and assumptions which are subject to change. We expect no additional contributions to the defined benefit pension plans in 2017 beyond the $15.2 million contributed in January 2017. We expect no contributions to the defined benefit postretirement health and life plans in 2017.</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Accounting for defined benefit pension and other postretirement benefit plans requires that employers recognize on a prospective basis the funded status of their defined benefit pension and other postretirement plans on their balance sheet and recognize as a component of other comprehensive income, net of tax, the gains or losses and prior service costs or credits that arise during the period but are not recognized as components of net periodic benefit cost.</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defined benefit pension and postretirement health and life benefit expense (credit) recognized annually by our regulated utilities are expected to be recovered (refunded) through rates filed with our regulatory jurisdictions. As a result, these amounts that are required to otherwise be recognized in accumulated other comprehensive income have been recognized as a long-term regulatory asset (regulatory liability) on the Consolidated Balance Sheet, in accordance with the accounting standards for the effect of certain types of regulation applicable to our Regulated Operations. The defined benefit pension and postretirement health and life benefit expense (credits) associated with our other operations are recognized in accumulated other comprehensive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Pension Obligation and Funded Status</w:t>
            </w:r>
          </w:p>
        </w:tc>
        <w:tc>
          <w:tcPr>
            <w:tcW w:w="27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27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7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$698.8</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$665.0</w:t>
            </w:r>
          </w:p>
        </w:tc>
      </w:tr>
      <w:tr>
        <w:trPr>
          <w:trHeight w:val="237"/>
        </w:trPr>
        <w:tc>
          <w:tcPr>
            <w:tcW w:w="20" w:type="dxa"/>
            <w:vAlign w:val="bottom"/>
          </w:tcPr>
          <w:p>
            <w:pPr>
              <w:spacing w:after="0"/>
              <w:rPr>
                <w:sz w:val="20"/>
                <w:szCs w:val="20"/>
                <w:color w:val="auto"/>
              </w:rPr>
            </w:pPr>
          </w:p>
        </w:tc>
        <w:tc>
          <w:tcPr>
            <w:tcW w:w="7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Change in Benefit Obligation</w:t>
            </w:r>
          </w:p>
        </w:tc>
        <w:tc>
          <w:tcPr>
            <w:tcW w:w="27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Obligation, Beginning of Year</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$709.8</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$714.5</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8.1</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10.1</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33.2</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29.9</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Actuarial (Gain) Loss</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12.4</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(31.2)</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2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(44.5)</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(40.2)</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24.3</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26.7</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Obligation, End of Year</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$743.3</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$709.8</w:t>
            </w:r>
          </w:p>
        </w:tc>
      </w:tr>
      <w:tr>
        <w:trPr>
          <w:trHeight w:val="237"/>
        </w:trPr>
        <w:tc>
          <w:tcPr>
            <w:tcW w:w="20" w:type="dxa"/>
            <w:vAlign w:val="bottom"/>
          </w:tcPr>
          <w:p>
            <w:pPr>
              <w:spacing w:after="0"/>
              <w:rPr>
                <w:sz w:val="20"/>
                <w:szCs w:val="20"/>
                <w:color w:val="auto"/>
              </w:rPr>
            </w:pPr>
          </w:p>
        </w:tc>
        <w:tc>
          <w:tcPr>
            <w:tcW w:w="7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Change in Plan Assets</w:t>
            </w:r>
          </w:p>
        </w:tc>
        <w:tc>
          <w:tcPr>
            <w:tcW w:w="27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Beginning of Year</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$521.3</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$544.2</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Actual Return on Plan Assets</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48.8</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(10.8)</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Employer Contribution </w:t>
            </w:r>
            <w:r>
              <w:rPr>
                <w:rFonts w:ascii="Arial" w:cs="Arial" w:eastAsia="Arial" w:hAnsi="Arial"/>
                <w:sz w:val="16"/>
                <w:szCs w:val="16"/>
                <w:i w:val="1"/>
                <w:iCs w:val="1"/>
                <w:color w:val="auto"/>
              </w:rPr>
              <w:t>(a)</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31.9</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28.1</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2700" w:type="dxa"/>
            <w:vAlign w:val="bottom"/>
          </w:tcPr>
          <w:p>
            <w:pPr>
              <w:jc w:val="right"/>
              <w:ind w:right="270"/>
              <w:spacing w:after="0"/>
              <w:rPr>
                <w:sz w:val="20"/>
                <w:szCs w:val="20"/>
                <w:color w:val="auto"/>
              </w:rPr>
            </w:pPr>
            <w:r>
              <w:rPr>
                <w:rFonts w:ascii="Arial" w:cs="Arial" w:eastAsia="Arial" w:hAnsi="Arial"/>
                <w:sz w:val="18"/>
                <w:szCs w:val="18"/>
                <w:color w:val="auto"/>
              </w:rPr>
              <w:t>(44.5)</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(40.2)</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End of Year</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$557.5</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$521.3</w:t>
            </w:r>
          </w:p>
        </w:tc>
      </w:tr>
      <w:tr>
        <w:trPr>
          <w:trHeight w:val="237"/>
        </w:trPr>
        <w:tc>
          <w:tcPr>
            <w:tcW w:w="20" w:type="dxa"/>
            <w:vAlign w:val="bottom"/>
          </w:tcPr>
          <w:p>
            <w:pPr>
              <w:spacing w:after="0"/>
              <w:rPr>
                <w:sz w:val="20"/>
                <w:szCs w:val="20"/>
                <w:color w:val="auto"/>
              </w:rPr>
            </w:pPr>
          </w:p>
        </w:tc>
        <w:tc>
          <w:tcPr>
            <w:tcW w:w="7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Funded Status, End of Year</w:t>
            </w:r>
          </w:p>
        </w:tc>
        <w:tc>
          <w:tcPr>
            <w:tcW w:w="27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$(185.8)</w:t>
            </w:r>
          </w:p>
        </w:tc>
        <w:tc>
          <w:tcPr>
            <w:tcW w:w="1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$(188.5)</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20" w:type="dxa"/>
            <w:vAlign w:val="bottom"/>
          </w:tcPr>
          <w:p>
            <w:pPr>
              <w:spacing w:after="0"/>
              <w:rPr>
                <w:sz w:val="24"/>
                <w:szCs w:val="24"/>
                <w:color w:val="auto"/>
              </w:rPr>
            </w:pPr>
          </w:p>
        </w:tc>
        <w:tc>
          <w:tcPr>
            <w:tcW w:w="742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Net Pension Amounts Recognized in Consolidated Balance Sheet Consist of:</w:t>
            </w:r>
          </w:p>
        </w:tc>
        <w:tc>
          <w:tcPr>
            <w:tcW w:w="27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2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Non-Current Liabilities</w:t>
            </w:r>
          </w:p>
        </w:tc>
        <w:tc>
          <w:tcPr>
            <w:tcW w:w="2700" w:type="dxa"/>
            <w:vAlign w:val="bottom"/>
          </w:tcPr>
          <w:p>
            <w:pPr>
              <w:jc w:val="right"/>
              <w:ind w:right="270"/>
              <w:spacing w:after="0"/>
              <w:rPr>
                <w:sz w:val="20"/>
                <w:szCs w:val="20"/>
                <w:color w:val="auto"/>
              </w:rPr>
            </w:pPr>
            <w:r>
              <w:rPr>
                <w:rFonts w:ascii="Arial" w:cs="Arial" w:eastAsia="Arial" w:hAnsi="Arial"/>
                <w:sz w:val="18"/>
                <w:szCs w:val="18"/>
                <w:color w:val="auto"/>
              </w:rPr>
              <w:t>$(184.4)</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$(187.2)</w:t>
            </w:r>
          </w:p>
        </w:tc>
      </w:tr>
      <w:tr>
        <w:trPr>
          <w:trHeight w:val="27"/>
        </w:trPr>
        <w:tc>
          <w:tcPr>
            <w:tcW w:w="7440" w:type="dxa"/>
            <w:vAlign w:val="bottom"/>
            <w:gridSpan w:val="2"/>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4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Includes Participant Contributions noted above.</w:t>
            </w:r>
          </w:p>
        </w:tc>
        <w:tc>
          <w:tcPr>
            <w:tcW w:w="27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702"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pension costs that are reported as a component within the Consolidated Balance Sheet, reflected in long-term regulatory assets or liabilities and accumulated other comprehensive income, consist of a net loss of $250.4 million as of December 31, 2016 (net loss of $252.7 million as of December 31,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Pension Expense</w:t>
            </w:r>
          </w:p>
        </w:tc>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6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r>
      <w:tr>
        <w:trPr>
          <w:trHeight w:val="27"/>
        </w:trPr>
        <w:tc>
          <w:tcPr>
            <w:tcW w:w="7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1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$8.1</w:t>
            </w:r>
          </w:p>
        </w:tc>
        <w:tc>
          <w:tcPr>
            <w:tcW w:w="16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$10.1</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$8.3</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33.2</w:t>
            </w: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29.9</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29.8</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(43.6)</w:t>
            </w:r>
          </w:p>
        </w:tc>
        <w:tc>
          <w:tcPr>
            <w:tcW w:w="16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(40.7)</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9.5</w:t>
            </w: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17.9</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14.2</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11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0.2</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37"/>
        </w:trPr>
        <w:tc>
          <w:tcPr>
            <w:tcW w:w="7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Pension Expense</w:t>
            </w:r>
          </w:p>
        </w:tc>
        <w:tc>
          <w:tcPr>
            <w:tcW w:w="11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$7.2</w:t>
            </w:r>
          </w:p>
        </w:tc>
        <w:tc>
          <w:tcPr>
            <w:tcW w:w="16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$17.4</w:t>
            </w:r>
          </w:p>
        </w:tc>
        <w:tc>
          <w:tcPr>
            <w:tcW w:w="10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$14.4</w:t>
            </w:r>
          </w:p>
        </w:tc>
      </w:tr>
      <w:tr>
        <w:trPr>
          <w:trHeight w:val="27"/>
        </w:trPr>
        <w:tc>
          <w:tcPr>
            <w:tcW w:w="7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34"/>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Other Changes in Pension Plan Assets and Benefit Obligations Recognized in</w:t>
            </w: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and Regulatory Assets or Liabilities</w:t>
            </w:r>
          </w:p>
        </w:tc>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3"/>
                <w:szCs w:val="23"/>
                <w:color w:val="auto"/>
              </w:rPr>
            </w:pPr>
          </w:p>
        </w:tc>
        <w:tc>
          <w:tcPr>
            <w:tcW w:w="16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r>
      <w:tr>
        <w:trPr>
          <w:trHeight w:val="27"/>
        </w:trPr>
        <w:tc>
          <w:tcPr>
            <w:tcW w:w="7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$7.2</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1140" w:type="dxa"/>
            <w:vAlign w:val="bottom"/>
          </w:tcPr>
          <w:p>
            <w:pPr>
              <w:spacing w:after="0"/>
              <w:rPr>
                <w:sz w:val="21"/>
                <w:szCs w:val="21"/>
                <w:color w:val="auto"/>
              </w:rPr>
            </w:pP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Loss</w:t>
            </w:r>
          </w:p>
        </w:tc>
        <w:tc>
          <w:tcPr>
            <w:tcW w:w="1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(9.5)</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w:t>
            </w:r>
          </w:p>
        </w:tc>
      </w:tr>
      <w:tr>
        <w:trPr>
          <w:trHeight w:val="237"/>
        </w:trPr>
        <w:tc>
          <w:tcPr>
            <w:tcW w:w="7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1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$(2.3)</w:t>
            </w:r>
          </w:p>
        </w:tc>
        <w:tc>
          <w:tcPr>
            <w:tcW w:w="10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$2.1</w:t>
            </w:r>
          </w:p>
        </w:tc>
      </w:tr>
      <w:tr>
        <w:trPr>
          <w:trHeight w:val="27"/>
        </w:trPr>
        <w:tc>
          <w:tcPr>
            <w:tcW w:w="7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53"/>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w w:val="92"/>
              </w:rPr>
              <w:t>Information for Pension Plans with an Accumulated Benefit Obligation in Excess of Plan Assets</w:t>
            </w: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140" w:type="dxa"/>
            <w:vAlign w:val="bottom"/>
          </w:tcPr>
          <w:p>
            <w:pPr>
              <w:spacing w:after="0"/>
              <w:rPr>
                <w:sz w:val="23"/>
                <w:szCs w:val="23"/>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7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1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$743.3</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$709.8</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140" w:type="dxa"/>
            <w:vAlign w:val="bottom"/>
          </w:tcPr>
          <w:p>
            <w:pPr>
              <w:spacing w:after="0"/>
              <w:rPr>
                <w:sz w:val="21"/>
                <w:szCs w:val="21"/>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$698.8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$665.0</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1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$557.5</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$521.3</w:t>
            </w:r>
          </w:p>
        </w:tc>
      </w:tr>
      <w:tr>
        <w:trPr>
          <w:trHeight w:val="20"/>
        </w:trPr>
        <w:tc>
          <w:tcPr>
            <w:tcW w:w="76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702"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1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Postretirement Health and Life Obligation and Funded Status</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8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1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Obligation, Beginning of Year</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$160.2</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$170.9</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3.9</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7.4</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7.2</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(Gain) Loss</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11.9</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(13.1)</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(10.7)</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3.1</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r>
      <w:tr>
        <w:trPr>
          <w:trHeight w:val="237"/>
        </w:trPr>
        <w:tc>
          <w:tcPr>
            <w:tcW w:w="8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Obligation, End of Year</w:t>
            </w:r>
          </w:p>
        </w:tc>
        <w:tc>
          <w:tcPr>
            <w:tcW w:w="18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$173.4</w:t>
            </w: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$160.2</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1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Fair Value, Beginning of Year</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$153.4</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$163.2</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9.6</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Employer Contribution</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1.3</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3.1</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(13.1)</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(10.7)</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End of Year</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$154.3</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$153.4</w:t>
            </w:r>
          </w:p>
        </w:tc>
      </w:tr>
      <w:tr>
        <w:trPr>
          <w:trHeight w:val="237"/>
        </w:trPr>
        <w:tc>
          <w:tcPr>
            <w:tcW w:w="8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Funded Status, End of Year</w:t>
            </w:r>
          </w:p>
        </w:tc>
        <w:tc>
          <w:tcPr>
            <w:tcW w:w="18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$(19.1)</w:t>
            </w:r>
          </w:p>
        </w:tc>
        <w:tc>
          <w:tcPr>
            <w:tcW w:w="12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$(6.8)</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4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w w:val="97"/>
              </w:rPr>
              <w:t>Net Postretirement Health and Life Amounts Recognized in Consolidated Balance Sheet Consist of:</w:t>
            </w:r>
          </w:p>
        </w:tc>
        <w:tc>
          <w:tcPr>
            <w:tcW w:w="18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Assets</w:t>
            </w:r>
          </w:p>
        </w:tc>
        <w:tc>
          <w:tcPr>
            <w:tcW w:w="18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$(1.1)</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$(1.0)</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Liabilities</w:t>
            </w:r>
          </w:p>
        </w:tc>
        <w:tc>
          <w:tcPr>
            <w:tcW w:w="18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$(19.4)</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$(12.2)</w:t>
            </w:r>
          </w:p>
        </w:tc>
      </w:tr>
      <w:tr>
        <w:trPr>
          <w:trHeight w:val="20"/>
        </w:trPr>
        <w:tc>
          <w:tcPr>
            <w:tcW w:w="84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According to the accounting standards for retirement benefits, only assets in the VEBAs are treated as plan assets in the above table for the purpose of determining funded status. In addition to the postretirement health and life assets reported in the previous table, we had $17.6 million in irrevocable grantor trusts included in Other Investments on the Consolidated Balance Sheet as of December 31, 2016 ($17.4 million as of December 31, 2015).</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postretirement health and life costs that are reported as a component within the Consolidated Balance Sheet, reflected in regulatory long-term assets or liabilities and accumulated other comprehensive income,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Unrecognized Postretirement Health and Life Costs</w:t>
            </w:r>
          </w:p>
        </w:tc>
        <w:tc>
          <w:tcPr>
            <w:tcW w:w="2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220" w:type="dxa"/>
            <w:vAlign w:val="bottom"/>
          </w:tcPr>
          <w:p>
            <w:pPr>
              <w:spacing w:after="0"/>
              <w:rPr>
                <w:sz w:val="23"/>
                <w:szCs w:val="23"/>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r>
      <w:tr>
        <w:trPr>
          <w:trHeight w:val="27"/>
        </w:trPr>
        <w:tc>
          <w:tcPr>
            <w:tcW w:w="65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$19.8</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$6.5</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2220" w:type="dxa"/>
            <w:vAlign w:val="bottom"/>
          </w:tcPr>
          <w:p>
            <w:pPr>
              <w:spacing w:after="0"/>
              <w:rPr>
                <w:sz w:val="21"/>
                <w:szCs w:val="21"/>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(4.7)</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(7.6)</w:t>
            </w:r>
          </w:p>
        </w:tc>
      </w:tr>
      <w:tr>
        <w:trPr>
          <w:trHeight w:val="27"/>
        </w:trPr>
        <w:tc>
          <w:tcPr>
            <w:tcW w:w="65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Unrecognized Postretirement Health and Life Cost (Credit)</w:t>
            </w:r>
          </w:p>
        </w:tc>
        <w:tc>
          <w:tcPr>
            <w:tcW w:w="2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$15.1</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r>
      <w:tr>
        <w:trPr>
          <w:trHeight w:val="453"/>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Components of Net Periodic Postretirement Health and Life Expense</w:t>
            </w:r>
          </w:p>
        </w:tc>
        <w:tc>
          <w:tcPr>
            <w:tcW w:w="2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70"/>
        </w:trPr>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r>
      <w:tr>
        <w:trPr>
          <w:trHeight w:val="27"/>
        </w:trPr>
        <w:tc>
          <w:tcPr>
            <w:tcW w:w="65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$3.9</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$4.3</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20" w:type="dxa"/>
            <w:vAlign w:val="bottom"/>
          </w:tcPr>
          <w:p>
            <w:pPr>
              <w:jc w:val="right"/>
              <w:ind w:right="410"/>
              <w:spacing w:after="0"/>
              <w:rPr>
                <w:sz w:val="20"/>
                <w:szCs w:val="20"/>
                <w:color w:val="auto"/>
              </w:rPr>
            </w:pPr>
            <w:r>
              <w:rPr>
                <w:rFonts w:ascii="Arial" w:cs="Arial" w:eastAsia="Arial" w:hAnsi="Arial"/>
                <w:sz w:val="18"/>
                <w:szCs w:val="18"/>
                <w:color w:val="auto"/>
              </w:rPr>
              <w:t>7.4</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7.2</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7.3</w:t>
            </w:r>
          </w:p>
        </w:tc>
      </w:tr>
      <w:tr>
        <w:trPr>
          <w:trHeight w:val="27"/>
        </w:trPr>
        <w:tc>
          <w:tcPr>
            <w:tcW w:w="6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(11.2)</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(10.9)</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2220" w:type="dxa"/>
            <w:vAlign w:val="bottom"/>
          </w:tcPr>
          <w:p>
            <w:pPr>
              <w:jc w:val="right"/>
              <w:ind w:right="410"/>
              <w:spacing w:after="0"/>
              <w:rPr>
                <w:sz w:val="20"/>
                <w:szCs w:val="20"/>
                <w:color w:val="auto"/>
              </w:rPr>
            </w:pPr>
            <w:r>
              <w:rPr>
                <w:rFonts w:ascii="Arial" w:cs="Arial" w:eastAsia="Arial" w:hAnsi="Arial"/>
                <w:sz w:val="18"/>
                <w:szCs w:val="18"/>
                <w:color w:val="auto"/>
              </w:rPr>
              <w:t>0.2</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0.4</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0.5</w:t>
            </w:r>
          </w:p>
        </w:tc>
      </w:tr>
      <w:tr>
        <w:trPr>
          <w:trHeight w:val="27"/>
        </w:trPr>
        <w:tc>
          <w:tcPr>
            <w:tcW w:w="6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22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(2.9)</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(3.0)</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r>
      <w:tr>
        <w:trPr>
          <w:trHeight w:val="237"/>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Postretirement Health and Life Credit</w:t>
            </w:r>
          </w:p>
        </w:tc>
        <w:tc>
          <w:tcPr>
            <w:tcW w:w="22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$(2.6)</w:t>
            </w:r>
          </w:p>
        </w:tc>
        <w:tc>
          <w:tcPr>
            <w:tcW w:w="14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$(2.0)</w:t>
            </w: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$(1.6)</w:t>
            </w:r>
          </w:p>
        </w:tc>
      </w:tr>
      <w:tr>
        <w:trPr>
          <w:trHeight w:val="27"/>
        </w:trPr>
        <w:tc>
          <w:tcPr>
            <w:tcW w:w="65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702"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21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1"/>
        </w:trPr>
        <w:tc>
          <w:tcPr>
            <w:tcW w:w="8140" w:type="dxa"/>
            <w:vAlign w:val="bottom"/>
          </w:tcPr>
          <w:p>
            <w:pPr>
              <w:ind w:left="40"/>
              <w:spacing w:after="0"/>
              <w:rPr>
                <w:sz w:val="20"/>
                <w:szCs w:val="20"/>
                <w:color w:val="auto"/>
              </w:rPr>
            </w:pPr>
            <w:r>
              <w:rPr>
                <w:rFonts w:ascii="Arial" w:cs="Arial" w:eastAsia="Arial" w:hAnsi="Arial"/>
                <w:sz w:val="18"/>
                <w:szCs w:val="18"/>
                <w:b w:val="1"/>
                <w:bCs w:val="1"/>
                <w:color w:val="auto"/>
              </w:rPr>
              <w:t>Other Changes in Postretirement Benefit Plan Assets and Benefit Obligations</w:t>
            </w:r>
          </w:p>
        </w:tc>
        <w:tc>
          <w:tcPr>
            <w:tcW w:w="2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8140" w:type="dxa"/>
            <w:vAlign w:val="bottom"/>
          </w:tcPr>
          <w:p>
            <w:pPr>
              <w:ind w:left="40"/>
              <w:spacing w:after="0"/>
              <w:rPr>
                <w:sz w:val="20"/>
                <w:szCs w:val="20"/>
                <w:color w:val="auto"/>
              </w:rPr>
            </w:pPr>
            <w:r>
              <w:rPr>
                <w:rFonts w:ascii="Arial" w:cs="Arial" w:eastAsia="Arial" w:hAnsi="Arial"/>
                <w:sz w:val="18"/>
                <w:szCs w:val="18"/>
                <w:b w:val="1"/>
                <w:bCs w:val="1"/>
                <w:color w:val="auto"/>
              </w:rPr>
              <w:t>Recognized in Other Comprehensive Income and Regulatory Assets or Liabilities</w:t>
            </w:r>
          </w:p>
        </w:tc>
        <w:tc>
          <w:tcPr>
            <w:tcW w:w="21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81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r>
      <w:tr>
        <w:trPr>
          <w:trHeight w:val="27"/>
        </w:trPr>
        <w:tc>
          <w:tcPr>
            <w:tcW w:w="8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1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$13.5</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2180" w:type="dxa"/>
            <w:vAlign w:val="bottom"/>
          </w:tcPr>
          <w:p>
            <w:pPr>
              <w:jc w:val="right"/>
              <w:ind w:right="490"/>
              <w:spacing w:after="0"/>
              <w:rPr>
                <w:sz w:val="20"/>
                <w:szCs w:val="20"/>
                <w:color w:val="auto"/>
              </w:rPr>
            </w:pPr>
            <w:r>
              <w:rPr>
                <w:rFonts w:ascii="Arial" w:cs="Arial" w:eastAsia="Arial" w:hAnsi="Arial"/>
                <w:sz w:val="18"/>
                <w:szCs w:val="18"/>
                <w:color w:val="auto"/>
              </w:rPr>
              <w:t>2.9</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$3.0</w:t>
            </w:r>
          </w:p>
        </w:tc>
      </w:tr>
      <w:tr>
        <w:trPr>
          <w:trHeight w:val="27"/>
        </w:trPr>
        <w:tc>
          <w:tcPr>
            <w:tcW w:w="8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Loss</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(0.2)</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37"/>
        </w:trPr>
        <w:tc>
          <w:tcPr>
            <w:tcW w:w="8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21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$16.2</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w:t>
            </w:r>
          </w:p>
        </w:tc>
      </w:tr>
      <w:tr>
        <w:trPr>
          <w:trHeight w:val="27"/>
        </w:trPr>
        <w:tc>
          <w:tcPr>
            <w:tcW w:w="8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4080" w:type="dxa"/>
            <w:vAlign w:val="bottom"/>
          </w:tcPr>
          <w:p>
            <w:pPr>
              <w:spacing w:after="0"/>
              <w:rPr>
                <w:sz w:val="18"/>
                <w:szCs w:val="18"/>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5800" w:type="dxa"/>
            <w:vAlign w:val="bottom"/>
          </w:tcPr>
          <w:p>
            <w:pPr>
              <w:spacing w:after="0"/>
              <w:rPr>
                <w:sz w:val="20"/>
                <w:szCs w:val="20"/>
                <w:color w:val="auto"/>
              </w:rPr>
            </w:pPr>
          </w:p>
        </w:tc>
        <w:tc>
          <w:tcPr>
            <w:tcW w:w="4080" w:type="dxa"/>
            <w:vAlign w:val="bottom"/>
          </w:tcPr>
          <w:p>
            <w:pPr>
              <w:jc w:val="right"/>
              <w:ind w:right="370"/>
              <w:spacing w:after="0"/>
              <w:rPr>
                <w:sz w:val="20"/>
                <w:szCs w:val="20"/>
                <w:color w:val="auto"/>
              </w:rPr>
            </w:pPr>
            <w:r>
              <w:rPr>
                <w:rFonts w:ascii="Arial" w:cs="Arial" w:eastAsia="Arial" w:hAnsi="Arial"/>
                <w:sz w:val="18"/>
                <w:szCs w:val="18"/>
                <w:b w:val="1"/>
                <w:bCs w:val="1"/>
                <w:color w:val="auto"/>
              </w:rPr>
              <w:t>Pension</w:t>
            </w: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Health and Life</w:t>
            </w:r>
          </w:p>
        </w:tc>
      </w:tr>
      <w:tr>
        <w:trPr>
          <w:trHeight w:val="27"/>
        </w:trPr>
        <w:tc>
          <w:tcPr>
            <w:tcW w:w="58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2017</w:t>
            </w:r>
          </w:p>
        </w:tc>
        <w:tc>
          <w:tcPr>
            <w:tcW w:w="4080" w:type="dxa"/>
            <w:vAlign w:val="bottom"/>
          </w:tcPr>
          <w:p>
            <w:pPr>
              <w:jc w:val="right"/>
              <w:ind w:right="50"/>
              <w:spacing w:after="0"/>
              <w:rPr>
                <w:sz w:val="20"/>
                <w:szCs w:val="20"/>
                <w:color w:val="auto"/>
              </w:rPr>
            </w:pPr>
            <w:r>
              <w:rPr>
                <w:rFonts w:ascii="Arial" w:cs="Arial" w:eastAsia="Arial" w:hAnsi="Arial"/>
                <w:sz w:val="18"/>
                <w:szCs w:val="18"/>
                <w:color w:val="auto"/>
              </w:rPr>
              <w:t>$45.0</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58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$45.2</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2019</w:t>
            </w:r>
          </w:p>
        </w:tc>
        <w:tc>
          <w:tcPr>
            <w:tcW w:w="4080" w:type="dxa"/>
            <w:vAlign w:val="bottom"/>
          </w:tcPr>
          <w:p>
            <w:pPr>
              <w:jc w:val="right"/>
              <w:ind w:right="50"/>
              <w:spacing w:after="0"/>
              <w:rPr>
                <w:sz w:val="20"/>
                <w:szCs w:val="20"/>
                <w:color w:val="auto"/>
              </w:rPr>
            </w:pPr>
            <w:r>
              <w:rPr>
                <w:rFonts w:ascii="Arial" w:cs="Arial" w:eastAsia="Arial" w:hAnsi="Arial"/>
                <w:sz w:val="18"/>
                <w:szCs w:val="18"/>
                <w:color w:val="auto"/>
              </w:rPr>
              <w:t>$45.4</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58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$45.5</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2021</w:t>
            </w:r>
          </w:p>
        </w:tc>
        <w:tc>
          <w:tcPr>
            <w:tcW w:w="4080" w:type="dxa"/>
            <w:vAlign w:val="bottom"/>
          </w:tcPr>
          <w:p>
            <w:pPr>
              <w:jc w:val="right"/>
              <w:ind w:right="50"/>
              <w:spacing w:after="0"/>
              <w:rPr>
                <w:sz w:val="20"/>
                <w:szCs w:val="20"/>
                <w:color w:val="auto"/>
              </w:rPr>
            </w:pPr>
            <w:r>
              <w:rPr>
                <w:rFonts w:ascii="Arial" w:cs="Arial" w:eastAsia="Arial" w:hAnsi="Arial"/>
                <w:sz w:val="18"/>
                <w:szCs w:val="18"/>
                <w:color w:val="auto"/>
              </w:rPr>
              <w:t>$45.8</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58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2022 – 2026</w:t>
            </w:r>
          </w:p>
        </w:tc>
        <w:tc>
          <w:tcPr>
            <w:tcW w:w="4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$231.0</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r>
      <w:tr>
        <w:trPr>
          <w:trHeight w:val="20"/>
        </w:trPr>
        <w:tc>
          <w:tcPr>
            <w:tcW w:w="580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pension and postretirement health and life costs recorded in regulatory long-term assets or liabilities and accumulated other comprehensive income expected to be recognized as a component of net pension and postretirement benefit costs for the year ending December 31, 2017,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Postretirement</w:t>
            </w:r>
          </w:p>
        </w:tc>
      </w:tr>
      <w:tr>
        <w:trPr>
          <w:trHeight w:val="234"/>
        </w:trPr>
        <w:tc>
          <w:tcPr>
            <w:tcW w:w="6720" w:type="dxa"/>
            <w:vAlign w:val="bottom"/>
          </w:tcPr>
          <w:p>
            <w:pPr>
              <w:spacing w:after="0"/>
              <w:rPr>
                <w:sz w:val="20"/>
                <w:szCs w:val="20"/>
                <w:color w:val="auto"/>
              </w:rPr>
            </w:pPr>
          </w:p>
        </w:tc>
        <w:tc>
          <w:tcPr>
            <w:tcW w:w="3200" w:type="dxa"/>
            <w:vAlign w:val="bottom"/>
          </w:tcPr>
          <w:p>
            <w:pPr>
              <w:jc w:val="right"/>
              <w:ind w:right="370"/>
              <w:spacing w:after="0"/>
              <w:rPr>
                <w:sz w:val="20"/>
                <w:szCs w:val="20"/>
                <w:color w:val="auto"/>
              </w:rPr>
            </w:pPr>
            <w:r>
              <w:rPr>
                <w:rFonts w:ascii="Arial" w:cs="Arial" w:eastAsia="Arial" w:hAnsi="Arial"/>
                <w:sz w:val="18"/>
                <w:szCs w:val="18"/>
                <w:b w:val="1"/>
                <w:bCs w:val="1"/>
                <w:color w:val="auto"/>
              </w:rPr>
              <w:t>Pension</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Health and Life</w:t>
            </w:r>
          </w:p>
        </w:tc>
      </w:tr>
      <w:tr>
        <w:trPr>
          <w:trHeight w:val="27"/>
        </w:trPr>
        <w:tc>
          <w:tcPr>
            <w:tcW w:w="67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$9.9</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3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(2.0)</w:t>
            </w:r>
          </w:p>
        </w:tc>
      </w:tr>
      <w:tr>
        <w:trPr>
          <w:trHeight w:val="27"/>
        </w:trPr>
        <w:tc>
          <w:tcPr>
            <w:tcW w:w="67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Pension and Postretirement Health and Life Cost (Credit)</w:t>
            </w:r>
          </w:p>
        </w:tc>
        <w:tc>
          <w:tcPr>
            <w:tcW w:w="3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$9.9</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453"/>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Assumptions Used to Determine Benefit Obligation</w:t>
            </w:r>
          </w:p>
        </w:tc>
        <w:tc>
          <w:tcPr>
            <w:tcW w:w="3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200" w:type="dxa"/>
            <w:vAlign w:val="bottom"/>
          </w:tcPr>
          <w:p>
            <w:pPr>
              <w:jc w:val="center"/>
              <w:ind w:left="2030"/>
              <w:spacing w:after="0"/>
              <w:rPr>
                <w:sz w:val="20"/>
                <w:szCs w:val="20"/>
                <w:color w:val="auto"/>
              </w:rPr>
            </w:pPr>
            <w:r>
              <w:rPr>
                <w:rFonts w:ascii="Arial" w:cs="Arial" w:eastAsia="Arial" w:hAnsi="Arial"/>
                <w:sz w:val="18"/>
                <w:szCs w:val="18"/>
                <w:b w:val="1"/>
                <w:bCs w:val="1"/>
                <w:color w:val="auto"/>
                <w:w w:val="89"/>
              </w:rPr>
              <w:t>2016</w:t>
            </w:r>
          </w:p>
        </w:tc>
        <w:tc>
          <w:tcPr>
            <w:tcW w:w="150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67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Pension</w:t>
            </w:r>
          </w:p>
        </w:tc>
        <w:tc>
          <w:tcPr>
            <w:tcW w:w="3200" w:type="dxa"/>
            <w:vAlign w:val="bottom"/>
          </w:tcPr>
          <w:p>
            <w:pPr>
              <w:jc w:val="center"/>
              <w:ind w:left="2010"/>
              <w:spacing w:after="0"/>
              <w:rPr>
                <w:sz w:val="20"/>
                <w:szCs w:val="20"/>
                <w:color w:val="auto"/>
              </w:rPr>
            </w:pPr>
            <w:r>
              <w:rPr>
                <w:rFonts w:ascii="Arial" w:cs="Arial" w:eastAsia="Arial" w:hAnsi="Arial"/>
                <w:sz w:val="18"/>
                <w:szCs w:val="18"/>
                <w:color w:val="auto"/>
                <w:w w:val="90"/>
              </w:rPr>
              <w:t>4.53%</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3"/>
              </w:rPr>
              <w:t>4.72%</w:t>
            </w:r>
          </w:p>
        </w:tc>
      </w:tr>
      <w:tr>
        <w:trPr>
          <w:trHeight w:val="27"/>
        </w:trPr>
        <w:tc>
          <w:tcPr>
            <w:tcW w:w="6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Health and Life</w:t>
            </w:r>
          </w:p>
        </w:tc>
        <w:tc>
          <w:tcPr>
            <w:tcW w:w="3200" w:type="dxa"/>
            <w:vAlign w:val="bottom"/>
            <w:tcBorders>
              <w:bottom w:val="single" w:sz="8" w:color="CCEEFF"/>
            </w:tcBorders>
            <w:shd w:val="clear" w:color="auto" w:fill="CCEEFF"/>
          </w:tcPr>
          <w:p>
            <w:pPr>
              <w:jc w:val="center"/>
              <w:ind w:left="2010"/>
              <w:spacing w:after="0"/>
              <w:rPr>
                <w:sz w:val="20"/>
                <w:szCs w:val="20"/>
                <w:color w:val="auto"/>
              </w:rPr>
            </w:pPr>
            <w:r>
              <w:rPr>
                <w:rFonts w:ascii="Arial" w:cs="Arial" w:eastAsia="Arial" w:hAnsi="Arial"/>
                <w:sz w:val="18"/>
                <w:szCs w:val="18"/>
                <w:color w:val="auto"/>
                <w:w w:val="90"/>
              </w:rPr>
              <w:t>4.57%</w:t>
            </w:r>
          </w:p>
        </w:tc>
        <w:tc>
          <w:tcPr>
            <w:tcW w:w="15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4.73%</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200" w:type="dxa"/>
            <w:vAlign w:val="bottom"/>
          </w:tcPr>
          <w:p>
            <w:pPr>
              <w:jc w:val="center"/>
              <w:ind w:left="2010"/>
              <w:spacing w:after="0"/>
              <w:rPr>
                <w:sz w:val="20"/>
                <w:szCs w:val="20"/>
                <w:color w:val="auto"/>
              </w:rPr>
            </w:pPr>
            <w:r>
              <w:rPr>
                <w:rFonts w:ascii="Arial" w:cs="Arial" w:eastAsia="Arial" w:hAnsi="Arial"/>
                <w:sz w:val="18"/>
                <w:szCs w:val="18"/>
                <w:color w:val="auto"/>
                <w:w w:val="92"/>
              </w:rPr>
              <w:t>3.70 - 4.30%</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0"/>
              </w:rPr>
              <w:t>3.70 - 4.30%</w:t>
            </w:r>
          </w:p>
        </w:tc>
      </w:tr>
      <w:tr>
        <w:trPr>
          <w:trHeight w:val="27"/>
        </w:trPr>
        <w:tc>
          <w:tcPr>
            <w:tcW w:w="6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Trend Rates</w:t>
            </w:r>
          </w:p>
        </w:tc>
        <w:tc>
          <w:tcPr>
            <w:tcW w:w="3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Trend Rate</w:t>
            </w:r>
          </w:p>
        </w:tc>
        <w:tc>
          <w:tcPr>
            <w:tcW w:w="3200" w:type="dxa"/>
            <w:vAlign w:val="bottom"/>
          </w:tcPr>
          <w:p>
            <w:pPr>
              <w:jc w:val="center"/>
              <w:ind w:left="2010"/>
              <w:spacing w:after="0"/>
              <w:rPr>
                <w:sz w:val="20"/>
                <w:szCs w:val="20"/>
                <w:color w:val="auto"/>
              </w:rPr>
            </w:pPr>
            <w:r>
              <w:rPr>
                <w:rFonts w:ascii="Arial" w:cs="Arial" w:eastAsia="Arial" w:hAnsi="Arial"/>
                <w:sz w:val="18"/>
                <w:szCs w:val="18"/>
                <w:color w:val="auto"/>
                <w:w w:val="92"/>
              </w:rPr>
              <w:t>5.00 - 7.00%</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3"/>
              </w:rPr>
              <w:t>6.50%</w:t>
            </w:r>
          </w:p>
        </w:tc>
      </w:tr>
      <w:tr>
        <w:trPr>
          <w:trHeight w:val="27"/>
        </w:trPr>
        <w:tc>
          <w:tcPr>
            <w:tcW w:w="6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Ultimate Trend Rate</w:t>
            </w:r>
          </w:p>
        </w:tc>
        <w:tc>
          <w:tcPr>
            <w:tcW w:w="3200" w:type="dxa"/>
            <w:vAlign w:val="bottom"/>
            <w:tcBorders>
              <w:bottom w:val="single" w:sz="8" w:color="CCEEFF"/>
            </w:tcBorders>
            <w:shd w:val="clear" w:color="auto" w:fill="CCEEFF"/>
          </w:tcPr>
          <w:p>
            <w:pPr>
              <w:jc w:val="center"/>
              <w:ind w:left="2010"/>
              <w:spacing w:after="0"/>
              <w:rPr>
                <w:sz w:val="20"/>
                <w:szCs w:val="20"/>
                <w:color w:val="auto"/>
              </w:rPr>
            </w:pPr>
            <w:r>
              <w:rPr>
                <w:rFonts w:ascii="Arial" w:cs="Arial" w:eastAsia="Arial" w:hAnsi="Arial"/>
                <w:sz w:val="18"/>
                <w:szCs w:val="18"/>
                <w:color w:val="auto"/>
                <w:w w:val="90"/>
              </w:rPr>
              <w:t>4.50%</w:t>
            </w:r>
          </w:p>
        </w:tc>
        <w:tc>
          <w:tcPr>
            <w:tcW w:w="15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5.00%</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Year Ultimate Trend Rate Effective</w:t>
            </w:r>
          </w:p>
        </w:tc>
        <w:tc>
          <w:tcPr>
            <w:tcW w:w="3200" w:type="dxa"/>
            <w:vAlign w:val="bottom"/>
          </w:tcPr>
          <w:p>
            <w:pPr>
              <w:jc w:val="center"/>
              <w:ind w:left="2030"/>
              <w:spacing w:after="0"/>
              <w:rPr>
                <w:sz w:val="20"/>
                <w:szCs w:val="20"/>
                <w:color w:val="auto"/>
              </w:rPr>
            </w:pPr>
            <w:r>
              <w:rPr>
                <w:rFonts w:ascii="Arial" w:cs="Arial" w:eastAsia="Arial" w:hAnsi="Arial"/>
                <w:sz w:val="18"/>
                <w:szCs w:val="18"/>
                <w:color w:val="auto"/>
                <w:w w:val="89"/>
              </w:rPr>
              <w:t>2038</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9"/>
              </w:rPr>
              <w:t>2022</w:t>
            </w:r>
          </w:p>
        </w:tc>
      </w:tr>
      <w:tr>
        <w:trPr>
          <w:trHeight w:val="27"/>
        </w:trPr>
        <w:tc>
          <w:tcPr>
            <w:tcW w:w="67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702"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Net Periodic Benefit Costs</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7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4.72 - 4.73%</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4.30 - 4.33%</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4.93 - 4.96%</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 xml:space="preserve">Expected Long-Term Return on Plan Assets </w:t>
            </w:r>
            <w:r>
              <w:rPr>
                <w:rFonts w:ascii="Arial" w:cs="Arial" w:eastAsia="Arial" w:hAnsi="Arial"/>
                <w:sz w:val="16"/>
                <w:szCs w:val="16"/>
                <w:i w:val="1"/>
                <w:iCs w:val="1"/>
                <w:color w:val="auto"/>
              </w:rPr>
              <w:t>(a)</w:t>
            </w:r>
          </w:p>
        </w:tc>
        <w:tc>
          <w:tcPr>
            <w:tcW w:w="1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w:t>
            </w:r>
          </w:p>
        </w:tc>
        <w:tc>
          <w:tcPr>
            <w:tcW w:w="14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8.00%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8.00%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8.00%</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Postretirement Health and Life</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6.40 - 8.00%</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6.40 - 8.00%</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6.40 - 8.00%</w:t>
            </w: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3.70 - 4.30%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3.70 - 4.30%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3.70 - 4.30%</w:t>
            </w:r>
          </w:p>
        </w:tc>
      </w:tr>
      <w:tr>
        <w:trPr>
          <w:trHeight w:val="20"/>
        </w:trPr>
        <w:tc>
          <w:tcPr>
            <w:tcW w:w="7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The expected long-term rates of return used to determine net periodic benefit expense for 2017 have been reduced to 7.50 percent for pension expense and 6.00 percent to 7.50 percent for postretirement health and life expense.</w:t>
      </w:r>
    </w:p>
    <w:p>
      <w:pPr>
        <w:spacing w:after="0" w:line="15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rate is computed using a bond matching study which utilizes a portfolio of high quality bonds that produce cash flows similar to the projected costs of our pension and other postretirement plans.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actuarial assumptions about mortality to calculate the pension and postretirement health and life benefit obligations. In 2014, revised mortality tables were released, and the Company adopted updated mortality tables as of December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Sensitivity of a One Percent Change in Health Care Trend Rates</w:t>
            </w:r>
          </w:p>
        </w:tc>
        <w:tc>
          <w:tcPr>
            <w:tcW w:w="8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640" w:type="dxa"/>
            <w:vAlign w:val="bottom"/>
          </w:tcPr>
          <w:p>
            <w:pPr>
              <w:jc w:val="right"/>
              <w:ind w:right="350"/>
              <w:spacing w:after="0"/>
              <w:rPr>
                <w:sz w:val="20"/>
                <w:szCs w:val="20"/>
                <w:color w:val="auto"/>
              </w:rPr>
            </w:pPr>
            <w:r>
              <w:rPr>
                <w:rFonts w:ascii="Arial" w:cs="Arial" w:eastAsia="Arial" w:hAnsi="Arial"/>
                <w:sz w:val="18"/>
                <w:szCs w:val="18"/>
                <w:b w:val="1"/>
                <w:bCs w:val="1"/>
                <w:color w:val="auto"/>
              </w:rPr>
              <w:t>One Percent</w:t>
            </w: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One Percent</w:t>
            </w: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b w:val="1"/>
                <w:bCs w:val="1"/>
                <w:color w:val="auto"/>
              </w:rPr>
              <w:t>Increase</w:t>
            </w: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Decrease</w:t>
            </w: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8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Effect on Total of Postretirement Health and Life Service and Interest Cost</w:t>
            </w:r>
          </w:p>
        </w:tc>
        <w:tc>
          <w:tcPr>
            <w:tcW w:w="8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$20.1</w:t>
            </w:r>
          </w:p>
        </w:tc>
        <w:tc>
          <w:tcPr>
            <w:tcW w:w="1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$(16.7)</w:t>
            </w: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Effect on Postretirement Health and Life Obligation</w:t>
            </w:r>
          </w:p>
        </w:tc>
        <w:tc>
          <w:tcPr>
            <w:tcW w:w="8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2"/>
          </w:tcPr>
          <w:p>
            <w:pPr>
              <w:spacing w:after="0"/>
              <w:rPr>
                <w:sz w:val="2"/>
                <w:szCs w:val="2"/>
                <w:color w:val="auto"/>
              </w:rPr>
            </w:pPr>
          </w:p>
        </w:tc>
      </w:tr>
      <w:tr>
        <w:trPr>
          <w:trHeight w:val="434"/>
        </w:trPr>
        <w:tc>
          <w:tcPr>
            <w:tcW w:w="2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Actual Plan Asset Allocations</w:t>
            </w:r>
          </w:p>
        </w:tc>
        <w:tc>
          <w:tcPr>
            <w:tcW w:w="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2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20" w:type="dxa"/>
            <w:vAlign w:val="bottom"/>
          </w:tcPr>
          <w:p>
            <w:pPr>
              <w:jc w:val="right"/>
              <w:ind w:right="1130"/>
              <w:spacing w:after="0"/>
              <w:rPr>
                <w:sz w:val="20"/>
                <w:szCs w:val="20"/>
                <w:color w:val="auto"/>
              </w:rPr>
            </w:pPr>
            <w:r>
              <w:rPr>
                <w:rFonts w:ascii="Arial" w:cs="Arial" w:eastAsia="Arial" w:hAnsi="Arial"/>
                <w:sz w:val="18"/>
                <w:szCs w:val="18"/>
                <w:b w:val="1"/>
                <w:bCs w:val="1"/>
                <w:color w:val="auto"/>
                <w:w w:val="82"/>
              </w:rPr>
              <w:t>Pension</w:t>
            </w:r>
          </w:p>
        </w:tc>
        <w:tc>
          <w:tcPr>
            <w:tcW w:w="312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6"/>
                <w:szCs w:val="16"/>
                <w:i w:val="1"/>
                <w:iCs w:val="1"/>
                <w:color w:val="auto"/>
              </w:rPr>
              <w:t>(a)</w:t>
            </w:r>
          </w:p>
        </w:tc>
      </w:tr>
      <w:tr>
        <w:trPr>
          <w:trHeight w:val="270"/>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8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1820" w:type="dxa"/>
            <w:vAlign w:val="bottom"/>
          </w:tcPr>
          <w:p>
            <w:pPr>
              <w:jc w:val="right"/>
              <w:ind w:right="170"/>
              <w:spacing w:after="0"/>
              <w:rPr>
                <w:sz w:val="20"/>
                <w:szCs w:val="20"/>
                <w:color w:val="auto"/>
              </w:rPr>
            </w:pPr>
            <w:r>
              <w:rPr>
                <w:rFonts w:ascii="Arial" w:cs="Arial" w:eastAsia="Arial" w:hAnsi="Arial"/>
                <w:sz w:val="18"/>
                <w:szCs w:val="18"/>
                <w:color w:val="auto"/>
              </w:rPr>
              <w:t>47%</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60%</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57%</w:t>
            </w: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w:t>
            </w:r>
          </w:p>
        </w:tc>
        <w:tc>
          <w:tcPr>
            <w:tcW w:w="1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w:t>
            </w: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w:t>
            </w: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82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6%</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8%</w:t>
            </w: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c>
          <w:tcPr>
            <w:tcW w:w="16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6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16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100%</w:t>
            </w:r>
          </w:p>
        </w:tc>
        <w:tc>
          <w:tcPr>
            <w:tcW w:w="1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100%</w:t>
            </w:r>
          </w:p>
        </w:tc>
      </w:tr>
      <w:tr>
        <w:trPr>
          <w:trHeight w:val="27"/>
        </w:trPr>
        <w:tc>
          <w:tcPr>
            <w:tcW w:w="56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Includes VEBAs and irrevocable grantor trusts.</w:t>
            </w:r>
          </w:p>
        </w:tc>
        <w:tc>
          <w:tcPr>
            <w:tcW w:w="86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shares of ALLETE common stock included in pension plan equity securities as of December 31, 2016 (no shares as of December 31, 2015). On January 17, 2017, we contributed approximately 0.2 million shares of ALLETE common stock to our pension plan, which had an aggregate value of $13.5 million when contributed.</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2013, the defined benefit pension plan adopted a dynamic asset allocation strategy (glide path) that increases the invested allocation to fixed income assets as the funding level of the plan increases to better match the sensitivity of the plan’s assets and liabilities to changes in interest rates. This is expected to reduce the volatility of reported pension plan expenses. The postretirement health and life plans’ assets continue to be diversified to achieve strong returns within managed risk. Equity securities are diversified among domestic companies with large, mid and small market capitalizations, as well as investments in international companies. The majority of debt securities are made up of investment grade bonds.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702"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18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2"/>
        </w:trPr>
        <w:tc>
          <w:tcPr>
            <w:tcW w:w="7680" w:type="dxa"/>
            <w:vAlign w:val="bottom"/>
            <w:gridSpan w:val="2"/>
          </w:tcPr>
          <w:p>
            <w:pPr>
              <w:spacing w:after="0"/>
              <w:rPr>
                <w:sz w:val="20"/>
                <w:szCs w:val="20"/>
                <w:color w:val="auto"/>
              </w:rPr>
            </w:pPr>
            <w:r>
              <w:rPr>
                <w:rFonts w:ascii="Arial" w:cs="Arial" w:eastAsia="Arial" w:hAnsi="Arial"/>
                <w:sz w:val="18"/>
                <w:szCs w:val="18"/>
                <w:color w:val="auto"/>
              </w:rPr>
              <w:t>Following are the current targeted allocations as of December 31, 2016:</w:t>
            </w:r>
          </w:p>
        </w:tc>
        <w:tc>
          <w:tcPr>
            <w:tcW w:w="18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Plan Asset Target Allocations</w:t>
            </w:r>
          </w:p>
        </w:tc>
        <w:tc>
          <w:tcPr>
            <w:tcW w:w="1820" w:type="dxa"/>
            <w:vAlign w:val="bottom"/>
          </w:tcPr>
          <w:p>
            <w:pPr>
              <w:spacing w:after="0"/>
              <w:rPr>
                <w:sz w:val="24"/>
                <w:szCs w:val="24"/>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820" w:type="dxa"/>
            <w:vAlign w:val="bottom"/>
          </w:tcPr>
          <w:p>
            <w:pPr>
              <w:jc w:val="right"/>
              <w:ind w:right="430"/>
              <w:spacing w:after="0"/>
              <w:rPr>
                <w:sz w:val="20"/>
                <w:szCs w:val="20"/>
                <w:color w:val="auto"/>
              </w:rPr>
            </w:pPr>
            <w:r>
              <w:rPr>
                <w:rFonts w:ascii="Arial" w:cs="Arial" w:eastAsia="Arial" w:hAnsi="Arial"/>
                <w:sz w:val="18"/>
                <w:szCs w:val="18"/>
                <w:b w:val="1"/>
                <w:bCs w:val="1"/>
                <w:color w:val="auto"/>
              </w:rPr>
              <w:t>Pension</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6"/>
                <w:szCs w:val="16"/>
                <w:i w:val="1"/>
                <w:iCs w:val="1"/>
                <w:color w:val="auto"/>
              </w:rPr>
              <w:t>(a)</w:t>
            </w:r>
          </w:p>
        </w:tc>
      </w:tr>
      <w:tr>
        <w:trPr>
          <w:trHeight w:val="27"/>
        </w:trPr>
        <w:tc>
          <w:tcPr>
            <w:tcW w:w="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w:t>
            </w:r>
          </w:p>
        </w:tc>
      </w:tr>
      <w:tr>
        <w:trPr>
          <w:trHeight w:val="243"/>
        </w:trPr>
        <w:tc>
          <w:tcPr>
            <w:tcW w:w="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82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37%</w:t>
            </w:r>
          </w:p>
        </w:tc>
      </w:tr>
      <w:tr>
        <w:trPr>
          <w:trHeight w:val="27"/>
        </w:trPr>
        <w:tc>
          <w:tcPr>
            <w:tcW w:w="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r>
      <w:tr>
        <w:trPr>
          <w:trHeight w:val="237"/>
        </w:trPr>
        <w:tc>
          <w:tcPr>
            <w:tcW w:w="20" w:type="dxa"/>
            <w:vAlign w:val="bottom"/>
          </w:tcPr>
          <w:p>
            <w:pPr>
              <w:spacing w:after="0"/>
              <w:rPr>
                <w:sz w:val="20"/>
                <w:szCs w:val="20"/>
                <w:color w:val="auto"/>
              </w:rPr>
            </w:pPr>
          </w:p>
        </w:tc>
        <w:tc>
          <w:tcPr>
            <w:tcW w:w="76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1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100%</w:t>
            </w:r>
          </w:p>
        </w:tc>
      </w:tr>
      <w:tr>
        <w:trPr>
          <w:trHeight w:val="27"/>
        </w:trPr>
        <w:tc>
          <w:tcPr>
            <w:tcW w:w="768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6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Includes VEBAs and irrevocable grantor trusts.</w:t>
            </w:r>
          </w:p>
        </w:tc>
        <w:tc>
          <w:tcPr>
            <w:tcW w:w="18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various U.S. equity securities, public mutual funds, and futures. These instruments are valued using the closing price from the applicable exchange or whose value is quoted and readily traded daily.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This category includes various bonds and non-public funds whose underlying investments may be Level 1 or Level 2 securities.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includes private equity funds and real estate valued through external appraisal processes. Valuation methodologies incorporate pricing models, discounted cash flow models, and similar techniques which utilize capitalization rates, discount rates, cash flows and other factors.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702"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Fair Value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2016</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$44.8</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44.8</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45.0</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46.7</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42.3</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200.1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Private Equity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$40.6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$332.2</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$66.2</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61" w:lineRule="auto"/>
        <w:tabs>
          <w:tab w:leader="none" w:pos="34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The underlying investments classified under U.S. Equity Securities consist of money market funds (Level 1), mutual funds (Level 1) and actively-managed funds (Level 2), which are combined with futures, and settle daily, to achieve the returns of the U.S. Equity Securities Mid-cap Growth and Small-cap funds. Our exposure with respect to these investments includes both the futures and the underlying investments.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4440" w:type="dxa"/>
            <w:vAlign w:val="bottom"/>
          </w:tcPr>
          <w:p>
            <w:pPr>
              <w:jc w:val="right"/>
              <w:ind w:right="270"/>
              <w:spacing w:after="0"/>
              <w:rPr>
                <w:sz w:val="20"/>
                <w:szCs w:val="20"/>
                <w:color w:val="auto"/>
              </w:rPr>
            </w:pPr>
            <w:r>
              <w:rPr>
                <w:rFonts w:ascii="Arial" w:cs="Arial" w:eastAsia="Arial" w:hAnsi="Arial"/>
                <w:sz w:val="18"/>
                <w:szCs w:val="18"/>
                <w:b w:val="1"/>
                <w:bCs w:val="1"/>
                <w:color w:val="auto"/>
              </w:rPr>
              <w:t>Private Equity Funds</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5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4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$43.3</w:t>
            </w:r>
          </w:p>
        </w:tc>
        <w:tc>
          <w:tcPr>
            <w:tcW w:w="1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$28.9</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4440" w:type="dxa"/>
            <w:vAlign w:val="bottom"/>
          </w:tcPr>
          <w:p>
            <w:pPr>
              <w:jc w:val="right"/>
              <w:ind w:right="490"/>
              <w:spacing w:after="0"/>
              <w:rPr>
                <w:sz w:val="20"/>
                <w:szCs w:val="20"/>
                <w:color w:val="auto"/>
              </w:rPr>
            </w:pPr>
            <w:r>
              <w:rPr>
                <w:rFonts w:ascii="Arial" w:cs="Arial" w:eastAsia="Arial" w:hAnsi="Arial"/>
                <w:sz w:val="18"/>
                <w:szCs w:val="18"/>
                <w:color w:val="auto"/>
              </w:rPr>
              <w:t>5.0</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2.3</w:t>
            </w:r>
          </w:p>
        </w:tc>
      </w:tr>
      <w:tr>
        <w:trPr>
          <w:trHeight w:val="27"/>
        </w:trPr>
        <w:tc>
          <w:tcPr>
            <w:tcW w:w="5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 Net</w:t>
            </w:r>
          </w:p>
        </w:tc>
        <w:tc>
          <w:tcPr>
            <w:tcW w:w="4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(7.7)</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2016</w:t>
            </w:r>
          </w:p>
        </w:tc>
        <w:tc>
          <w:tcPr>
            <w:tcW w:w="44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$40.6</w:t>
            </w:r>
          </w:p>
        </w:tc>
        <w:tc>
          <w:tcPr>
            <w:tcW w:w="16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$25.6</w:t>
            </w:r>
          </w:p>
        </w:tc>
      </w:tr>
      <w:tr>
        <w:trPr>
          <w:trHeight w:val="27"/>
        </w:trPr>
        <w:tc>
          <w:tcPr>
            <w:tcW w:w="5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702"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Fair Value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2015</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$42.1</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14.2</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17.7</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17.9</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42.0</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185.3</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188.0</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Private Equity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$43.3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43.3</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28.9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$305.0</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$72.2</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61" w:lineRule="auto"/>
        <w:tabs>
          <w:tab w:leader="none" w:pos="34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The underlying investments classified under U.S. Equity Securities consist of money market funds (Level 1) and actively-managed funds (Level 2), which are combined with futures, and settle daily, to achieve the returns of the U.S. Equity Securities Large-cap, Mid-cap Growth, and Small-cap funds. Our exposure with respect to these investments includes both the futures and the underlying investments.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4440" w:type="dxa"/>
            <w:vAlign w:val="bottom"/>
          </w:tcPr>
          <w:p>
            <w:pPr>
              <w:jc w:val="right"/>
              <w:ind w:right="270"/>
              <w:spacing w:after="0"/>
              <w:rPr>
                <w:sz w:val="20"/>
                <w:szCs w:val="20"/>
                <w:color w:val="auto"/>
              </w:rPr>
            </w:pPr>
            <w:r>
              <w:rPr>
                <w:rFonts w:ascii="Arial" w:cs="Arial" w:eastAsia="Arial" w:hAnsi="Arial"/>
                <w:sz w:val="18"/>
                <w:szCs w:val="18"/>
                <w:b w:val="1"/>
                <w:bCs w:val="1"/>
                <w:color w:val="auto"/>
              </w:rPr>
              <w:t>Private Equity Funds</w:t>
            </w:r>
          </w:p>
        </w:tc>
        <w:tc>
          <w:tcPr>
            <w:tcW w:w="1640" w:type="dxa"/>
            <w:vAlign w:val="bottom"/>
          </w:tcPr>
          <w:p>
            <w:pPr>
              <w:jc w:val="right"/>
              <w:ind w:right="35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5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4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$43.3</w:t>
            </w:r>
          </w:p>
        </w:tc>
        <w:tc>
          <w:tcPr>
            <w:tcW w:w="1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$28.9</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4440" w:type="dxa"/>
            <w:vAlign w:val="bottom"/>
          </w:tcPr>
          <w:p>
            <w:pPr>
              <w:jc w:val="right"/>
              <w:ind w:right="490"/>
              <w:spacing w:after="0"/>
              <w:rPr>
                <w:sz w:val="20"/>
                <w:szCs w:val="20"/>
                <w:color w:val="auto"/>
              </w:rPr>
            </w:pPr>
            <w:r>
              <w:rPr>
                <w:rFonts w:ascii="Arial" w:cs="Arial" w:eastAsia="Arial" w:hAnsi="Arial"/>
                <w:sz w:val="18"/>
                <w:szCs w:val="18"/>
                <w:color w:val="auto"/>
              </w:rPr>
              <w:t>2.6</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2.9</w:t>
            </w:r>
          </w:p>
        </w:tc>
      </w:tr>
      <w:tr>
        <w:trPr>
          <w:trHeight w:val="27"/>
        </w:trPr>
        <w:tc>
          <w:tcPr>
            <w:tcW w:w="5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 Net</w:t>
            </w:r>
          </w:p>
        </w:tc>
        <w:tc>
          <w:tcPr>
            <w:tcW w:w="4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(2.6)</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2015</w:t>
            </w:r>
          </w:p>
        </w:tc>
        <w:tc>
          <w:tcPr>
            <w:tcW w:w="44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$43.3</w:t>
            </w:r>
          </w:p>
        </w:tc>
        <w:tc>
          <w:tcPr>
            <w:tcW w:w="16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$28.9</w:t>
            </w:r>
          </w:p>
        </w:tc>
      </w:tr>
      <w:tr>
        <w:trPr>
          <w:trHeight w:val="27"/>
        </w:trPr>
        <w:tc>
          <w:tcPr>
            <w:tcW w:w="5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702"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7280" w:type="dxa"/>
            <w:vAlign w:val="bottom"/>
            <w:gridSpan w:val="3"/>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Postretirement Health and Life Fair Value</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2016</w:t>
            </w:r>
          </w:p>
        </w:tc>
        <w:tc>
          <w:tcPr>
            <w:tcW w:w="11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20.7</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27.9</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48.6</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48.6</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37"/>
        </w:trPr>
        <w:tc>
          <w:tcPr>
            <w:tcW w:w="20" w:type="dxa"/>
            <w:vAlign w:val="bottom"/>
          </w:tcPr>
          <w:p>
            <w:pPr>
              <w:spacing w:after="0"/>
              <w:rPr>
                <w:sz w:val="20"/>
                <w:szCs w:val="20"/>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$4.6</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$9.5</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w:t>
            </w:r>
          </w:p>
        </w:tc>
      </w:tr>
      <w:tr>
        <w:trPr>
          <w:trHeight w:val="27"/>
        </w:trPr>
        <w:tc>
          <w:tcPr>
            <w:tcW w:w="7280" w:type="dxa"/>
            <w:vAlign w:val="bottom"/>
            <w:gridSpan w:val="3"/>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26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w w:val="98"/>
              </w:rPr>
              <w:t>(a)  The underlying investments classified under U.S. Equity Securities consist of mutual funds (Level 1).</w:t>
            </w:r>
          </w:p>
        </w:tc>
        <w:tc>
          <w:tcPr>
            <w:tcW w:w="15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442"/>
        </w:trPr>
        <w:tc>
          <w:tcPr>
            <w:tcW w:w="2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1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5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$12.0</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 Net</w:t>
            </w:r>
          </w:p>
        </w:tc>
        <w:tc>
          <w:tcPr>
            <w:tcW w:w="1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(3.9)</w:t>
            </w:r>
          </w:p>
        </w:tc>
      </w:tr>
      <w:tr>
        <w:trPr>
          <w:trHeight w:val="237"/>
        </w:trPr>
        <w:tc>
          <w:tcPr>
            <w:tcW w:w="20" w:type="dxa"/>
            <w:vAlign w:val="bottom"/>
          </w:tcPr>
          <w:p>
            <w:pPr>
              <w:spacing w:after="0"/>
              <w:rPr>
                <w:sz w:val="20"/>
                <w:szCs w:val="20"/>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as of December 31, 2016</w:t>
            </w:r>
          </w:p>
        </w:tc>
        <w:tc>
          <w:tcPr>
            <w:tcW w:w="13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$9.5</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53"/>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2015</w:t>
            </w:r>
          </w:p>
        </w:tc>
        <w:tc>
          <w:tcPr>
            <w:tcW w:w="11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19.1</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26.8</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45.2</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$8.4</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37"/>
        </w:trPr>
        <w:tc>
          <w:tcPr>
            <w:tcW w:w="20" w:type="dxa"/>
            <w:vAlign w:val="bottom"/>
          </w:tcPr>
          <w:p>
            <w:pPr>
              <w:spacing w:after="0"/>
              <w:rPr>
                <w:sz w:val="20"/>
                <w:szCs w:val="20"/>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$8.4</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$12.0</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$153.4</w:t>
            </w:r>
          </w:p>
        </w:tc>
      </w:tr>
      <w:tr>
        <w:trPr>
          <w:trHeight w:val="27"/>
        </w:trPr>
        <w:tc>
          <w:tcPr>
            <w:tcW w:w="7280" w:type="dxa"/>
            <w:vAlign w:val="bottom"/>
            <w:gridSpan w:val="3"/>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26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w w:val="98"/>
              </w:rPr>
              <w:t>(a)  The underlying investments classified under U.S. Equity Securities consist of mutual funds (Level 1).</w:t>
            </w:r>
          </w:p>
        </w:tc>
        <w:tc>
          <w:tcPr>
            <w:tcW w:w="15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702"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Health and Life Fair Value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5180" w:type="dxa"/>
            <w:vAlign w:val="bottom"/>
          </w:tcPr>
          <w:p>
            <w:pPr>
              <w:spacing w:after="0"/>
              <w:rPr>
                <w:sz w:val="20"/>
                <w:szCs w:val="20"/>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5180" w:type="dxa"/>
            <w:vAlign w:val="bottom"/>
          </w:tcPr>
          <w:p>
            <w:pPr>
              <w:jc w:val="right"/>
              <w:ind w:right="9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624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18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5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$12.9</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5180" w:type="dxa"/>
            <w:vAlign w:val="bottom"/>
          </w:tcPr>
          <w:p>
            <w:pPr>
              <w:jc w:val="right"/>
              <w:ind w:right="350"/>
              <w:spacing w:after="0"/>
              <w:rPr>
                <w:sz w:val="20"/>
                <w:szCs w:val="20"/>
                <w:color w:val="auto"/>
              </w:rPr>
            </w:pPr>
            <w:r>
              <w:rPr>
                <w:rFonts w:ascii="Arial" w:cs="Arial" w:eastAsia="Arial" w:hAnsi="Arial"/>
                <w:sz w:val="18"/>
                <w:szCs w:val="18"/>
                <w:color w:val="auto"/>
              </w:rPr>
              <w:t>1.2</w:t>
            </w:r>
          </w:p>
        </w:tc>
      </w:tr>
      <w:tr>
        <w:trPr>
          <w:trHeight w:val="27"/>
        </w:trPr>
        <w:tc>
          <w:tcPr>
            <w:tcW w:w="624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 Net</w:t>
            </w:r>
          </w:p>
        </w:tc>
        <w:tc>
          <w:tcPr>
            <w:tcW w:w="5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w:t>
            </w:r>
          </w:p>
        </w:tc>
      </w:tr>
      <w:tr>
        <w:trPr>
          <w:trHeight w:val="237"/>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2015</w:t>
            </w:r>
          </w:p>
        </w:tc>
        <w:tc>
          <w:tcPr>
            <w:tcW w:w="51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$12.0</w:t>
            </w:r>
          </w:p>
        </w:tc>
      </w:tr>
      <w:tr>
        <w:trPr>
          <w:trHeight w:val="27"/>
        </w:trPr>
        <w:tc>
          <w:tcPr>
            <w:tcW w:w="624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a fully insured postretirement health benefit, including a prescription drug benefit, which qualifies us for a federal subsidy under the Act. The federal subsidy is reflected in the premiums charged to us by the insurance company.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EMPLOYEE STOCK AND INCENTIVE PLANS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Employee Stock Ownership Plan. </w:t>
      </w:r>
      <w:r>
        <w:rPr>
          <w:rFonts w:ascii="Arial" w:cs="Arial" w:eastAsia="Arial" w:hAnsi="Arial"/>
          <w:sz w:val="17"/>
          <w:szCs w:val="17"/>
          <w:color w:val="auto"/>
        </w:rPr>
        <w:t>We sponsor an ESOP within the RSOP. Eligible employees may contribute to the RSOP plan as of their date of hire. In</w:t>
      </w:r>
      <w:r>
        <w:rPr>
          <w:rFonts w:ascii="Arial" w:cs="Arial" w:eastAsia="Arial" w:hAnsi="Arial"/>
          <w:sz w:val="17"/>
          <w:szCs w:val="17"/>
          <w:b w:val="1"/>
          <w:bCs w:val="1"/>
          <w:color w:val="auto"/>
        </w:rPr>
        <w:t xml:space="preserve"> </w:t>
      </w:r>
      <w:r>
        <w:rPr>
          <w:rFonts w:ascii="Arial" w:cs="Arial" w:eastAsia="Arial" w:hAnsi="Arial"/>
          <w:sz w:val="17"/>
          <w:szCs w:val="17"/>
          <w:color w:val="auto"/>
        </w:rPr>
        <w:t>1990, the ESOP issued a $75.0 million note (term not to exceed 25 years at 10.25 percent) to use as consideration for 2.8 million shares (1.9 million shares adjusted for stock splits) of our common stock. The note was refinanced in 2006 at 6 percent and subsequently matured in December 2015. The ESOP shares were initially pledged as collateral for the debt. As the debt was repaid, shares were released from collateral and allocated to participants based on the proportion of debt service paid in the year. As shares were released from collateral, we reported compensation expense equal to the current market price of the shares less dividends on allocated shares. The dividends received by the ESOP are distributed to participants. Dividends on allocated ESOP shares are recorded as a reduction of retained earnings. With the maturity of the note, ESOP employer allocations will be funded with contributions paid in either cash or the issuance of ALLETE common stock at the Company’s discretion. ESOP compensation expense was $9.2 million in 2016 ($9.0 million in 2015; $9.1 million in 2014).</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the accounting standards for stock compensation, unallocated shares of ALLETE common stock held and purchased by the ESOP were treated as unearned ESOP shares and not considered outstanding for earnings per share computations. ESOP shares are included in earnings per share computations after they are allocated to participants.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7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3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ESOP Shares</w:t>
            </w:r>
          </w:p>
        </w:tc>
        <w:tc>
          <w:tcPr>
            <w:tcW w:w="37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Allocated</w:t>
            </w:r>
          </w:p>
        </w:tc>
        <w:tc>
          <w:tcPr>
            <w:tcW w:w="3760" w:type="dxa"/>
            <w:vAlign w:val="bottom"/>
          </w:tcPr>
          <w:p>
            <w:pPr>
              <w:jc w:val="right"/>
              <w:ind w:right="410"/>
              <w:spacing w:after="0"/>
              <w:rPr>
                <w:sz w:val="20"/>
                <w:szCs w:val="20"/>
                <w:color w:val="auto"/>
              </w:rPr>
            </w:pPr>
            <w:r>
              <w:rPr>
                <w:rFonts w:ascii="Arial" w:cs="Arial" w:eastAsia="Arial" w:hAnsi="Arial"/>
                <w:sz w:val="18"/>
                <w:szCs w:val="18"/>
                <w:color w:val="auto"/>
              </w:rPr>
              <w:t>1.6</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1.8</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5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w:t>
            </w:r>
          </w:p>
        </w:tc>
        <w:tc>
          <w:tcPr>
            <w:tcW w:w="37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7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1.6</w:t>
            </w:r>
          </w:p>
        </w:tc>
        <w:tc>
          <w:tcPr>
            <w:tcW w:w="13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1.8</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3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Unallocated Shares</w:t>
            </w:r>
          </w:p>
        </w:tc>
        <w:tc>
          <w:tcPr>
            <w:tcW w:w="37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0"/>
        </w:trPr>
        <w:tc>
          <w:tcPr>
            <w:tcW w:w="532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i w:val="1"/>
          <w:iCs w:val="1"/>
          <w:color w:val="auto"/>
        </w:rPr>
        <w:t>Stock Incentive Plan.</w:t>
      </w:r>
      <w:r>
        <w:rPr>
          <w:rFonts w:ascii="Arial" w:cs="Arial" w:eastAsia="Arial" w:hAnsi="Arial"/>
          <w:sz w:val="17"/>
          <w:szCs w:val="17"/>
          <w:b w:val="1"/>
          <w:bCs w:val="1"/>
          <w:color w:val="auto"/>
        </w:rPr>
        <w:t xml:space="preserve"> </w:t>
      </w:r>
      <w:r>
        <w:rPr>
          <w:rFonts w:ascii="Arial" w:cs="Arial" w:eastAsia="Arial" w:hAnsi="Arial"/>
          <w:sz w:val="17"/>
          <w:szCs w:val="17"/>
          <w:color w:val="auto"/>
        </w:rPr>
        <w:t>Under our Executive Long-Term Incentive Compensation Plan (Executive Plan), share-based awards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issued to key employees through a broad range of methods, including non-qualified and incentive stock options, performance shares, performance units, restricted stock, restricted stock units, stock appreciation rights and other awards. There are 1.0 million shares of common stock reserved for issuance under the Executive Plan, with 0.8 million of these shares available for issuance as of December 31, 2016.</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702"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NOTE 16.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the following types of share-based awards outstanding:</w:t>
      </w:r>
    </w:p>
    <w:p>
      <w:pPr>
        <w:spacing w:after="0" w:line="225"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i w:val="1"/>
          <w:iCs w:val="1"/>
          <w:color w:val="auto"/>
        </w:rPr>
        <w:t>Non-Qualified Stock Options</w:t>
      </w:r>
      <w:r>
        <w:rPr>
          <w:rFonts w:ascii="Arial" w:cs="Arial" w:eastAsia="Arial" w:hAnsi="Arial"/>
          <w:sz w:val="16"/>
          <w:szCs w:val="16"/>
          <w:color w:val="auto"/>
        </w:rPr>
        <w:t>. These options allow for the purchase of shares of common stock at a price equal to the market value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at the date of grant. Options become 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three years. Employees have up to three months to exercise vested options upon voluntary termination or involuntary termination without cause. All options are canceled upon termination for cause. All options vest immediately upon retirement, death, disability or a change of control, as defined in the award agreement. We determine the fair value of options using the Black-Scholes option-pricing model. The estimated fair value of options, including the effect of estimated forfeitures, is recognized as expense on the straight-line basis over the options’ vesting periods, or the accelerated vesting period if the employee is eligible for retirement. Stock options have not been granted since 2008.</w:t>
      </w:r>
    </w:p>
    <w:p>
      <w:pPr>
        <w:spacing w:after="0" w:line="16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risk-free interest rate for periods within the contractual life of the option is based on the U.S. Treasury yield curve in effect at the grant date. Expected volatility is estimated based on the historic volatility of our stock and the stock of our peer group companies. We utilize historical option exercise and employee pre-vesting termination data to estimate the option life. The dividend growth rate is based upon historical growth rates in our dividends.</w:t>
      </w:r>
    </w:p>
    <w:p>
      <w:pPr>
        <w:spacing w:after="0" w:line="18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Under the performance share awards plan, the number of shares earned is contingent upon attaining specific market goals over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performance period. Market goals are measured by total shareholder return relative to a group of peer companies. In the case of qualified retirement, death, or disability during a performance period, a pro 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 rata portion of the award will be paid based on the greater of actual performance up to the date of the change in control or target performance. The fair value of these awards is determined by the probability of meeting the total shareholder return goals. Compensation cost is recognized over the three-year performance period based on our estimate of the number of shares which will be earned by the award recipients.</w:t>
      </w:r>
    </w:p>
    <w:p>
      <w:pPr>
        <w:spacing w:after="0" w:line="19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Under the restricted stock units plan, shares for participants eligible for retirement vest monthly over a three-year period. For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not eligible for retirement, shares vest at the end of the three-year period. In the case of qualified retirement, death or disability, a pro rata portion of the award will be earned. In the case of termination of employment for any reason other than qualified retirement, death or disability, no award will be earned. If there is a change in control, a pro rata portion of the award will be earned. The fair value of these awards is equal to the grant date fair value. Compensation cost is recognized over the three-year vesting period based on our estimate of the number of shares which will be earned by the award recipients.</w:t>
      </w:r>
    </w:p>
    <w:p>
      <w:pPr>
        <w:spacing w:after="0" w:line="193"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Employee Stock Purchase Plan (ESPP). </w:t>
      </w:r>
      <w:r>
        <w:rPr>
          <w:rFonts w:ascii="Arial" w:cs="Arial" w:eastAsia="Arial" w:hAnsi="Arial"/>
          <w:sz w:val="17"/>
          <w:szCs w:val="17"/>
          <w:color w:val="auto"/>
        </w:rPr>
        <w:t>Under our ESPP, eligible employees may purchase ALLETE common stock at a 5 percent discount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 Because the discount is not greater than 5 percent, we are not required to apply fair value accounting to these awards.</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RSOP</w:t>
      </w:r>
      <w:r>
        <w:rPr>
          <w:rFonts w:ascii="Arial" w:cs="Arial" w:eastAsia="Arial" w:hAnsi="Arial"/>
          <w:sz w:val="18"/>
          <w:szCs w:val="18"/>
          <w:color w:val="auto"/>
        </w:rPr>
        <w:t>. The RSOP is a contributory defined contribution plan subject to the provisions of the Employee Retirement Income Security Act of 1974,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qualifies as an employee stock ownership plan and profit sharing plan. The RSOP provides eligible employees an opportunity to save for retirement.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share-based compensation expense amounts were recognized in our Consolidated Statement of Income for the periods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Share-Based Compensation Expense</w:t>
            </w:r>
          </w:p>
        </w:tc>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344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0.8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Compensation Expense</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$2.6</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Tax Benefit</w:t>
            </w:r>
          </w:p>
        </w:tc>
        <w:tc>
          <w:tcPr>
            <w:tcW w:w="34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$1.1</w:t>
            </w: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$1.1</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702"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NOTE 16.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capitalized share-based compensation costs during the years ended December 31, 2016, 2015 or 2014.</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2016, the total unrecognized compensation cost for the performance share awards and restricted stock units not yet recognized in our Consolidated Statements of Income was $2.3 million and $1.0 million, respectively. These amounts are expected to be recognized over a weighted-average period of 1.7 years for performance share awards and 1.6 years for restricted stock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The following table presents information regarding our outstanding stock options.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5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54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3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080" w:type="dxa"/>
            <w:vAlign w:val="bottom"/>
          </w:tcPr>
          <w:p>
            <w:pPr>
              <w:spacing w:after="0"/>
              <w:rPr>
                <w:sz w:val="18"/>
                <w:szCs w:val="18"/>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 of</w:t>
            </w: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Exercise</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 of</w:t>
            </w: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Exercise</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 of</w:t>
            </w: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3080" w:type="dxa"/>
            <w:vAlign w:val="bottom"/>
          </w:tcPr>
          <w:p>
            <w:pPr>
              <w:spacing w:after="0"/>
              <w:rPr>
                <w:sz w:val="20"/>
                <w:szCs w:val="20"/>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b w:val="1"/>
                <w:bCs w:val="1"/>
                <w:color w:val="auto"/>
              </w:rPr>
              <w:t>Options</w:t>
            </w:r>
          </w:p>
        </w:tc>
        <w:tc>
          <w:tcPr>
            <w:tcW w:w="12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Options</w:t>
            </w:r>
          </w:p>
        </w:tc>
        <w:tc>
          <w:tcPr>
            <w:tcW w:w="12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Options</w:t>
            </w: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3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40"/>
              <w:spacing w:after="0"/>
              <w:rPr>
                <w:sz w:val="20"/>
                <w:szCs w:val="20"/>
                <w:color w:val="auto"/>
              </w:rPr>
            </w:pPr>
            <w:r>
              <w:rPr>
                <w:rFonts w:ascii="Arial" w:cs="Arial" w:eastAsia="Arial" w:hAnsi="Arial"/>
                <w:sz w:val="18"/>
                <w:szCs w:val="18"/>
                <w:color w:val="auto"/>
              </w:rPr>
              <w:t>Outstanding as of January 1</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39,654</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$44.39</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66,279</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$44.39</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108,299</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$44.10</w:t>
            </w:r>
          </w:p>
        </w:tc>
      </w:tr>
      <w:tr>
        <w:trPr>
          <w:trHeight w:val="27"/>
        </w:trPr>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6"/>
                <w:szCs w:val="16"/>
                <w:i w:val="1"/>
                <w:iCs w:val="1"/>
                <w:color w:val="auto"/>
              </w:rPr>
              <w:t>(a)</w:t>
            </w:r>
          </w:p>
        </w:tc>
        <w:tc>
          <w:tcPr>
            <w:tcW w:w="1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(35,297)</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$44.89</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(24,456)</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$44.52</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(42,020)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$43.65</w:t>
            </w:r>
          </w:p>
        </w:tc>
      </w:tr>
      <w:tr>
        <w:trPr>
          <w:trHeight w:val="27"/>
        </w:trPr>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(2,169)</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$42.93</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as of December 31</w:t>
            </w:r>
          </w:p>
        </w:tc>
        <w:tc>
          <w:tcPr>
            <w:tcW w:w="16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4,357</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$40.29</w:t>
            </w:r>
          </w:p>
        </w:tc>
        <w:tc>
          <w:tcPr>
            <w:tcW w:w="1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39,654</w:t>
            </w: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$44.39</w:t>
            </w:r>
          </w:p>
        </w:tc>
        <w:tc>
          <w:tcPr>
            <w:tcW w:w="1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66,279</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$44.39</w:t>
            </w:r>
          </w:p>
        </w:tc>
      </w:tr>
      <w:tr>
        <w:trPr>
          <w:trHeight w:val="27"/>
        </w:trPr>
        <w:tc>
          <w:tcPr>
            <w:tcW w:w="3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as of December 31</w:t>
            </w:r>
          </w:p>
        </w:tc>
        <w:tc>
          <w:tcPr>
            <w:tcW w:w="1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4,357</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$40.29</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39,654</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$44.39</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66,279</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$44.39</w:t>
            </w:r>
          </w:p>
        </w:tc>
      </w:tr>
      <w:tr>
        <w:trPr>
          <w:trHeight w:val="20"/>
        </w:trPr>
        <w:tc>
          <w:tcPr>
            <w:tcW w:w="30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Stock options have not been granted since 2008. The weighted-average grant-date intrinsic value of options granted in 2008 was $6.18.</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non-qualified stock options exercised was $1.6 million in 2016. The intrinsic value of a stock award is the amount by which the fair value of the underlying stock exceeds the exercise price of the award. The total intrinsic value of options exercised was $0.5 million during 2016 ($0.2 million in 2015; $0.4 million in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Exercise Price</w:t>
            </w: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2016</w:t>
            </w:r>
          </w:p>
        </w:tc>
        <w:tc>
          <w:tcPr>
            <w:tcW w:w="1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870"/>
              <w:spacing w:after="0"/>
              <w:rPr>
                <w:sz w:val="20"/>
                <w:szCs w:val="20"/>
                <w:color w:val="auto"/>
              </w:rPr>
            </w:pPr>
            <w:r>
              <w:rPr>
                <w:rFonts w:ascii="Arial" w:cs="Arial" w:eastAsia="Arial" w:hAnsi="Arial"/>
                <w:sz w:val="18"/>
                <w:szCs w:val="18"/>
                <w:b w:val="1"/>
                <w:bCs w:val="1"/>
                <w:color w:val="auto"/>
              </w:rPr>
              <w:t>$39.10</w:t>
            </w: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$48.65</w:t>
            </w: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and Exercisable:</w:t>
            </w:r>
          </w:p>
        </w:tc>
        <w:tc>
          <w:tcPr>
            <w:tcW w:w="1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Number Outstanding and Exercisable</w:t>
            </w:r>
          </w:p>
        </w:tc>
        <w:tc>
          <w:tcPr>
            <w:tcW w:w="1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3,816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541</w:t>
            </w:r>
          </w:p>
        </w:tc>
      </w:tr>
      <w:tr>
        <w:trPr>
          <w:trHeight w:val="27"/>
        </w:trPr>
        <w:tc>
          <w:tcPr>
            <w:tcW w:w="20" w:type="dxa"/>
            <w:vAlign w:val="bottom"/>
          </w:tcPr>
          <w:p>
            <w:pPr>
              <w:spacing w:after="0"/>
              <w:rPr>
                <w:sz w:val="2"/>
                <w:szCs w:val="2"/>
                <w:color w:val="auto"/>
              </w:rPr>
            </w:pPr>
          </w:p>
        </w:tc>
        <w:tc>
          <w:tcPr>
            <w:tcW w:w="454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Weighted Average Remaining Contractual Life (Years)</w:t>
            </w:r>
          </w:p>
        </w:tc>
        <w:tc>
          <w:tcPr>
            <w:tcW w:w="1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2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Weighted Average Exercise Price</w:t>
            </w:r>
          </w:p>
        </w:tc>
        <w:tc>
          <w:tcPr>
            <w:tcW w:w="1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$39.10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$48.65</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Aggregate Intrinsic Value (Millions)</w:t>
            </w:r>
          </w:p>
        </w:tc>
        <w:tc>
          <w:tcPr>
            <w:tcW w:w="1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440" w:type="dxa"/>
            <w:vAlign w:val="bottom"/>
            <w:gridSpan w:val="5"/>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426"/>
        </w:trPr>
        <w:tc>
          <w:tcPr>
            <w:tcW w:w="8740" w:type="dxa"/>
            <w:vAlign w:val="bottom"/>
            <w:gridSpan w:val="7"/>
          </w:tcPr>
          <w:p>
            <w:pPr>
              <w:spacing w:after="0"/>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The following table presents information regarding our non-vested performance shares.</w:t>
            </w: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jc w:val="right"/>
              <w:ind w:right="1130"/>
              <w:spacing w:after="0"/>
              <w:rPr>
                <w:sz w:val="20"/>
                <w:szCs w:val="20"/>
                <w:color w:val="auto"/>
              </w:rPr>
            </w:pPr>
            <w:r>
              <w:rPr>
                <w:rFonts w:ascii="Arial" w:cs="Arial" w:eastAsia="Arial" w:hAnsi="Arial"/>
                <w:sz w:val="18"/>
                <w:szCs w:val="18"/>
                <w:b w:val="1"/>
                <w:bCs w:val="1"/>
                <w:color w:val="auto"/>
                <w:w w:val="84"/>
              </w:rPr>
              <w:t>2016</w:t>
            </w:r>
          </w:p>
        </w:tc>
        <w:tc>
          <w:tcPr>
            <w:tcW w:w="1080" w:type="dxa"/>
            <w:vAlign w:val="bottom"/>
          </w:tcPr>
          <w:p>
            <w:pPr>
              <w:spacing w:after="0"/>
              <w:rPr>
                <w:sz w:val="24"/>
                <w:szCs w:val="24"/>
                <w:color w:val="auto"/>
              </w:rPr>
            </w:pPr>
          </w:p>
        </w:tc>
        <w:tc>
          <w:tcPr>
            <w:tcW w:w="1240" w:type="dxa"/>
            <w:vAlign w:val="bottom"/>
          </w:tcPr>
          <w:p>
            <w:pPr>
              <w:jc w:val="right"/>
              <w:ind w:right="790"/>
              <w:spacing w:after="0"/>
              <w:rPr>
                <w:sz w:val="20"/>
                <w:szCs w:val="20"/>
                <w:color w:val="auto"/>
              </w:rPr>
            </w:pPr>
            <w:r>
              <w:rPr>
                <w:rFonts w:ascii="Arial" w:cs="Arial" w:eastAsia="Arial" w:hAnsi="Arial"/>
                <w:sz w:val="18"/>
                <w:szCs w:val="18"/>
                <w:b w:val="1"/>
                <w:bCs w:val="1"/>
                <w:color w:val="auto"/>
                <w:w w:val="84"/>
              </w:rPr>
              <w:t>2015</w:t>
            </w:r>
          </w:p>
        </w:tc>
        <w:tc>
          <w:tcPr>
            <w:tcW w:w="2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080" w:type="dxa"/>
            <w:vAlign w:val="bottom"/>
          </w:tcPr>
          <w:p>
            <w:pPr>
              <w:spacing w:after="0"/>
              <w:rPr>
                <w:sz w:val="18"/>
                <w:szCs w:val="18"/>
                <w:color w:val="auto"/>
              </w:rPr>
            </w:pPr>
          </w:p>
        </w:tc>
        <w:tc>
          <w:tcPr>
            <w:tcW w:w="15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1"/>
              </w:rPr>
              <w:t>Weighted-</w:t>
            </w:r>
          </w:p>
        </w:tc>
        <w:tc>
          <w:tcPr>
            <w:tcW w:w="156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tcPr>
          <w:p>
            <w:pPr>
              <w:spacing w:after="0"/>
              <w:rPr>
                <w:sz w:val="18"/>
                <w:szCs w:val="18"/>
                <w:color w:val="auto"/>
              </w:rPr>
            </w:pPr>
          </w:p>
        </w:tc>
        <w:tc>
          <w:tcPr>
            <w:tcW w:w="15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Average</w:t>
            </w:r>
          </w:p>
        </w:tc>
        <w:tc>
          <w:tcPr>
            <w:tcW w:w="156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Grant Date</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5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2"/>
              </w:rPr>
              <w:t>Fair Value</w:t>
            </w:r>
          </w:p>
        </w:tc>
        <w:tc>
          <w:tcPr>
            <w:tcW w:w="1560" w:type="dxa"/>
            <w:vAlign w:val="bottom"/>
          </w:tcPr>
          <w:p>
            <w:pPr>
              <w:jc w:val="right"/>
              <w:ind w:right="550"/>
              <w:spacing w:after="0"/>
              <w:rPr>
                <w:sz w:val="20"/>
                <w:szCs w:val="20"/>
                <w:color w:val="auto"/>
              </w:rPr>
            </w:pPr>
            <w:r>
              <w:rPr>
                <w:rFonts w:ascii="Arial" w:cs="Arial" w:eastAsia="Arial" w:hAnsi="Arial"/>
                <w:sz w:val="18"/>
                <w:szCs w:val="18"/>
                <w:b w:val="1"/>
                <w:bCs w:val="1"/>
                <w:color w:val="auto"/>
              </w:rPr>
              <w:t>Shares</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Non-vested as of January 1</w:t>
            </w:r>
          </w:p>
        </w:tc>
        <w:tc>
          <w:tcPr>
            <w:tcW w:w="1180" w:type="dxa"/>
            <w:vAlign w:val="bottom"/>
          </w:tcPr>
          <w:p>
            <w:pPr>
              <w:jc w:val="right"/>
              <w:spacing w:after="0"/>
              <w:rPr>
                <w:sz w:val="20"/>
                <w:szCs w:val="20"/>
                <w:color w:val="auto"/>
              </w:rPr>
            </w:pPr>
            <w:r>
              <w:rPr>
                <w:rFonts w:ascii="Arial" w:cs="Arial" w:eastAsia="Arial" w:hAnsi="Arial"/>
                <w:sz w:val="18"/>
                <w:szCs w:val="18"/>
                <w:color w:val="auto"/>
              </w:rPr>
              <w:t>119,540</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$52.72</w:t>
            </w:r>
          </w:p>
        </w:tc>
        <w:tc>
          <w:tcPr>
            <w:tcW w:w="1080" w:type="dxa"/>
            <w:vAlign w:val="bottom"/>
          </w:tcPr>
          <w:p>
            <w:pPr>
              <w:jc w:val="right"/>
              <w:spacing w:after="0"/>
              <w:rPr>
                <w:sz w:val="20"/>
                <w:szCs w:val="20"/>
                <w:color w:val="auto"/>
              </w:rPr>
            </w:pPr>
            <w:r>
              <w:rPr>
                <w:rFonts w:ascii="Arial" w:cs="Arial" w:eastAsia="Arial" w:hAnsi="Arial"/>
                <w:sz w:val="18"/>
                <w:szCs w:val="18"/>
                <w:color w:val="auto"/>
              </w:rPr>
              <w:t>119,635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$48.26</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114,765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$47.02</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6"/>
                <w:szCs w:val="16"/>
                <w:i w:val="1"/>
                <w:iCs w:val="1"/>
                <w:color w:val="auto"/>
              </w:rPr>
              <w:t>(a)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57,189</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$52.43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43,583</w:t>
            </w:r>
          </w:p>
        </w:tc>
        <w:tc>
          <w:tcPr>
            <w:tcW w:w="1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$58.95</w:t>
            </w:r>
          </w:p>
        </w:tc>
        <w:tc>
          <w:tcPr>
            <w:tcW w:w="1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47,992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$46.47</w:t>
            </w:r>
          </w:p>
        </w:tc>
      </w:tr>
      <w:tr>
        <w:trPr>
          <w:trHeight w:val="243"/>
        </w:trPr>
        <w:tc>
          <w:tcPr>
            <w:tcW w:w="2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Awarded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(36,515)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$42.01</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Unearned Grant Award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(42,126)</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$52.70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(36,670)</w:t>
            </w:r>
          </w:p>
        </w:tc>
        <w:tc>
          <w:tcPr>
            <w:tcW w:w="1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$45.41</w:t>
            </w:r>
          </w:p>
        </w:tc>
        <w:tc>
          <w:tcPr>
            <w:tcW w:w="1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tcPr>
          <w:p>
            <w:pPr>
              <w:jc w:val="right"/>
              <w:spacing w:after="0"/>
              <w:rPr>
                <w:sz w:val="20"/>
                <w:szCs w:val="20"/>
                <w:color w:val="auto"/>
              </w:rPr>
            </w:pPr>
            <w:r>
              <w:rPr>
                <w:rFonts w:ascii="Arial" w:cs="Arial" w:eastAsia="Arial" w:hAnsi="Arial"/>
                <w:sz w:val="18"/>
                <w:szCs w:val="18"/>
                <w:color w:val="auto"/>
              </w:rPr>
              <w:t>(7,023)</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$53.45</w:t>
            </w:r>
          </w:p>
        </w:tc>
        <w:tc>
          <w:tcPr>
            <w:tcW w:w="1080" w:type="dxa"/>
            <w:vAlign w:val="bottom"/>
          </w:tcPr>
          <w:p>
            <w:pPr>
              <w:jc w:val="right"/>
              <w:spacing w:after="0"/>
              <w:rPr>
                <w:sz w:val="20"/>
                <w:szCs w:val="20"/>
                <w:color w:val="auto"/>
              </w:rPr>
            </w:pPr>
            <w:r>
              <w:rPr>
                <w:rFonts w:ascii="Arial" w:cs="Arial" w:eastAsia="Arial" w:hAnsi="Arial"/>
                <w:sz w:val="18"/>
                <w:szCs w:val="18"/>
                <w:color w:val="auto"/>
              </w:rPr>
              <w:t>(7,008)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$53.49</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(6,607)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$48.29</w:t>
            </w: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December 31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127,580</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$52.56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119,540</w:t>
            </w:r>
          </w:p>
        </w:tc>
        <w:tc>
          <w:tcPr>
            <w:tcW w:w="1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$52.72</w:t>
            </w:r>
          </w:p>
        </w:tc>
        <w:tc>
          <w:tcPr>
            <w:tcW w:w="1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119,635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$48.26</w:t>
            </w:r>
          </w:p>
        </w:tc>
      </w:tr>
      <w:tr>
        <w:trPr>
          <w:trHeight w:val="224"/>
        </w:trPr>
        <w:tc>
          <w:tcPr>
            <w:tcW w:w="20" w:type="dxa"/>
            <w:vAlign w:val="bottom"/>
          </w:tcPr>
          <w:p>
            <w:pPr>
              <w:spacing w:after="0"/>
              <w:rPr>
                <w:sz w:val="19"/>
                <w:szCs w:val="19"/>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Shares granted include accrued dividends</w:t>
            </w:r>
            <w:r>
              <w:rPr>
                <w:rFonts w:ascii="Arial" w:cs="Arial" w:eastAsia="Arial" w:hAnsi="Arial"/>
                <w:sz w:val="18"/>
                <w:szCs w:val="18"/>
                <w:i w:val="1"/>
                <w:iCs w:val="1"/>
                <w:color w:val="auto"/>
              </w:rPr>
              <w:t>.</w:t>
            </w:r>
          </w:p>
        </w:tc>
        <w:tc>
          <w:tcPr>
            <w:tcW w:w="1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702"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NOTE 16.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were 41,755 performance shares granted in January 2017 for the three-year performance period ending in 2019. The ultimate issuance is contingent upon the attainment of certain goals of ALLETE during the performance periods. The grant date fair value of the performance shares granted was $2.6 million. There were no performance shares awarded in February 2017 for the three-year performance period ending in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following table presents information regarding our available restricted stock units.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jc w:val="right"/>
              <w:ind w:right="1030"/>
              <w:spacing w:after="0"/>
              <w:rPr>
                <w:sz w:val="20"/>
                <w:szCs w:val="20"/>
                <w:color w:val="auto"/>
              </w:rPr>
            </w:pPr>
            <w:r>
              <w:rPr>
                <w:rFonts w:ascii="Arial" w:cs="Arial" w:eastAsia="Arial" w:hAnsi="Arial"/>
                <w:sz w:val="18"/>
                <w:szCs w:val="18"/>
                <w:b w:val="1"/>
                <w:bCs w:val="1"/>
                <w:color w:val="auto"/>
                <w:w w:val="94"/>
              </w:rPr>
              <w:t>2016</w:t>
            </w:r>
          </w:p>
        </w:tc>
        <w:tc>
          <w:tcPr>
            <w:tcW w:w="1040" w:type="dxa"/>
            <w:vAlign w:val="bottom"/>
          </w:tcPr>
          <w:p>
            <w:pPr>
              <w:spacing w:after="0"/>
              <w:rPr>
                <w:sz w:val="20"/>
                <w:szCs w:val="20"/>
                <w:color w:val="auto"/>
              </w:rPr>
            </w:pPr>
          </w:p>
        </w:tc>
        <w:tc>
          <w:tcPr>
            <w:tcW w:w="1540" w:type="dxa"/>
            <w:vAlign w:val="bottom"/>
          </w:tcPr>
          <w:p>
            <w:pPr>
              <w:jc w:val="right"/>
              <w:ind w:right="1050"/>
              <w:spacing w:after="0"/>
              <w:rPr>
                <w:sz w:val="20"/>
                <w:szCs w:val="20"/>
                <w:color w:val="auto"/>
              </w:rPr>
            </w:pPr>
            <w:r>
              <w:rPr>
                <w:rFonts w:ascii="Arial" w:cs="Arial" w:eastAsia="Arial" w:hAnsi="Arial"/>
                <w:sz w:val="18"/>
                <w:szCs w:val="18"/>
                <w:b w:val="1"/>
                <w:bCs w:val="1"/>
                <w:color w:val="auto"/>
                <w:w w:val="94"/>
              </w:rPr>
              <w:t>2015</w:t>
            </w:r>
          </w:p>
        </w:tc>
        <w:tc>
          <w:tcPr>
            <w:tcW w:w="1040" w:type="dxa"/>
            <w:vAlign w:val="bottom"/>
          </w:tcPr>
          <w:p>
            <w:pPr>
              <w:spacing w:after="0"/>
              <w:rPr>
                <w:sz w:val="20"/>
                <w:szCs w:val="20"/>
                <w:color w:val="auto"/>
              </w:rPr>
            </w:pPr>
          </w:p>
        </w:tc>
        <w:tc>
          <w:tcPr>
            <w:tcW w:w="1480" w:type="dxa"/>
            <w:vAlign w:val="bottom"/>
          </w:tcPr>
          <w:p>
            <w:pPr>
              <w:jc w:val="right"/>
              <w:ind w:right="101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Weighted-</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Weighted-</w:t>
            </w:r>
          </w:p>
        </w:tc>
        <w:tc>
          <w:tcPr>
            <w:tcW w:w="104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Average</w:t>
            </w:r>
          </w:p>
        </w:tc>
        <w:tc>
          <w:tcPr>
            <w:tcW w:w="1040" w:type="dxa"/>
            <w:vAlign w:val="bottom"/>
          </w:tcPr>
          <w:p>
            <w:pPr>
              <w:spacing w:after="0"/>
              <w:rPr>
                <w:sz w:val="18"/>
                <w:szCs w:val="18"/>
                <w:color w:val="auto"/>
              </w:rPr>
            </w:pP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Fair Value</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Fair Value</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January 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57,694</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$49.86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53,888</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$44.47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55,982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$40.85</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6"/>
                <w:szCs w:val="16"/>
                <w:i w:val="1"/>
                <w:iCs w:val="1"/>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20,351</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$50.25</w:t>
            </w:r>
          </w:p>
        </w:tc>
        <w:tc>
          <w:tcPr>
            <w:tcW w:w="1040" w:type="dxa"/>
            <w:vAlign w:val="bottom"/>
          </w:tcPr>
          <w:p>
            <w:pPr>
              <w:jc w:val="right"/>
              <w:spacing w:after="0"/>
              <w:rPr>
                <w:sz w:val="20"/>
                <w:szCs w:val="20"/>
                <w:color w:val="auto"/>
              </w:rPr>
            </w:pPr>
            <w:r>
              <w:rPr>
                <w:rFonts w:ascii="Arial" w:cs="Arial" w:eastAsia="Arial" w:hAnsi="Arial"/>
                <w:sz w:val="18"/>
                <w:szCs w:val="18"/>
                <w:color w:val="auto"/>
              </w:rPr>
              <w:t>26,702</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$54.81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19,645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$48.44</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Awarded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(19,661)</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$44.33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(19,464)</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$41.44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$37.64</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(3,656)</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$52.87</w:t>
            </w:r>
          </w:p>
        </w:tc>
        <w:tc>
          <w:tcPr>
            <w:tcW w:w="1040" w:type="dxa"/>
            <w:vAlign w:val="bottom"/>
          </w:tcPr>
          <w:p>
            <w:pPr>
              <w:jc w:val="right"/>
              <w:spacing w:after="0"/>
              <w:rPr>
                <w:sz w:val="20"/>
                <w:szCs w:val="20"/>
                <w:color w:val="auto"/>
              </w:rPr>
            </w:pPr>
            <w:r>
              <w:rPr>
                <w:rFonts w:ascii="Arial" w:cs="Arial" w:eastAsia="Arial" w:hAnsi="Arial"/>
                <w:sz w:val="18"/>
                <w:szCs w:val="18"/>
                <w:color w:val="auto"/>
              </w:rPr>
              <w:t>(3,432)</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$51.52</w:t>
            </w:r>
          </w:p>
        </w:tc>
        <w:tc>
          <w:tcPr>
            <w:tcW w:w="1040" w:type="dxa"/>
            <w:vAlign w:val="bottom"/>
          </w:tcPr>
          <w:p>
            <w:pPr>
              <w:jc w:val="right"/>
              <w:spacing w:after="0"/>
              <w:rPr>
                <w:sz w:val="20"/>
                <w:szCs w:val="20"/>
                <w:color w:val="auto"/>
              </w:rPr>
            </w:pPr>
            <w:r>
              <w:rPr>
                <w:rFonts w:ascii="Arial" w:cs="Arial" w:eastAsia="Arial" w:hAnsi="Arial"/>
                <w:sz w:val="18"/>
                <w:szCs w:val="18"/>
                <w:color w:val="auto"/>
              </w:rPr>
              <w:t>(2,879)</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$45.92</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December 31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54,728</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$51.79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57,694</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$49.86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53,888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$44.47</w:t>
            </w:r>
          </w:p>
        </w:tc>
      </w:tr>
      <w:tr>
        <w:trPr>
          <w:trHeight w:val="200"/>
        </w:trPr>
        <w:tc>
          <w:tcPr>
            <w:tcW w:w="20" w:type="dxa"/>
            <w:vAlign w:val="bottom"/>
          </w:tcPr>
          <w:p>
            <w:pPr>
              <w:spacing w:after="0"/>
              <w:rPr>
                <w:sz w:val="17"/>
                <w:szCs w:val="17"/>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Shares granted include accrued dividends.</w:t>
            </w:r>
          </w:p>
        </w:tc>
        <w:tc>
          <w:tcPr>
            <w:tcW w:w="10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17,639 restricted stock units granted in January 2017 for the vesting period ending in 2019. The grant date fair value of the restricted stock units granted was $1.1 million. There were 14,794 restricted stock units awarded in February 2017. The grant date fair value of the shares awarded was $0.7 million.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BUSINESS SEGMENTS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Regulated Operations includes three operating segments which consist of our regulated utilities, Minnesota Power and SWL&amp;P, as well as our investment in ATC, a Wisconsin-based regulated utility that owns and maintains electric transmission assets in parts of Wisconsin, Michigan, Minnesota and Illinois. ALLETE Clean Energy is our business focused on developing, acquiring and operating clean and renewable energy projects. U.S. Water Services is our integrated water management company which was acquired in February 2015.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other business development and corporate expenditures, unallocated interest expense, a small amount of non-rate base generation, approximately 5,000 acres of land in Minnesota, and earnings on cash and investments.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702"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NOTE 17. BUSINESS SEGMENTS (Continued)</w:t>
            </w:r>
          </w:p>
        </w:tc>
        <w:tc>
          <w:tcPr>
            <w:tcW w:w="3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r>
      <w:tr>
        <w:trPr>
          <w:trHeight w:val="27"/>
        </w:trPr>
        <w:tc>
          <w:tcPr>
            <w:tcW w:w="56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$1,000.7</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$991.2</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$1,003.5</w:t>
            </w:r>
          </w:p>
        </w:tc>
      </w:tr>
      <w:tr>
        <w:trPr>
          <w:trHeight w:val="27"/>
        </w:trPr>
        <w:tc>
          <w:tcPr>
            <w:tcW w:w="5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6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0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(a)</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80.5</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262.1</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33.2</w:t>
            </w: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137.5</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119.8</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6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121.0</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113.3</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100.1</w:t>
            </w:r>
          </w:p>
        </w:tc>
      </w:tr>
      <w:tr>
        <w:trPr>
          <w:trHeight w:val="27"/>
        </w:trPr>
        <w:tc>
          <w:tcPr>
            <w:tcW w:w="56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Revenue</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$1,339.7</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$1,486.4</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$1,136.8</w:t>
            </w: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Attributable to ALLETE</w:t>
            </w:r>
          </w:p>
        </w:tc>
        <w:tc>
          <w:tcPr>
            <w:tcW w:w="30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Regulated Operations </w:t>
            </w:r>
            <w:r>
              <w:rPr>
                <w:rFonts w:ascii="Arial" w:cs="Arial" w:eastAsia="Arial" w:hAnsi="Arial"/>
                <w:sz w:val="16"/>
                <w:szCs w:val="16"/>
                <w:i w:val="1"/>
                <w:iCs w:val="1"/>
                <w:color w:val="auto"/>
              </w:rPr>
              <w:t>(b)</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$135.5</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$131.6</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$123.0</w:t>
            </w:r>
          </w:p>
        </w:tc>
      </w:tr>
      <w:tr>
        <w:trPr>
          <w:trHeight w:val="270"/>
        </w:trPr>
        <w:tc>
          <w:tcPr>
            <w:tcW w:w="56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13.4</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29.9</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3.3</w:t>
            </w:r>
          </w:p>
        </w:tc>
      </w:tr>
      <w:tr>
        <w:trPr>
          <w:trHeight w:val="27"/>
        </w:trPr>
        <w:tc>
          <w:tcPr>
            <w:tcW w:w="5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56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(b)</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4.9</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(21.3)</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37"/>
        </w:trPr>
        <w:tc>
          <w:tcPr>
            <w:tcW w:w="566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Net Income Attributable to ALLETE</w:t>
            </w:r>
          </w:p>
        </w:tc>
        <w:tc>
          <w:tcPr>
            <w:tcW w:w="30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$155.3</w:t>
            </w:r>
          </w:p>
        </w:tc>
        <w:tc>
          <w:tcPr>
            <w:tcW w:w="14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$141.1</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$124.8</w:t>
            </w:r>
          </w:p>
        </w:tc>
      </w:tr>
      <w:tr>
        <w:trPr>
          <w:trHeight w:val="27"/>
        </w:trPr>
        <w:tc>
          <w:tcPr>
            <w:tcW w:w="56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$154.3</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$135.1</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$118.0</w:t>
            </w:r>
          </w:p>
        </w:tc>
      </w:tr>
      <w:tr>
        <w:trPr>
          <w:trHeight w:val="27"/>
        </w:trPr>
        <w:tc>
          <w:tcPr>
            <w:tcW w:w="5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6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0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22.3</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18.7</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10.1</w:t>
            </w: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8.9</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7.3</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6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10.3</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8.9</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7.6</w:t>
            </w:r>
          </w:p>
        </w:tc>
      </w:tr>
      <w:tr>
        <w:trPr>
          <w:trHeight w:val="27"/>
        </w:trPr>
        <w:tc>
          <w:tcPr>
            <w:tcW w:w="56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Depreciation and Amortization</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$195.8</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$170.0</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$135.7</w:t>
            </w: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Operating Expenses – Other </w:t>
            </w:r>
            <w:r>
              <w:rPr>
                <w:rFonts w:ascii="Arial" w:cs="Arial" w:eastAsia="Arial" w:hAnsi="Arial"/>
                <w:sz w:val="16"/>
                <w:szCs w:val="16"/>
                <w:i w:val="1"/>
                <w:iCs w:val="1"/>
                <w:color w:val="auto"/>
              </w:rPr>
              <w:t>(c)</w:t>
            </w:r>
          </w:p>
        </w:tc>
        <w:tc>
          <w:tcPr>
            <w:tcW w:w="30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30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000" w:type="dxa"/>
            <w:vAlign w:val="bottom"/>
          </w:tcPr>
          <w:p>
            <w:pPr>
              <w:jc w:val="right"/>
              <w:ind w:right="290"/>
              <w:spacing w:after="0"/>
              <w:rPr>
                <w:sz w:val="20"/>
                <w:szCs w:val="20"/>
                <w:color w:val="auto"/>
              </w:rPr>
            </w:pPr>
            <w:r>
              <w:rPr>
                <w:rFonts w:ascii="Arial" w:cs="Arial" w:eastAsia="Arial" w:hAnsi="Arial"/>
                <w:sz w:val="18"/>
                <w:szCs w:val="18"/>
                <w:color w:val="auto"/>
              </w:rPr>
              <w:t>(13.6)</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$36.3</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Expenses – Other</w:t>
            </w:r>
          </w:p>
        </w:tc>
        <w:tc>
          <w:tcPr>
            <w:tcW w:w="30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$(10.3)</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$36.3</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Regulated Operations </w:t>
            </w:r>
            <w:r>
              <w:rPr>
                <w:rFonts w:ascii="Arial" w:cs="Arial" w:eastAsia="Arial" w:hAnsi="Arial"/>
                <w:sz w:val="16"/>
                <w:szCs w:val="16"/>
                <w:i w:val="1"/>
                <w:iCs w:val="1"/>
                <w:color w:val="auto"/>
              </w:rPr>
              <w:t>(b)</w:t>
            </w:r>
          </w:p>
        </w:tc>
        <w:tc>
          <w:tcPr>
            <w:tcW w:w="30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$52.1</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$53.9</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$49.2</w:t>
            </w:r>
          </w:p>
        </w:tc>
      </w:tr>
      <w:tr>
        <w:trPr>
          <w:trHeight w:val="270"/>
        </w:trPr>
        <w:tc>
          <w:tcPr>
            <w:tcW w:w="56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5.8</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3.3</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0.8</w:t>
            </w:r>
          </w:p>
        </w:tc>
      </w:tr>
      <w:tr>
        <w:trPr>
          <w:trHeight w:val="27"/>
        </w:trPr>
        <w:tc>
          <w:tcPr>
            <w:tcW w:w="5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56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(b)</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14.5</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8.6</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r>
      <w:tr>
        <w:trPr>
          <w:trHeight w:val="270"/>
        </w:trPr>
        <w:tc>
          <w:tcPr>
            <w:tcW w:w="56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Eliminations </w:t>
            </w:r>
            <w:r>
              <w:rPr>
                <w:rFonts w:ascii="Arial" w:cs="Arial" w:eastAsia="Arial" w:hAnsi="Arial"/>
                <w:sz w:val="16"/>
                <w:szCs w:val="16"/>
                <w:i w:val="1"/>
                <w:iCs w:val="1"/>
                <w:color w:val="auto"/>
              </w:rPr>
              <w:t>(b)</w:t>
            </w:r>
          </w:p>
        </w:tc>
        <w:tc>
          <w:tcPr>
            <w:tcW w:w="30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(3.8)</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(2.3)</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r>
      <w:tr>
        <w:trPr>
          <w:trHeight w:val="237"/>
        </w:trPr>
        <w:tc>
          <w:tcPr>
            <w:tcW w:w="566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Interest Expense</w:t>
            </w:r>
          </w:p>
        </w:tc>
        <w:tc>
          <w:tcPr>
            <w:tcW w:w="30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$70.3</w:t>
            </w:r>
          </w:p>
        </w:tc>
        <w:tc>
          <w:tcPr>
            <w:tcW w:w="14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$64.9</w:t>
            </w:r>
          </w:p>
        </w:tc>
        <w:tc>
          <w:tcPr>
            <w:tcW w:w="1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$54.8</w:t>
            </w:r>
          </w:p>
        </w:tc>
      </w:tr>
      <w:tr>
        <w:trPr>
          <w:trHeight w:val="27"/>
        </w:trPr>
        <w:tc>
          <w:tcPr>
            <w:tcW w:w="56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 Earnings in ATC</w:t>
            </w:r>
          </w:p>
        </w:tc>
        <w:tc>
          <w:tcPr>
            <w:tcW w:w="3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000" w:type="dxa"/>
            <w:vAlign w:val="bottom"/>
          </w:tcPr>
          <w:p>
            <w:pPr>
              <w:jc w:val="right"/>
              <w:ind w:right="290"/>
              <w:spacing w:after="0"/>
              <w:rPr>
                <w:sz w:val="20"/>
                <w:szCs w:val="20"/>
                <w:color w:val="auto"/>
              </w:rPr>
            </w:pPr>
            <w:r>
              <w:rPr>
                <w:rFonts w:ascii="Arial" w:cs="Arial" w:eastAsia="Arial" w:hAnsi="Arial"/>
                <w:sz w:val="18"/>
                <w:szCs w:val="18"/>
                <w:color w:val="auto"/>
              </w:rPr>
              <w:t>$18.5</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$16.3</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123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construction and sale of a wind energy facility by ALLETE Clean Energy to Montana-Dakota Utilities for $197.7 million in 2015.</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During 2015, an intercompany loan agreement was entered into and interest expense was allocated to certain subsidiaries. The amounts are eliminated in consolidation.</w:t>
      </w:r>
    </w:p>
    <w:p>
      <w:pPr>
        <w:spacing w:after="0" w:line="28" w:lineRule="exact"/>
        <w:rPr>
          <w:rFonts w:ascii="Arial" w:cs="Arial" w:eastAsia="Arial" w:hAnsi="Arial"/>
          <w:sz w:val="14"/>
          <w:szCs w:val="14"/>
          <w:i w:val="1"/>
          <w:iCs w:val="1"/>
          <w:color w:val="auto"/>
        </w:rPr>
      </w:pPr>
    </w:p>
    <w:p>
      <w:pPr>
        <w:ind w:left="340" w:hanging="332"/>
        <w:spacing w:after="0"/>
        <w:tabs>
          <w:tab w:leader="none" w:pos="34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 Operations and Significant Accounting Policies.</w:t>
      </w:r>
    </w:p>
    <w:p>
      <w:pPr>
        <w:sectPr>
          <w:pgSz w:w="11900" w:h="16838" w:orient="portrait"/>
          <w:cols w:equalWidth="0" w:num="1">
            <w:col w:w="11360"/>
          </w:cols>
          <w:pgMar w:left="240" w:top="702" w:right="299" w:bottom="1004"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ALLETE, Inc. 2016 Form 10-K</w:t>
      </w:r>
    </w:p>
    <w:p>
      <w:pPr>
        <w:spacing w:after="0" w:line="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60"/>
          </w:cols>
          <w:pgMar w:left="240" w:top="702" w:right="299" w:bottom="1004"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NOTE 17. BUSINESS SEGMENTS (Continued)</w:t>
            </w:r>
          </w:p>
        </w:tc>
        <w:tc>
          <w:tcPr>
            <w:tcW w:w="3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r>
      <w:tr>
        <w:trPr>
          <w:trHeight w:val="27"/>
        </w:trPr>
        <w:tc>
          <w:tcPr>
            <w:tcW w:w="5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30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00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$24.4</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$39.0</w:t>
            </w:r>
          </w:p>
        </w:tc>
      </w:tr>
      <w:tr>
        <w:trPr>
          <w:trHeight w:val="27"/>
        </w:trPr>
        <w:tc>
          <w:tcPr>
            <w:tcW w:w="5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86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3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8.1</w:t>
            </w:r>
          </w:p>
        </w:tc>
        <w:tc>
          <w:tcPr>
            <w:tcW w:w="14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21.0</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000" w:type="dxa"/>
            <w:vAlign w:val="bottom"/>
          </w:tcPr>
          <w:p>
            <w:pPr>
              <w:jc w:val="right"/>
              <w:ind w:right="370"/>
              <w:spacing w:after="0"/>
              <w:rPr>
                <w:sz w:val="20"/>
                <w:szCs w:val="20"/>
                <w:color w:val="auto"/>
              </w:rPr>
            </w:pPr>
            <w:r>
              <w:rPr>
                <w:rFonts w:ascii="Arial" w:cs="Arial" w:eastAsia="Arial" w:hAnsi="Arial"/>
                <w:sz w:val="18"/>
                <w:szCs w:val="18"/>
                <w:color w:val="auto"/>
              </w:rPr>
              <w:t>1.4</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0.9</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86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000" w:type="dxa"/>
            <w:vAlign w:val="bottom"/>
          </w:tcPr>
          <w:p>
            <w:pPr>
              <w:jc w:val="right"/>
              <w:ind w:right="370"/>
              <w:spacing w:after="0"/>
              <w:rPr>
                <w:sz w:val="20"/>
                <w:szCs w:val="20"/>
                <w:color w:val="auto"/>
              </w:rPr>
            </w:pPr>
            <w:r>
              <w:rPr>
                <w:rFonts w:ascii="Arial" w:cs="Arial" w:eastAsia="Arial" w:hAnsi="Arial"/>
                <w:sz w:val="18"/>
                <w:szCs w:val="18"/>
                <w:color w:val="auto"/>
              </w:rPr>
              <w:t>4.4</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(21.0)</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(4.6)</w:t>
            </w:r>
          </w:p>
        </w:tc>
      </w:tr>
      <w:tr>
        <w:trPr>
          <w:trHeight w:val="27"/>
        </w:trPr>
        <w:tc>
          <w:tcPr>
            <w:tcW w:w="5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Income Tax Expense</w:t>
            </w:r>
          </w:p>
        </w:tc>
        <w:tc>
          <w:tcPr>
            <w:tcW w:w="3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$19.8</w:t>
            </w:r>
          </w:p>
        </w:tc>
        <w:tc>
          <w:tcPr>
            <w:tcW w:w="14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$25.3</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$36.7</w:t>
            </w:r>
          </w:p>
        </w:tc>
      </w:tr>
      <w:tr>
        <w:trPr>
          <w:trHeight w:val="453"/>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December 31</w:t>
            </w:r>
          </w:p>
        </w:tc>
        <w:tc>
          <w:tcPr>
            <w:tcW w:w="30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 xml:space="preserve">Regulated Operations </w:t>
            </w:r>
            <w:r>
              <w:rPr>
                <w:rFonts w:ascii="Arial" w:cs="Arial" w:eastAsia="Arial" w:hAnsi="Arial"/>
                <w:sz w:val="16"/>
                <w:szCs w:val="16"/>
                <w:i w:val="1"/>
                <w:iCs w:val="1"/>
                <w:color w:val="auto"/>
              </w:rPr>
              <w:t>(a)</w:t>
            </w:r>
          </w:p>
        </w:tc>
        <w:tc>
          <w:tcPr>
            <w:tcW w:w="3000" w:type="dxa"/>
            <w:vAlign w:val="bottom"/>
          </w:tcPr>
          <w:p>
            <w:pPr>
              <w:spacing w:after="0"/>
              <w:rPr>
                <w:sz w:val="21"/>
                <w:szCs w:val="21"/>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$3,853.4</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$3,853.1</w:t>
            </w:r>
          </w:p>
        </w:tc>
      </w:tr>
      <w:tr>
        <w:trPr>
          <w:trHeight w:val="27"/>
        </w:trPr>
        <w:tc>
          <w:tcPr>
            <w:tcW w:w="5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86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(a)</w:t>
            </w:r>
          </w:p>
        </w:tc>
        <w:tc>
          <w:tcPr>
            <w:tcW w:w="30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566.0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501.5</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000" w:type="dxa"/>
            <w:vAlign w:val="bottom"/>
          </w:tcPr>
          <w:p>
            <w:pPr>
              <w:spacing w:after="0"/>
              <w:rPr>
                <w:sz w:val="21"/>
                <w:szCs w:val="21"/>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264.1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258.3</w:t>
            </w:r>
          </w:p>
        </w:tc>
      </w:tr>
      <w:tr>
        <w:trPr>
          <w:trHeight w:val="27"/>
        </w:trPr>
        <w:tc>
          <w:tcPr>
            <w:tcW w:w="5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86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000" w:type="dxa"/>
            <w:vAlign w:val="bottom"/>
          </w:tcPr>
          <w:p>
            <w:pPr>
              <w:spacing w:after="0"/>
              <w:rPr>
                <w:sz w:val="21"/>
                <w:szCs w:val="21"/>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222.9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281.6</w:t>
            </w:r>
          </w:p>
        </w:tc>
      </w:tr>
      <w:tr>
        <w:trPr>
          <w:trHeight w:val="27"/>
        </w:trPr>
        <w:tc>
          <w:tcPr>
            <w:tcW w:w="5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 xml:space="preserve">Total Assets </w:t>
            </w:r>
            <w:r>
              <w:rPr>
                <w:rFonts w:ascii="Arial" w:cs="Arial" w:eastAsia="Arial" w:hAnsi="Arial"/>
                <w:sz w:val="16"/>
                <w:szCs w:val="16"/>
                <w:i w:val="1"/>
                <w:iCs w:val="1"/>
                <w:color w:val="auto"/>
              </w:rPr>
              <w:t>(a)</w:t>
            </w:r>
          </w:p>
        </w:tc>
        <w:tc>
          <w:tcPr>
            <w:tcW w:w="30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$4,906.4</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$4,894.5</w:t>
            </w:r>
          </w:p>
        </w:tc>
      </w:tr>
      <w:tr>
        <w:trPr>
          <w:trHeight w:val="237"/>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0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w:t>
            </w:r>
          </w:p>
        </w:tc>
        <w:tc>
          <w:tcPr>
            <w:tcW w:w="30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$121.8</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$224.4</w:t>
            </w:r>
          </w:p>
        </w:tc>
      </w:tr>
      <w:tr>
        <w:trPr>
          <w:trHeight w:val="270"/>
        </w:trPr>
        <w:tc>
          <w:tcPr>
            <w:tcW w:w="58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0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3000" w:type="dxa"/>
            <w:vAlign w:val="bottom"/>
          </w:tcPr>
          <w:p>
            <w:pPr>
              <w:spacing w:after="0"/>
              <w:rPr>
                <w:sz w:val="21"/>
                <w:szCs w:val="21"/>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106.9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5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30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3.7</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70"/>
        </w:trPr>
        <w:tc>
          <w:tcPr>
            <w:tcW w:w="58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30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15.4</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37"/>
        </w:trPr>
        <w:tc>
          <w:tcPr>
            <w:tcW w:w="586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Capital Expenditures</w:t>
            </w:r>
          </w:p>
        </w:tc>
        <w:tc>
          <w:tcPr>
            <w:tcW w:w="30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$247.8</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right="20" w:hanging="332"/>
        <w:spacing w:after="0" w:line="261" w:lineRule="auto"/>
        <w:tabs>
          <w:tab w:leader="none" w:pos="34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As a result of revised accounting guidance adopted in the first quarter of 2016, we reclassified unamortized debt issuance costs from Other Non-Current Assets to Long-Term Debt on the Consolidated Balance Sheet. Prior period segment assets have been reclassified to conform to the current presentation. (See Note 1. Operations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702"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NOTE 18. QUARTERLY FINANCIAL DATA (UNAUDITED)</w:t>
            </w:r>
          </w:p>
        </w:tc>
        <w:tc>
          <w:tcPr>
            <w:tcW w:w="1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980" w:type="dxa"/>
            <w:vAlign w:val="bottom"/>
            <w:gridSpan w:val="3"/>
          </w:tcPr>
          <w:p>
            <w:pPr>
              <w:spacing w:after="0"/>
              <w:rPr>
                <w:sz w:val="20"/>
                <w:szCs w:val="20"/>
                <w:color w:val="auto"/>
              </w:rPr>
            </w:pPr>
            <w:r>
              <w:rPr>
                <w:rFonts w:ascii="Arial" w:cs="Arial" w:eastAsia="Arial" w:hAnsi="Arial"/>
                <w:sz w:val="18"/>
                <w:szCs w:val="18"/>
                <w:color w:val="auto"/>
                <w:w w:val="95"/>
              </w:rPr>
              <w:t>Information for any one quarterly period is not necessarily indicative of the results which may be expected for the year.</w:t>
            </w: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Mar. 31</w:t>
            </w: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Jun. 30</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 30</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Dec. 31</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Millions Except Earnings Per Share</w:t>
            </w:r>
          </w:p>
        </w:tc>
        <w:tc>
          <w:tcPr>
            <w:tcW w:w="1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1920" w:type="dxa"/>
            <w:vAlign w:val="bottom"/>
          </w:tcPr>
          <w:p>
            <w:pPr>
              <w:jc w:val="right"/>
              <w:ind w:right="330"/>
              <w:spacing w:after="0"/>
              <w:rPr>
                <w:sz w:val="20"/>
                <w:szCs w:val="20"/>
                <w:color w:val="auto"/>
              </w:rPr>
            </w:pPr>
            <w:r>
              <w:rPr>
                <w:rFonts w:ascii="Arial" w:cs="Arial" w:eastAsia="Arial" w:hAnsi="Arial"/>
                <w:sz w:val="18"/>
                <w:szCs w:val="18"/>
                <w:color w:val="auto"/>
              </w:rPr>
              <w:t>$333.8</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$314.8</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$349.6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$341.5</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$66.8</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$42.2</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$53.4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ALLETE</w:t>
            </w:r>
          </w:p>
        </w:tc>
        <w:tc>
          <w:tcPr>
            <w:tcW w:w="1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$45.9</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$24.8</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$40.3</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tcPr>
          <w:p>
            <w:pPr>
              <w:jc w:val="right"/>
              <w:ind w:right="330"/>
              <w:spacing w:after="0"/>
              <w:rPr>
                <w:sz w:val="20"/>
                <w:szCs w:val="20"/>
                <w:color w:val="auto"/>
              </w:rPr>
            </w:pPr>
            <w:r>
              <w:rPr>
                <w:rFonts w:ascii="Arial" w:cs="Arial" w:eastAsia="Arial" w:hAnsi="Arial"/>
                <w:sz w:val="18"/>
                <w:szCs w:val="18"/>
                <w:color w:val="auto"/>
              </w:rPr>
              <w:t>$0.93</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$0.50</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$0.82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$0.89</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$0.93</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$0.50</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$0.81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r>
      <w:tr>
        <w:trPr>
          <w:trHeight w:val="237"/>
        </w:trPr>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2015</w:t>
            </w:r>
          </w:p>
        </w:tc>
        <w:tc>
          <w:tcPr>
            <w:tcW w:w="19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$320.0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$323.3</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$462.5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$56.4</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$39.5</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$85.2</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$39.9</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$22.5</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$60.4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Per Share of Common Stock</w:t>
            </w:r>
          </w:p>
        </w:tc>
        <w:tc>
          <w:tcPr>
            <w:tcW w:w="19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$0.85</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$0.46</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r>
      <w:tr>
        <w:trPr>
          <w:trHeight w:val="237"/>
        </w:trPr>
        <w:tc>
          <w:tcPr>
            <w:tcW w:w="57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$0.85</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$0.46</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$1.23</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$0.37</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702"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Schedule II</w:t>
            </w: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3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Valuation and Qualifying Accounts and Reserves</w:t>
            </w: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0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w w:val="88"/>
              </w:rPr>
              <w:t>Balance at</w:t>
            </w:r>
          </w:p>
        </w:tc>
        <w:tc>
          <w:tcPr>
            <w:tcW w:w="2740" w:type="dxa"/>
            <w:vAlign w:val="bottom"/>
            <w:gridSpan w:val="2"/>
          </w:tcPr>
          <w:p>
            <w:pPr>
              <w:ind w:left="1000"/>
              <w:spacing w:after="0"/>
              <w:rPr>
                <w:sz w:val="20"/>
                <w:szCs w:val="20"/>
                <w:color w:val="auto"/>
              </w:rPr>
            </w:pPr>
            <w:r>
              <w:rPr>
                <w:rFonts w:ascii="Arial" w:cs="Arial" w:eastAsia="Arial" w:hAnsi="Arial"/>
                <w:sz w:val="18"/>
                <w:szCs w:val="18"/>
                <w:b w:val="1"/>
                <w:bCs w:val="1"/>
                <w:color w:val="auto"/>
              </w:rPr>
              <w:t>Additions</w:t>
            </w:r>
          </w:p>
        </w:tc>
        <w:tc>
          <w:tcPr>
            <w:tcW w:w="14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Deductions</w:t>
            </w: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Beginning of</w:t>
            </w: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Charged to</w:t>
            </w: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Other</w:t>
            </w: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from</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End of</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Period</w:t>
            </w: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Income</w:t>
            </w:r>
          </w:p>
        </w:tc>
        <w:tc>
          <w:tcPr>
            <w:tcW w:w="1240" w:type="dxa"/>
            <w:vAlign w:val="bottom"/>
          </w:tcPr>
          <w:p>
            <w:pPr>
              <w:ind w:left="240"/>
              <w:spacing w:after="0"/>
              <w:rPr>
                <w:sz w:val="20"/>
                <w:szCs w:val="20"/>
                <w:color w:val="auto"/>
              </w:rPr>
            </w:pPr>
            <w:r>
              <w:rPr>
                <w:rFonts w:ascii="Arial" w:cs="Arial" w:eastAsia="Arial" w:hAnsi="Arial"/>
                <w:sz w:val="18"/>
                <w:szCs w:val="18"/>
                <w:b w:val="1"/>
                <w:bCs w:val="1"/>
                <w:color w:val="auto"/>
              </w:rPr>
              <w:t>Charges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 xml:space="preserve">Reserves </w:t>
            </w:r>
            <w:r>
              <w:rPr>
                <w:rFonts w:ascii="Arial" w:cs="Arial" w:eastAsia="Arial" w:hAnsi="Arial"/>
                <w:sz w:val="16"/>
                <w:szCs w:val="16"/>
                <w:i w:val="1"/>
                <w:iCs w:val="1"/>
                <w:color w:val="auto"/>
                <w:w w:val="87"/>
              </w:rPr>
              <w:t>(a)</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Deducted from Related Assets</w:t>
            </w:r>
          </w:p>
        </w:tc>
        <w:tc>
          <w:tcPr>
            <w:tcW w:w="1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Reserve For Uncollectible Accounts</w:t>
            </w:r>
          </w:p>
        </w:tc>
        <w:tc>
          <w:tcPr>
            <w:tcW w:w="1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$4.1</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$0.6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Asset Valuation Allowance</w:t>
            </w:r>
          </w:p>
        </w:tc>
        <w:tc>
          <w:tcPr>
            <w:tcW w:w="1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Arial" w:cs="Arial" w:eastAsia="Arial" w:hAnsi="Arial"/>
                <w:sz w:val="18"/>
                <w:szCs w:val="18"/>
                <w:color w:val="auto"/>
              </w:rPr>
              <w:t>2014</w:t>
            </w:r>
          </w:p>
        </w:tc>
        <w:tc>
          <w:tcPr>
            <w:tcW w:w="35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$14.1</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$9.5</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Arial" w:cs="Arial" w:eastAsia="Arial" w:hAnsi="Arial"/>
                <w:sz w:val="18"/>
                <w:szCs w:val="18"/>
                <w:color w:val="auto"/>
              </w:rPr>
              <w:t>2016</w:t>
            </w:r>
          </w:p>
        </w:tc>
        <w:tc>
          <w:tcPr>
            <w:tcW w:w="35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$11.4</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uncollectible accounts written-off.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2016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702"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10(e)6</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Executive Annual Incentive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Award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2017</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Executive Employees, except CEO]</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Target Award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40" w:type="dxa"/>
            <w:vAlign w:val="bottom"/>
            <w:gridSpan w:val="4"/>
          </w:tcPr>
          <w:p>
            <w:pPr>
              <w:spacing w:after="0"/>
              <w:rPr>
                <w:sz w:val="20"/>
                <w:szCs w:val="20"/>
                <w:color w:val="auto"/>
              </w:rPr>
            </w:pPr>
            <w:r>
              <w:rPr>
                <w:rFonts w:ascii="Arial" w:cs="Arial" w:eastAsia="Arial" w:hAnsi="Arial"/>
                <w:sz w:val="18"/>
                <w:szCs w:val="18"/>
                <w:color w:val="auto"/>
              </w:rPr>
              <w:t>Base Salary</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00"/>
        </w:trPr>
        <w:tc>
          <w:tcPr>
            <w:tcW w:w="200" w:type="dxa"/>
            <w:vAlign w:val="bottom"/>
          </w:tcPr>
          <w:p>
            <w:pPr>
              <w:spacing w:after="0"/>
              <w:rPr>
                <w:sz w:val="24"/>
                <w:szCs w:val="24"/>
                <w:color w:val="auto"/>
              </w:rPr>
            </w:pPr>
          </w:p>
        </w:tc>
        <w:tc>
          <w:tcPr>
            <w:tcW w:w="3640" w:type="dxa"/>
            <w:vAlign w:val="bottom"/>
            <w:gridSpan w:val="3"/>
          </w:tcPr>
          <w:p>
            <w:pPr>
              <w:ind w:left="260"/>
              <w:spacing w:after="0"/>
              <w:rPr>
                <w:sz w:val="20"/>
                <w:szCs w:val="20"/>
                <w:color w:val="auto"/>
              </w:rPr>
            </w:pPr>
            <w:r>
              <w:rPr>
                <w:rFonts w:ascii="Arial" w:cs="Arial" w:eastAsia="Arial" w:hAnsi="Arial"/>
                <w:sz w:val="18"/>
                <w:szCs w:val="18"/>
                <w:b w:val="1"/>
                <w:bCs w:val="1"/>
                <w:color w:val="auto"/>
              </w:rPr>
              <w:t>Times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9"/>
        </w:trPr>
        <w:tc>
          <w:tcPr>
            <w:tcW w:w="3840" w:type="dxa"/>
            <w:vAlign w:val="bottom"/>
            <w:gridSpan w:val="4"/>
          </w:tcPr>
          <w:p>
            <w:pPr>
              <w:spacing w:after="0"/>
              <w:rPr>
                <w:sz w:val="20"/>
                <w:szCs w:val="20"/>
                <w:color w:val="auto"/>
              </w:rPr>
            </w:pPr>
            <w:r>
              <w:rPr>
                <w:rFonts w:ascii="Arial" w:cs="Arial" w:eastAsia="Arial" w:hAnsi="Arial"/>
                <w:sz w:val="18"/>
                <w:szCs w:val="18"/>
                <w:color w:val="auto"/>
              </w:rPr>
              <w:t>Award Opportunity (percent of base salary)</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20"/>
        </w:trPr>
        <w:tc>
          <w:tcPr>
            <w:tcW w:w="200" w:type="dxa"/>
            <w:vAlign w:val="bottom"/>
          </w:tcPr>
          <w:p>
            <w:pPr>
              <w:spacing w:after="0"/>
              <w:rPr>
                <w:sz w:val="24"/>
                <w:szCs w:val="24"/>
                <w:color w:val="auto"/>
              </w:rPr>
            </w:pPr>
          </w:p>
        </w:tc>
        <w:tc>
          <w:tcPr>
            <w:tcW w:w="3640" w:type="dxa"/>
            <w:vAlign w:val="bottom"/>
            <w:gridSpan w:val="3"/>
          </w:tcPr>
          <w:p>
            <w:pPr>
              <w:ind w:left="260"/>
              <w:spacing w:after="0"/>
              <w:rPr>
                <w:sz w:val="20"/>
                <w:szCs w:val="20"/>
                <w:color w:val="auto"/>
              </w:rPr>
            </w:pPr>
            <w:r>
              <w:rPr>
                <w:rFonts w:ascii="Arial" w:cs="Arial" w:eastAsia="Arial" w:hAnsi="Arial"/>
                <w:sz w:val="18"/>
                <w:szCs w:val="18"/>
                <w:b w:val="1"/>
                <w:bCs w:val="1"/>
                <w:color w:val="auto"/>
              </w:rPr>
              <w:t>Equals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00"/>
        </w:trPr>
        <w:tc>
          <w:tcPr>
            <w:tcW w:w="3840" w:type="dxa"/>
            <w:vAlign w:val="bottom"/>
            <w:gridSpan w:val="4"/>
          </w:tcPr>
          <w:p>
            <w:pPr>
              <w:spacing w:after="0"/>
              <w:rPr>
                <w:sz w:val="20"/>
                <w:szCs w:val="20"/>
                <w:color w:val="auto"/>
              </w:rPr>
            </w:pPr>
            <w:r>
              <w:rPr>
                <w:rFonts w:ascii="Arial" w:cs="Arial" w:eastAsia="Arial" w:hAnsi="Arial"/>
                <w:sz w:val="18"/>
                <w:szCs w:val="18"/>
                <w:color w:val="auto"/>
              </w:rPr>
              <w:t>Target Award</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9440" w:type="dxa"/>
            <w:vAlign w:val="bottom"/>
            <w:gridSpan w:val="12"/>
          </w:tcPr>
          <w:p>
            <w:pPr>
              <w:jc w:val="center"/>
              <w:ind w:right="60"/>
              <w:spacing w:after="0"/>
              <w:rPr>
                <w:sz w:val="20"/>
                <w:szCs w:val="20"/>
                <w:color w:val="auto"/>
              </w:rPr>
            </w:pPr>
            <w:r>
              <w:rPr>
                <w:rFonts w:ascii="Arial" w:cs="Arial" w:eastAsia="Arial" w:hAnsi="Arial"/>
                <w:sz w:val="22"/>
                <w:szCs w:val="22"/>
                <w:b w:val="1"/>
                <w:bCs w:val="1"/>
                <w:color w:val="auto"/>
                <w:w w:val="89"/>
              </w:rPr>
              <w:t>Performance Levels and Award Amounts</w:t>
            </w:r>
          </w:p>
        </w:tc>
      </w:tr>
      <w:tr>
        <w:trPr>
          <w:trHeight w:val="588"/>
        </w:trPr>
        <w:tc>
          <w:tcPr>
            <w:tcW w:w="20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36"/>
        </w:trPr>
        <w:tc>
          <w:tcPr>
            <w:tcW w:w="200" w:type="dxa"/>
            <w:vAlign w:val="bottom"/>
            <w:tcBorders>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gridSpan w:val="3"/>
          </w:tcPr>
          <w:p>
            <w:pPr>
              <w:jc w:val="center"/>
              <w:ind w:right="120"/>
              <w:spacing w:after="0" w:line="237" w:lineRule="exact"/>
              <w:rPr>
                <w:sz w:val="20"/>
                <w:szCs w:val="20"/>
                <w:color w:val="auto"/>
              </w:rPr>
            </w:pPr>
            <w:r>
              <w:rPr>
                <w:rFonts w:ascii="Arial" w:cs="Arial" w:eastAsia="Arial" w:hAnsi="Arial"/>
                <w:sz w:val="22"/>
                <w:szCs w:val="22"/>
                <w:b w:val="1"/>
                <w:bCs w:val="1"/>
                <w:color w:val="auto"/>
                <w:w w:val="87"/>
              </w:rPr>
              <w:t>Payout as Percent of</w:t>
            </w: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Goal Performance Level</w:t>
            </w:r>
          </w:p>
        </w:tc>
        <w:tc>
          <w:tcPr>
            <w:tcW w:w="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22"/>
                <w:szCs w:val="22"/>
                <w:b w:val="1"/>
                <w:bCs w:val="1"/>
                <w:color w:val="auto"/>
                <w:w w:val="91"/>
              </w:rPr>
              <w:t>Target Award</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2"/>
              </w:rPr>
              <w:t>Award Amount</w:t>
            </w:r>
          </w:p>
        </w:tc>
      </w:tr>
      <w:tr>
        <w:trPr>
          <w:trHeight w:val="243"/>
        </w:trPr>
        <w:tc>
          <w:tcPr>
            <w:tcW w:w="20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Superior</w:t>
            </w:r>
          </w:p>
        </w:tc>
        <w:tc>
          <w:tcPr>
            <w:tcW w:w="520" w:type="dxa"/>
            <w:vAlign w:val="bottom"/>
          </w:tcPr>
          <w:p>
            <w:pPr>
              <w:spacing w:after="0"/>
              <w:rPr>
                <w:sz w:val="21"/>
                <w:szCs w:val="21"/>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200%</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Target</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100%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Threshold</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0"/>
              </w:rPr>
              <w:t>37.5%</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Below Threshold</w:t>
            </w:r>
          </w:p>
        </w:tc>
        <w:tc>
          <w:tcPr>
            <w:tcW w:w="520" w:type="dxa"/>
            <w:vAlign w:val="bottom"/>
          </w:tcPr>
          <w:p>
            <w:pPr>
              <w:spacing w:after="0"/>
              <w:rPr>
                <w:sz w:val="20"/>
                <w:szCs w:val="20"/>
                <w:color w:val="auto"/>
              </w:rPr>
            </w:pPr>
          </w:p>
        </w:tc>
        <w:tc>
          <w:tcPr>
            <w:tcW w:w="1320" w:type="dxa"/>
            <w:vAlign w:val="bottom"/>
            <w:gridSpan w:val="2"/>
          </w:tcPr>
          <w:p>
            <w:pPr>
              <w:jc w:val="center"/>
              <w:ind w:left="702"/>
              <w:spacing w:after="0"/>
              <w:rPr>
                <w:sz w:val="20"/>
                <w:szCs w:val="20"/>
                <w:color w:val="auto"/>
              </w:rPr>
            </w:pPr>
            <w:r>
              <w:rPr>
                <w:rFonts w:ascii="Arial" w:cs="Arial" w:eastAsia="Arial" w:hAnsi="Arial"/>
                <w:sz w:val="18"/>
                <w:szCs w:val="18"/>
                <w:color w:val="auto"/>
                <w:w w:val="92"/>
              </w:rPr>
              <w:t>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64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gridSpan w:val="3"/>
          </w:tcPr>
          <w:p>
            <w:pPr>
              <w:jc w:val="center"/>
              <w:ind w:right="160"/>
              <w:spacing w:after="0"/>
              <w:rPr>
                <w:sz w:val="20"/>
                <w:szCs w:val="20"/>
                <w:color w:val="auto"/>
              </w:rPr>
            </w:pPr>
            <w:r>
              <w:rPr>
                <w:rFonts w:ascii="Arial" w:cs="Arial" w:eastAsia="Arial" w:hAnsi="Arial"/>
                <w:sz w:val="22"/>
                <w:szCs w:val="22"/>
                <w:b w:val="1"/>
                <w:bCs w:val="1"/>
                <w:color w:val="auto"/>
                <w:w w:val="88"/>
              </w:rPr>
              <w:t>Goals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63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724"/>
              <w:spacing w:after="0"/>
              <w:rPr>
                <w:sz w:val="20"/>
                <w:szCs w:val="20"/>
                <w:color w:val="auto"/>
              </w:rPr>
            </w:pPr>
            <w:r>
              <w:rPr>
                <w:rFonts w:ascii="Arial" w:cs="Arial" w:eastAsia="Arial" w:hAnsi="Arial"/>
                <w:sz w:val="20"/>
                <w:szCs w:val="20"/>
                <w:b w:val="1"/>
                <w:bCs w:val="1"/>
                <w:color w:val="auto"/>
                <w:w w:val="94"/>
              </w:rPr>
              <w:t>Goal</w:t>
            </w:r>
          </w:p>
        </w:tc>
      </w:tr>
      <w:tr>
        <w:trPr>
          <w:trHeight w:val="284"/>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724"/>
              <w:spacing w:after="0"/>
              <w:rPr>
                <w:sz w:val="20"/>
                <w:szCs w:val="20"/>
                <w:color w:val="auto"/>
              </w:rPr>
            </w:pPr>
            <w:r>
              <w:rPr>
                <w:rFonts w:ascii="Arial" w:cs="Arial" w:eastAsia="Arial" w:hAnsi="Arial"/>
                <w:sz w:val="20"/>
                <w:szCs w:val="20"/>
                <w:b w:val="1"/>
                <w:bCs w:val="1"/>
                <w:color w:val="auto"/>
                <w:w w:val="88"/>
              </w:rPr>
              <w:t>Weighting</w:t>
            </w:r>
          </w:p>
        </w:tc>
      </w:tr>
      <w:tr>
        <w:trPr>
          <w:trHeight w:val="284"/>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rPr>
              <w:t>Financial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3640" w:type="dxa"/>
            <w:vAlign w:val="bottom"/>
            <w:gridSpan w:val="3"/>
          </w:tcPr>
          <w:p>
            <w:pPr>
              <w:ind w:left="1640"/>
              <w:spacing w:after="0"/>
              <w:rPr>
                <w:sz w:val="20"/>
                <w:szCs w:val="20"/>
                <w:color w:val="auto"/>
              </w:rPr>
            </w:pPr>
            <w:r>
              <w:rPr>
                <w:rFonts w:ascii="Arial" w:cs="Arial" w:eastAsia="Arial" w:hAnsi="Arial"/>
                <w:sz w:val="20"/>
                <w:szCs w:val="20"/>
                <w:color w:val="auto"/>
              </w:rPr>
              <w:t>Net Income</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20" w:type="dxa"/>
            <w:vAlign w:val="bottom"/>
            <w:gridSpan w:val="5"/>
          </w:tcPr>
          <w:p>
            <w:pPr>
              <w:jc w:val="center"/>
              <w:ind w:left="2745"/>
              <w:spacing w:after="0"/>
              <w:rPr>
                <w:sz w:val="20"/>
                <w:szCs w:val="20"/>
                <w:color w:val="auto"/>
              </w:rPr>
            </w:pPr>
            <w:r>
              <w:rPr>
                <w:rFonts w:ascii="Arial" w:cs="Arial" w:eastAsia="Arial" w:hAnsi="Arial"/>
                <w:sz w:val="20"/>
                <w:szCs w:val="20"/>
                <w:b w:val="1"/>
                <w:bCs w:val="1"/>
                <w:color w:val="auto"/>
                <w:w w:val="94"/>
              </w:rPr>
              <w:t>25%</w:t>
            </w:r>
          </w:p>
        </w:tc>
        <w:tc>
          <w:tcPr>
            <w:tcW w:w="32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5900" w:type="dxa"/>
            <w:vAlign w:val="bottom"/>
            <w:gridSpan w:val="6"/>
          </w:tcPr>
          <w:p>
            <w:pPr>
              <w:ind w:left="1640"/>
              <w:spacing w:after="0"/>
              <w:rPr>
                <w:sz w:val="20"/>
                <w:szCs w:val="20"/>
                <w:color w:val="auto"/>
              </w:rPr>
            </w:pPr>
            <w:r>
              <w:rPr>
                <w:rFonts w:ascii="Arial" w:cs="Arial" w:eastAsia="Arial" w:hAnsi="Arial"/>
                <w:sz w:val="20"/>
                <w:szCs w:val="20"/>
                <w:color w:val="auto"/>
              </w:rPr>
              <w:t>Cash from Operating Activities</w:t>
            </w:r>
          </w:p>
        </w:tc>
        <w:tc>
          <w:tcPr>
            <w:tcW w:w="3220" w:type="dxa"/>
            <w:vAlign w:val="bottom"/>
            <w:gridSpan w:val="5"/>
          </w:tcPr>
          <w:p>
            <w:pPr>
              <w:jc w:val="center"/>
              <w:ind w:left="2745"/>
              <w:spacing w:after="0"/>
              <w:rPr>
                <w:sz w:val="20"/>
                <w:szCs w:val="20"/>
                <w:color w:val="auto"/>
              </w:rPr>
            </w:pPr>
            <w:r>
              <w:rPr>
                <w:rFonts w:ascii="Arial" w:cs="Arial" w:eastAsia="Arial" w:hAnsi="Arial"/>
                <w:sz w:val="20"/>
                <w:szCs w:val="20"/>
                <w:b w:val="1"/>
                <w:bCs w:val="1"/>
                <w:color w:val="auto"/>
                <w:w w:val="94"/>
              </w:rPr>
              <w:t>25%</w:t>
            </w:r>
          </w:p>
        </w:tc>
        <w:tc>
          <w:tcPr>
            <w:tcW w:w="320" w:type="dxa"/>
            <w:vAlign w:val="bottom"/>
          </w:tcPr>
          <w:p>
            <w:pPr>
              <w:spacing w:after="0"/>
              <w:rPr>
                <w:sz w:val="24"/>
                <w:szCs w:val="24"/>
                <w:color w:val="auto"/>
              </w:rPr>
            </w:pPr>
          </w:p>
        </w:tc>
      </w:tr>
      <w:tr>
        <w:trPr>
          <w:trHeight w:val="563"/>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w w:val="92"/>
              </w:rPr>
              <w:t>Strategic &amp; Operational Positioning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20" w:type="dxa"/>
            <w:vAlign w:val="bottom"/>
            <w:gridSpan w:val="4"/>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50%</w:t>
            </w:r>
          </w:p>
        </w:tc>
        <w:tc>
          <w:tcPr>
            <w:tcW w:w="320" w:type="dxa"/>
            <w:vAlign w:val="bottom"/>
          </w:tcPr>
          <w:p>
            <w:pPr>
              <w:spacing w:after="0"/>
              <w:rPr>
                <w:sz w:val="24"/>
                <w:szCs w:val="24"/>
                <w:color w:val="auto"/>
              </w:rPr>
            </w:pPr>
          </w:p>
        </w:tc>
      </w:tr>
      <w:tr>
        <w:trPr>
          <w:trHeight w:val="308"/>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40" w:type="dxa"/>
            <w:vAlign w:val="bottom"/>
            <w:gridSpan w:val="6"/>
          </w:tcPr>
          <w:p>
            <w:pPr>
              <w:jc w:val="center"/>
              <w:ind w:left="2425"/>
              <w:spacing w:after="0"/>
              <w:rPr>
                <w:sz w:val="20"/>
                <w:szCs w:val="20"/>
                <w:color w:val="auto"/>
              </w:rPr>
            </w:pPr>
            <w:r>
              <w:rPr>
                <w:rFonts w:ascii="Arial" w:cs="Arial" w:eastAsia="Arial" w:hAnsi="Arial"/>
                <w:sz w:val="20"/>
                <w:szCs w:val="20"/>
                <w:b w:val="1"/>
                <w:bCs w:val="1"/>
                <w:color w:val="auto"/>
                <w:w w:val="97"/>
              </w:rPr>
              <w:t>100%</w:t>
            </w:r>
          </w:p>
        </w:tc>
      </w:tr>
    </w:tbl>
    <w:p>
      <w:pPr>
        <w:spacing w:after="0" w:line="225" w:lineRule="exact"/>
        <w:rPr>
          <w:sz w:val="20"/>
          <w:szCs w:val="20"/>
          <w:color w:val="auto"/>
        </w:rPr>
      </w:pPr>
    </w:p>
    <w:p>
      <w:pPr>
        <w:ind w:left="310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Annual Incentive Plan Compensation is subject to recoupment as defined in the Compensation Recovery policy.</w:t>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10(e)7</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Executive Annual Incentive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Award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2017</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Superior Water, Light and Power Executive Employees]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Target Award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40" w:type="dxa"/>
            <w:vAlign w:val="bottom"/>
            <w:gridSpan w:val="4"/>
          </w:tcPr>
          <w:p>
            <w:pPr>
              <w:spacing w:after="0"/>
              <w:rPr>
                <w:sz w:val="20"/>
                <w:szCs w:val="20"/>
                <w:color w:val="auto"/>
              </w:rPr>
            </w:pPr>
            <w:r>
              <w:rPr>
                <w:rFonts w:ascii="Arial" w:cs="Arial" w:eastAsia="Arial" w:hAnsi="Arial"/>
                <w:sz w:val="18"/>
                <w:szCs w:val="18"/>
                <w:color w:val="auto"/>
              </w:rPr>
              <w:t>Base Salary</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00"/>
        </w:trPr>
        <w:tc>
          <w:tcPr>
            <w:tcW w:w="200" w:type="dxa"/>
            <w:vAlign w:val="bottom"/>
          </w:tcPr>
          <w:p>
            <w:pPr>
              <w:spacing w:after="0"/>
              <w:rPr>
                <w:sz w:val="24"/>
                <w:szCs w:val="24"/>
                <w:color w:val="auto"/>
              </w:rPr>
            </w:pPr>
          </w:p>
        </w:tc>
        <w:tc>
          <w:tcPr>
            <w:tcW w:w="3640" w:type="dxa"/>
            <w:vAlign w:val="bottom"/>
            <w:gridSpan w:val="3"/>
          </w:tcPr>
          <w:p>
            <w:pPr>
              <w:ind w:left="260"/>
              <w:spacing w:after="0"/>
              <w:rPr>
                <w:sz w:val="20"/>
                <w:szCs w:val="20"/>
                <w:color w:val="auto"/>
              </w:rPr>
            </w:pPr>
            <w:r>
              <w:rPr>
                <w:rFonts w:ascii="Arial" w:cs="Arial" w:eastAsia="Arial" w:hAnsi="Arial"/>
                <w:sz w:val="18"/>
                <w:szCs w:val="18"/>
                <w:b w:val="1"/>
                <w:bCs w:val="1"/>
                <w:color w:val="auto"/>
              </w:rPr>
              <w:t>Times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9"/>
        </w:trPr>
        <w:tc>
          <w:tcPr>
            <w:tcW w:w="3840" w:type="dxa"/>
            <w:vAlign w:val="bottom"/>
            <w:gridSpan w:val="4"/>
          </w:tcPr>
          <w:p>
            <w:pPr>
              <w:spacing w:after="0"/>
              <w:rPr>
                <w:sz w:val="20"/>
                <w:szCs w:val="20"/>
                <w:color w:val="auto"/>
              </w:rPr>
            </w:pPr>
            <w:r>
              <w:rPr>
                <w:rFonts w:ascii="Arial" w:cs="Arial" w:eastAsia="Arial" w:hAnsi="Arial"/>
                <w:sz w:val="18"/>
                <w:szCs w:val="18"/>
                <w:color w:val="auto"/>
              </w:rPr>
              <w:t>Award Opportunity (percent of base salary)</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20"/>
        </w:trPr>
        <w:tc>
          <w:tcPr>
            <w:tcW w:w="200" w:type="dxa"/>
            <w:vAlign w:val="bottom"/>
          </w:tcPr>
          <w:p>
            <w:pPr>
              <w:spacing w:after="0"/>
              <w:rPr>
                <w:sz w:val="24"/>
                <w:szCs w:val="24"/>
                <w:color w:val="auto"/>
              </w:rPr>
            </w:pPr>
          </w:p>
        </w:tc>
        <w:tc>
          <w:tcPr>
            <w:tcW w:w="3640" w:type="dxa"/>
            <w:vAlign w:val="bottom"/>
            <w:gridSpan w:val="3"/>
          </w:tcPr>
          <w:p>
            <w:pPr>
              <w:ind w:left="260"/>
              <w:spacing w:after="0"/>
              <w:rPr>
                <w:sz w:val="20"/>
                <w:szCs w:val="20"/>
                <w:color w:val="auto"/>
              </w:rPr>
            </w:pPr>
            <w:r>
              <w:rPr>
                <w:rFonts w:ascii="Arial" w:cs="Arial" w:eastAsia="Arial" w:hAnsi="Arial"/>
                <w:sz w:val="18"/>
                <w:szCs w:val="18"/>
                <w:b w:val="1"/>
                <w:bCs w:val="1"/>
                <w:color w:val="auto"/>
              </w:rPr>
              <w:t>Equals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00"/>
        </w:trPr>
        <w:tc>
          <w:tcPr>
            <w:tcW w:w="3840" w:type="dxa"/>
            <w:vAlign w:val="bottom"/>
            <w:gridSpan w:val="4"/>
          </w:tcPr>
          <w:p>
            <w:pPr>
              <w:spacing w:after="0"/>
              <w:rPr>
                <w:sz w:val="20"/>
                <w:szCs w:val="20"/>
                <w:color w:val="auto"/>
              </w:rPr>
            </w:pPr>
            <w:r>
              <w:rPr>
                <w:rFonts w:ascii="Arial" w:cs="Arial" w:eastAsia="Arial" w:hAnsi="Arial"/>
                <w:sz w:val="18"/>
                <w:szCs w:val="18"/>
                <w:color w:val="auto"/>
              </w:rPr>
              <w:t>Target Award</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9440" w:type="dxa"/>
            <w:vAlign w:val="bottom"/>
            <w:gridSpan w:val="12"/>
          </w:tcPr>
          <w:p>
            <w:pPr>
              <w:jc w:val="center"/>
              <w:ind w:right="60"/>
              <w:spacing w:after="0"/>
              <w:rPr>
                <w:sz w:val="20"/>
                <w:szCs w:val="20"/>
                <w:color w:val="auto"/>
              </w:rPr>
            </w:pPr>
            <w:r>
              <w:rPr>
                <w:rFonts w:ascii="Arial" w:cs="Arial" w:eastAsia="Arial" w:hAnsi="Arial"/>
                <w:sz w:val="22"/>
                <w:szCs w:val="22"/>
                <w:b w:val="1"/>
                <w:bCs w:val="1"/>
                <w:color w:val="auto"/>
                <w:w w:val="89"/>
              </w:rPr>
              <w:t>Performance Levels and Award Amounts</w:t>
            </w:r>
          </w:p>
        </w:tc>
      </w:tr>
      <w:tr>
        <w:trPr>
          <w:trHeight w:val="588"/>
        </w:trPr>
        <w:tc>
          <w:tcPr>
            <w:tcW w:w="20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36"/>
        </w:trPr>
        <w:tc>
          <w:tcPr>
            <w:tcW w:w="200" w:type="dxa"/>
            <w:vAlign w:val="bottom"/>
            <w:tcBorders>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gridSpan w:val="3"/>
          </w:tcPr>
          <w:p>
            <w:pPr>
              <w:jc w:val="center"/>
              <w:ind w:right="120"/>
              <w:spacing w:after="0" w:line="237" w:lineRule="exact"/>
              <w:rPr>
                <w:sz w:val="20"/>
                <w:szCs w:val="20"/>
                <w:color w:val="auto"/>
              </w:rPr>
            </w:pPr>
            <w:r>
              <w:rPr>
                <w:rFonts w:ascii="Arial" w:cs="Arial" w:eastAsia="Arial" w:hAnsi="Arial"/>
                <w:sz w:val="22"/>
                <w:szCs w:val="22"/>
                <w:b w:val="1"/>
                <w:bCs w:val="1"/>
                <w:color w:val="auto"/>
                <w:w w:val="87"/>
              </w:rPr>
              <w:t>Payout as Percent of</w:t>
            </w: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Goal Performance Level</w:t>
            </w:r>
          </w:p>
        </w:tc>
        <w:tc>
          <w:tcPr>
            <w:tcW w:w="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22"/>
                <w:szCs w:val="22"/>
                <w:b w:val="1"/>
                <w:bCs w:val="1"/>
                <w:color w:val="auto"/>
                <w:w w:val="91"/>
              </w:rPr>
              <w:t>Target Award</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2"/>
              </w:rPr>
              <w:t>Award Amount</w:t>
            </w:r>
          </w:p>
        </w:tc>
      </w:tr>
      <w:tr>
        <w:trPr>
          <w:trHeight w:val="243"/>
        </w:trPr>
        <w:tc>
          <w:tcPr>
            <w:tcW w:w="20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Superior</w:t>
            </w:r>
          </w:p>
        </w:tc>
        <w:tc>
          <w:tcPr>
            <w:tcW w:w="520" w:type="dxa"/>
            <w:vAlign w:val="bottom"/>
          </w:tcPr>
          <w:p>
            <w:pPr>
              <w:spacing w:after="0"/>
              <w:rPr>
                <w:sz w:val="21"/>
                <w:szCs w:val="21"/>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200%</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Target</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100%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Threshold</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0"/>
              </w:rPr>
              <w:t>37.5%</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Below Threshold</w:t>
            </w:r>
          </w:p>
        </w:tc>
        <w:tc>
          <w:tcPr>
            <w:tcW w:w="520" w:type="dxa"/>
            <w:vAlign w:val="bottom"/>
          </w:tcPr>
          <w:p>
            <w:pPr>
              <w:spacing w:after="0"/>
              <w:rPr>
                <w:sz w:val="20"/>
                <w:szCs w:val="20"/>
                <w:color w:val="auto"/>
              </w:rPr>
            </w:pPr>
          </w:p>
        </w:tc>
        <w:tc>
          <w:tcPr>
            <w:tcW w:w="1320" w:type="dxa"/>
            <w:vAlign w:val="bottom"/>
            <w:gridSpan w:val="2"/>
          </w:tcPr>
          <w:p>
            <w:pPr>
              <w:jc w:val="center"/>
              <w:ind w:left="702"/>
              <w:spacing w:after="0"/>
              <w:rPr>
                <w:sz w:val="20"/>
                <w:szCs w:val="20"/>
                <w:color w:val="auto"/>
              </w:rPr>
            </w:pPr>
            <w:r>
              <w:rPr>
                <w:rFonts w:ascii="Arial" w:cs="Arial" w:eastAsia="Arial" w:hAnsi="Arial"/>
                <w:sz w:val="18"/>
                <w:szCs w:val="18"/>
                <w:color w:val="auto"/>
                <w:w w:val="92"/>
              </w:rPr>
              <w:t>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64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gridSpan w:val="3"/>
          </w:tcPr>
          <w:p>
            <w:pPr>
              <w:jc w:val="center"/>
              <w:ind w:right="160"/>
              <w:spacing w:after="0"/>
              <w:rPr>
                <w:sz w:val="20"/>
                <w:szCs w:val="20"/>
                <w:color w:val="auto"/>
              </w:rPr>
            </w:pPr>
            <w:r>
              <w:rPr>
                <w:rFonts w:ascii="Arial" w:cs="Arial" w:eastAsia="Arial" w:hAnsi="Arial"/>
                <w:sz w:val="22"/>
                <w:szCs w:val="22"/>
                <w:b w:val="1"/>
                <w:bCs w:val="1"/>
                <w:color w:val="auto"/>
                <w:w w:val="88"/>
              </w:rPr>
              <w:t>Goals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63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724"/>
              <w:spacing w:after="0"/>
              <w:rPr>
                <w:sz w:val="20"/>
                <w:szCs w:val="20"/>
                <w:color w:val="auto"/>
              </w:rPr>
            </w:pPr>
            <w:r>
              <w:rPr>
                <w:rFonts w:ascii="Arial" w:cs="Arial" w:eastAsia="Arial" w:hAnsi="Arial"/>
                <w:sz w:val="20"/>
                <w:szCs w:val="20"/>
                <w:b w:val="1"/>
                <w:bCs w:val="1"/>
                <w:color w:val="auto"/>
                <w:w w:val="94"/>
              </w:rPr>
              <w:t>Goal</w:t>
            </w:r>
          </w:p>
        </w:tc>
      </w:tr>
      <w:tr>
        <w:trPr>
          <w:trHeight w:val="284"/>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724"/>
              <w:spacing w:after="0"/>
              <w:rPr>
                <w:sz w:val="20"/>
                <w:szCs w:val="20"/>
                <w:color w:val="auto"/>
              </w:rPr>
            </w:pPr>
            <w:r>
              <w:rPr>
                <w:rFonts w:ascii="Arial" w:cs="Arial" w:eastAsia="Arial" w:hAnsi="Arial"/>
                <w:sz w:val="20"/>
                <w:szCs w:val="20"/>
                <w:b w:val="1"/>
                <w:bCs w:val="1"/>
                <w:color w:val="auto"/>
                <w:w w:val="88"/>
              </w:rPr>
              <w:t>Weighting</w:t>
            </w:r>
          </w:p>
        </w:tc>
      </w:tr>
      <w:tr>
        <w:trPr>
          <w:trHeight w:val="284"/>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rPr>
              <w:t>Financial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3640" w:type="dxa"/>
            <w:vAlign w:val="bottom"/>
            <w:gridSpan w:val="3"/>
          </w:tcPr>
          <w:p>
            <w:pPr>
              <w:ind w:left="1640"/>
              <w:spacing w:after="0"/>
              <w:rPr>
                <w:sz w:val="20"/>
                <w:szCs w:val="20"/>
                <w:color w:val="auto"/>
              </w:rPr>
            </w:pPr>
            <w:r>
              <w:rPr>
                <w:rFonts w:ascii="Arial" w:cs="Arial" w:eastAsia="Arial" w:hAnsi="Arial"/>
                <w:sz w:val="20"/>
                <w:szCs w:val="20"/>
                <w:color w:val="auto"/>
              </w:rPr>
              <w:t>ALLETE Net Income</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20" w:type="dxa"/>
            <w:vAlign w:val="bottom"/>
            <w:gridSpan w:val="5"/>
          </w:tcPr>
          <w:p>
            <w:pPr>
              <w:jc w:val="center"/>
              <w:ind w:left="2745"/>
              <w:spacing w:after="0"/>
              <w:rPr>
                <w:sz w:val="20"/>
                <w:szCs w:val="20"/>
                <w:color w:val="auto"/>
              </w:rPr>
            </w:pPr>
            <w:r>
              <w:rPr>
                <w:rFonts w:ascii="Arial" w:cs="Arial" w:eastAsia="Arial" w:hAnsi="Arial"/>
                <w:sz w:val="20"/>
                <w:szCs w:val="20"/>
                <w:b w:val="1"/>
                <w:bCs w:val="1"/>
                <w:color w:val="auto"/>
                <w:w w:val="94"/>
              </w:rPr>
              <w:t>20%</w:t>
            </w:r>
          </w:p>
        </w:tc>
        <w:tc>
          <w:tcPr>
            <w:tcW w:w="32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5900" w:type="dxa"/>
            <w:vAlign w:val="bottom"/>
            <w:gridSpan w:val="6"/>
          </w:tcPr>
          <w:p>
            <w:pPr>
              <w:ind w:left="1640"/>
              <w:spacing w:after="0"/>
              <w:rPr>
                <w:sz w:val="20"/>
                <w:szCs w:val="20"/>
                <w:color w:val="auto"/>
              </w:rPr>
            </w:pPr>
            <w:r>
              <w:rPr>
                <w:rFonts w:ascii="Arial" w:cs="Arial" w:eastAsia="Arial" w:hAnsi="Arial"/>
                <w:sz w:val="20"/>
                <w:szCs w:val="20"/>
                <w:color w:val="auto"/>
              </w:rPr>
              <w:t>Superior Water Light &amp; Power Net Income</w:t>
            </w:r>
          </w:p>
        </w:tc>
        <w:tc>
          <w:tcPr>
            <w:tcW w:w="3220" w:type="dxa"/>
            <w:vAlign w:val="bottom"/>
            <w:gridSpan w:val="5"/>
          </w:tcPr>
          <w:p>
            <w:pPr>
              <w:jc w:val="center"/>
              <w:ind w:left="2745"/>
              <w:spacing w:after="0"/>
              <w:rPr>
                <w:sz w:val="20"/>
                <w:szCs w:val="20"/>
                <w:color w:val="auto"/>
              </w:rPr>
            </w:pPr>
            <w:r>
              <w:rPr>
                <w:rFonts w:ascii="Arial" w:cs="Arial" w:eastAsia="Arial" w:hAnsi="Arial"/>
                <w:sz w:val="20"/>
                <w:szCs w:val="20"/>
                <w:b w:val="1"/>
                <w:bCs w:val="1"/>
                <w:color w:val="auto"/>
                <w:w w:val="94"/>
              </w:rPr>
              <w:t>55%</w:t>
            </w:r>
          </w:p>
        </w:tc>
        <w:tc>
          <w:tcPr>
            <w:tcW w:w="320" w:type="dxa"/>
            <w:vAlign w:val="bottom"/>
          </w:tcPr>
          <w:p>
            <w:pPr>
              <w:spacing w:after="0"/>
              <w:rPr>
                <w:sz w:val="24"/>
                <w:szCs w:val="24"/>
                <w:color w:val="auto"/>
              </w:rPr>
            </w:pPr>
          </w:p>
        </w:tc>
      </w:tr>
      <w:tr>
        <w:trPr>
          <w:trHeight w:val="563"/>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w w:val="92"/>
              </w:rPr>
              <w:t>Strategic &amp; Operational Positioning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20" w:type="dxa"/>
            <w:vAlign w:val="bottom"/>
            <w:gridSpan w:val="4"/>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25%</w:t>
            </w:r>
          </w:p>
        </w:tc>
        <w:tc>
          <w:tcPr>
            <w:tcW w:w="320" w:type="dxa"/>
            <w:vAlign w:val="bottom"/>
          </w:tcPr>
          <w:p>
            <w:pPr>
              <w:spacing w:after="0"/>
              <w:rPr>
                <w:sz w:val="24"/>
                <w:szCs w:val="24"/>
                <w:color w:val="auto"/>
              </w:rPr>
            </w:pPr>
          </w:p>
        </w:tc>
      </w:tr>
      <w:tr>
        <w:trPr>
          <w:trHeight w:val="308"/>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40" w:type="dxa"/>
            <w:vAlign w:val="bottom"/>
            <w:gridSpan w:val="6"/>
          </w:tcPr>
          <w:p>
            <w:pPr>
              <w:jc w:val="center"/>
              <w:ind w:left="2425"/>
              <w:spacing w:after="0"/>
              <w:rPr>
                <w:sz w:val="20"/>
                <w:szCs w:val="20"/>
                <w:color w:val="auto"/>
              </w:rPr>
            </w:pPr>
            <w:r>
              <w:rPr>
                <w:rFonts w:ascii="Arial" w:cs="Arial" w:eastAsia="Arial" w:hAnsi="Arial"/>
                <w:sz w:val="20"/>
                <w:szCs w:val="20"/>
                <w:b w:val="1"/>
                <w:bCs w:val="1"/>
                <w:color w:val="auto"/>
                <w:w w:val="97"/>
              </w:rPr>
              <w:t>100%</w:t>
            </w:r>
          </w:p>
        </w:tc>
      </w:tr>
    </w:tbl>
    <w:p>
      <w:pPr>
        <w:spacing w:after="0" w:line="225" w:lineRule="exact"/>
        <w:rPr>
          <w:sz w:val="20"/>
          <w:szCs w:val="20"/>
          <w:color w:val="auto"/>
        </w:rPr>
      </w:pPr>
    </w:p>
    <w:p>
      <w:pPr>
        <w:ind w:left="310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Annual Incentive Plan Compensation is subject to recoupment as defined in the Compensation Recovery policy.</w:t>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10(i)4</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Executive Long-Term Incentive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Cash Award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2017</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[CEO]</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Target Award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40" w:type="dxa"/>
            <w:vAlign w:val="bottom"/>
            <w:gridSpan w:val="4"/>
          </w:tcPr>
          <w:p>
            <w:pPr>
              <w:spacing w:after="0"/>
              <w:rPr>
                <w:sz w:val="20"/>
                <w:szCs w:val="20"/>
                <w:color w:val="auto"/>
              </w:rPr>
            </w:pPr>
            <w:r>
              <w:rPr>
                <w:rFonts w:ascii="Arial" w:cs="Arial" w:eastAsia="Arial" w:hAnsi="Arial"/>
                <w:sz w:val="18"/>
                <w:szCs w:val="18"/>
                <w:color w:val="auto"/>
              </w:rPr>
              <w:t>Base Salary</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00"/>
        </w:trPr>
        <w:tc>
          <w:tcPr>
            <w:tcW w:w="200" w:type="dxa"/>
            <w:vAlign w:val="bottom"/>
          </w:tcPr>
          <w:p>
            <w:pPr>
              <w:spacing w:after="0"/>
              <w:rPr>
                <w:sz w:val="24"/>
                <w:szCs w:val="24"/>
                <w:color w:val="auto"/>
              </w:rPr>
            </w:pPr>
          </w:p>
        </w:tc>
        <w:tc>
          <w:tcPr>
            <w:tcW w:w="3640" w:type="dxa"/>
            <w:vAlign w:val="bottom"/>
            <w:gridSpan w:val="3"/>
          </w:tcPr>
          <w:p>
            <w:pPr>
              <w:ind w:left="260"/>
              <w:spacing w:after="0"/>
              <w:rPr>
                <w:sz w:val="20"/>
                <w:szCs w:val="20"/>
                <w:color w:val="auto"/>
              </w:rPr>
            </w:pPr>
            <w:r>
              <w:rPr>
                <w:rFonts w:ascii="Arial" w:cs="Arial" w:eastAsia="Arial" w:hAnsi="Arial"/>
                <w:sz w:val="18"/>
                <w:szCs w:val="18"/>
                <w:b w:val="1"/>
                <w:bCs w:val="1"/>
                <w:color w:val="auto"/>
              </w:rPr>
              <w:t>Times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9"/>
        </w:trPr>
        <w:tc>
          <w:tcPr>
            <w:tcW w:w="3840" w:type="dxa"/>
            <w:vAlign w:val="bottom"/>
            <w:gridSpan w:val="4"/>
          </w:tcPr>
          <w:p>
            <w:pPr>
              <w:spacing w:after="0"/>
              <w:rPr>
                <w:sz w:val="20"/>
                <w:szCs w:val="20"/>
                <w:color w:val="auto"/>
              </w:rPr>
            </w:pPr>
            <w:r>
              <w:rPr>
                <w:rFonts w:ascii="Arial" w:cs="Arial" w:eastAsia="Arial" w:hAnsi="Arial"/>
                <w:sz w:val="18"/>
                <w:szCs w:val="18"/>
                <w:color w:val="auto"/>
              </w:rPr>
              <w:t>Award Opportunity (percent of base salary)</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20"/>
        </w:trPr>
        <w:tc>
          <w:tcPr>
            <w:tcW w:w="200" w:type="dxa"/>
            <w:vAlign w:val="bottom"/>
          </w:tcPr>
          <w:p>
            <w:pPr>
              <w:spacing w:after="0"/>
              <w:rPr>
                <w:sz w:val="24"/>
                <w:szCs w:val="24"/>
                <w:color w:val="auto"/>
              </w:rPr>
            </w:pPr>
          </w:p>
        </w:tc>
        <w:tc>
          <w:tcPr>
            <w:tcW w:w="3640" w:type="dxa"/>
            <w:vAlign w:val="bottom"/>
            <w:gridSpan w:val="3"/>
          </w:tcPr>
          <w:p>
            <w:pPr>
              <w:ind w:left="260"/>
              <w:spacing w:after="0"/>
              <w:rPr>
                <w:sz w:val="20"/>
                <w:szCs w:val="20"/>
                <w:color w:val="auto"/>
              </w:rPr>
            </w:pPr>
            <w:r>
              <w:rPr>
                <w:rFonts w:ascii="Arial" w:cs="Arial" w:eastAsia="Arial" w:hAnsi="Arial"/>
                <w:sz w:val="18"/>
                <w:szCs w:val="18"/>
                <w:b w:val="1"/>
                <w:bCs w:val="1"/>
                <w:color w:val="auto"/>
              </w:rPr>
              <w:t>Equals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00"/>
        </w:trPr>
        <w:tc>
          <w:tcPr>
            <w:tcW w:w="3840" w:type="dxa"/>
            <w:vAlign w:val="bottom"/>
            <w:gridSpan w:val="4"/>
          </w:tcPr>
          <w:p>
            <w:pPr>
              <w:spacing w:after="0"/>
              <w:rPr>
                <w:sz w:val="20"/>
                <w:szCs w:val="20"/>
                <w:color w:val="auto"/>
              </w:rPr>
            </w:pPr>
            <w:r>
              <w:rPr>
                <w:rFonts w:ascii="Arial" w:cs="Arial" w:eastAsia="Arial" w:hAnsi="Arial"/>
                <w:sz w:val="18"/>
                <w:szCs w:val="18"/>
                <w:color w:val="auto"/>
              </w:rPr>
              <w:t>Target Award</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9440" w:type="dxa"/>
            <w:vAlign w:val="bottom"/>
            <w:gridSpan w:val="12"/>
          </w:tcPr>
          <w:p>
            <w:pPr>
              <w:jc w:val="center"/>
              <w:ind w:right="60"/>
              <w:spacing w:after="0"/>
              <w:rPr>
                <w:sz w:val="20"/>
                <w:szCs w:val="20"/>
                <w:color w:val="auto"/>
              </w:rPr>
            </w:pPr>
            <w:r>
              <w:rPr>
                <w:rFonts w:ascii="Arial" w:cs="Arial" w:eastAsia="Arial" w:hAnsi="Arial"/>
                <w:sz w:val="22"/>
                <w:szCs w:val="22"/>
                <w:b w:val="1"/>
                <w:bCs w:val="1"/>
                <w:color w:val="auto"/>
                <w:w w:val="89"/>
              </w:rPr>
              <w:t>Performance Levels and Award Amounts</w:t>
            </w:r>
          </w:p>
        </w:tc>
      </w:tr>
      <w:tr>
        <w:trPr>
          <w:trHeight w:val="372"/>
        </w:trPr>
        <w:tc>
          <w:tcPr>
            <w:tcW w:w="20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36"/>
        </w:trPr>
        <w:tc>
          <w:tcPr>
            <w:tcW w:w="200" w:type="dxa"/>
            <w:vAlign w:val="bottom"/>
            <w:tcBorders>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gridSpan w:val="3"/>
          </w:tcPr>
          <w:p>
            <w:pPr>
              <w:jc w:val="center"/>
              <w:ind w:right="120"/>
              <w:spacing w:after="0" w:line="237" w:lineRule="exact"/>
              <w:rPr>
                <w:sz w:val="20"/>
                <w:szCs w:val="20"/>
                <w:color w:val="auto"/>
              </w:rPr>
            </w:pPr>
            <w:r>
              <w:rPr>
                <w:rFonts w:ascii="Arial" w:cs="Arial" w:eastAsia="Arial" w:hAnsi="Arial"/>
                <w:sz w:val="22"/>
                <w:szCs w:val="22"/>
                <w:b w:val="1"/>
                <w:bCs w:val="1"/>
                <w:color w:val="auto"/>
                <w:w w:val="87"/>
              </w:rPr>
              <w:t>Payout as Percent of</w:t>
            </w: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Goal Performance Level</w:t>
            </w:r>
          </w:p>
        </w:tc>
        <w:tc>
          <w:tcPr>
            <w:tcW w:w="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22"/>
                <w:szCs w:val="22"/>
                <w:b w:val="1"/>
                <w:bCs w:val="1"/>
                <w:color w:val="auto"/>
                <w:w w:val="91"/>
              </w:rPr>
              <w:t>Target Award</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2"/>
              </w:rPr>
              <w:t>Award Amount</w:t>
            </w:r>
          </w:p>
        </w:tc>
      </w:tr>
      <w:tr>
        <w:trPr>
          <w:trHeight w:val="243"/>
        </w:trPr>
        <w:tc>
          <w:tcPr>
            <w:tcW w:w="20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Superior</w:t>
            </w:r>
          </w:p>
        </w:tc>
        <w:tc>
          <w:tcPr>
            <w:tcW w:w="520" w:type="dxa"/>
            <w:vAlign w:val="bottom"/>
          </w:tcPr>
          <w:p>
            <w:pPr>
              <w:spacing w:after="0"/>
              <w:rPr>
                <w:sz w:val="21"/>
                <w:szCs w:val="21"/>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200%</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Target</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100%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Threshold</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0"/>
              </w:rPr>
              <w:t>37.5%</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Below Threshold</w:t>
            </w:r>
          </w:p>
        </w:tc>
        <w:tc>
          <w:tcPr>
            <w:tcW w:w="520" w:type="dxa"/>
            <w:vAlign w:val="bottom"/>
          </w:tcPr>
          <w:p>
            <w:pPr>
              <w:spacing w:after="0"/>
              <w:rPr>
                <w:sz w:val="20"/>
                <w:szCs w:val="20"/>
                <w:color w:val="auto"/>
              </w:rPr>
            </w:pPr>
          </w:p>
        </w:tc>
        <w:tc>
          <w:tcPr>
            <w:tcW w:w="1320" w:type="dxa"/>
            <w:vAlign w:val="bottom"/>
            <w:gridSpan w:val="2"/>
          </w:tcPr>
          <w:p>
            <w:pPr>
              <w:jc w:val="center"/>
              <w:ind w:left="702"/>
              <w:spacing w:after="0"/>
              <w:rPr>
                <w:sz w:val="20"/>
                <w:szCs w:val="20"/>
                <w:color w:val="auto"/>
              </w:rPr>
            </w:pPr>
            <w:r>
              <w:rPr>
                <w:rFonts w:ascii="Arial" w:cs="Arial" w:eastAsia="Arial" w:hAnsi="Arial"/>
                <w:sz w:val="18"/>
                <w:szCs w:val="18"/>
                <w:color w:val="auto"/>
                <w:w w:val="92"/>
              </w:rPr>
              <w:t>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426"/>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gridSpan w:val="3"/>
          </w:tcPr>
          <w:p>
            <w:pPr>
              <w:jc w:val="center"/>
              <w:ind w:right="160"/>
              <w:spacing w:after="0"/>
              <w:rPr>
                <w:sz w:val="20"/>
                <w:szCs w:val="20"/>
                <w:color w:val="auto"/>
              </w:rPr>
            </w:pPr>
            <w:r>
              <w:rPr>
                <w:rFonts w:ascii="Arial" w:cs="Arial" w:eastAsia="Arial" w:hAnsi="Arial"/>
                <w:sz w:val="22"/>
                <w:szCs w:val="22"/>
                <w:b w:val="1"/>
                <w:bCs w:val="1"/>
                <w:color w:val="auto"/>
                <w:w w:val="88"/>
              </w:rPr>
              <w:t>Goals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63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724"/>
              <w:spacing w:after="0"/>
              <w:rPr>
                <w:sz w:val="20"/>
                <w:szCs w:val="20"/>
                <w:color w:val="auto"/>
              </w:rPr>
            </w:pPr>
            <w:r>
              <w:rPr>
                <w:rFonts w:ascii="Arial" w:cs="Arial" w:eastAsia="Arial" w:hAnsi="Arial"/>
                <w:sz w:val="20"/>
                <w:szCs w:val="20"/>
                <w:b w:val="1"/>
                <w:bCs w:val="1"/>
                <w:color w:val="auto"/>
                <w:w w:val="94"/>
              </w:rPr>
              <w:t>Goal</w:t>
            </w:r>
          </w:p>
        </w:tc>
      </w:tr>
      <w:tr>
        <w:trPr>
          <w:trHeight w:val="284"/>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724"/>
              <w:spacing w:after="0"/>
              <w:rPr>
                <w:sz w:val="20"/>
                <w:szCs w:val="20"/>
                <w:color w:val="auto"/>
              </w:rPr>
            </w:pPr>
            <w:r>
              <w:rPr>
                <w:rFonts w:ascii="Arial" w:cs="Arial" w:eastAsia="Arial" w:hAnsi="Arial"/>
                <w:sz w:val="20"/>
                <w:szCs w:val="20"/>
                <w:b w:val="1"/>
                <w:bCs w:val="1"/>
                <w:color w:val="auto"/>
                <w:w w:val="88"/>
              </w:rPr>
              <w:t>Weighting</w:t>
            </w:r>
          </w:p>
        </w:tc>
      </w:tr>
      <w:tr>
        <w:trPr>
          <w:trHeight w:val="284"/>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rPr>
              <w:t>Financial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3640" w:type="dxa"/>
            <w:vAlign w:val="bottom"/>
            <w:gridSpan w:val="3"/>
          </w:tcPr>
          <w:p>
            <w:pPr>
              <w:ind w:left="1640"/>
              <w:spacing w:after="0"/>
              <w:rPr>
                <w:sz w:val="20"/>
                <w:szCs w:val="20"/>
                <w:color w:val="auto"/>
              </w:rPr>
            </w:pPr>
            <w:r>
              <w:rPr>
                <w:rFonts w:ascii="Arial" w:cs="Arial" w:eastAsia="Arial" w:hAnsi="Arial"/>
                <w:sz w:val="20"/>
                <w:szCs w:val="20"/>
                <w:color w:val="auto"/>
              </w:rPr>
              <w:t>Net Income</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20" w:type="dxa"/>
            <w:vAlign w:val="bottom"/>
            <w:gridSpan w:val="5"/>
          </w:tcPr>
          <w:p>
            <w:pPr>
              <w:jc w:val="center"/>
              <w:ind w:left="2745"/>
              <w:spacing w:after="0"/>
              <w:rPr>
                <w:sz w:val="20"/>
                <w:szCs w:val="20"/>
                <w:color w:val="auto"/>
              </w:rPr>
            </w:pPr>
            <w:r>
              <w:rPr>
                <w:rFonts w:ascii="Arial" w:cs="Arial" w:eastAsia="Arial" w:hAnsi="Arial"/>
                <w:sz w:val="20"/>
                <w:szCs w:val="20"/>
                <w:b w:val="1"/>
                <w:bCs w:val="1"/>
                <w:color w:val="auto"/>
                <w:w w:val="94"/>
              </w:rPr>
              <w:t>25%</w:t>
            </w:r>
          </w:p>
        </w:tc>
        <w:tc>
          <w:tcPr>
            <w:tcW w:w="32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5900" w:type="dxa"/>
            <w:vAlign w:val="bottom"/>
            <w:gridSpan w:val="6"/>
          </w:tcPr>
          <w:p>
            <w:pPr>
              <w:ind w:left="1640"/>
              <w:spacing w:after="0"/>
              <w:rPr>
                <w:sz w:val="20"/>
                <w:szCs w:val="20"/>
                <w:color w:val="auto"/>
              </w:rPr>
            </w:pPr>
            <w:r>
              <w:rPr>
                <w:rFonts w:ascii="Arial" w:cs="Arial" w:eastAsia="Arial" w:hAnsi="Arial"/>
                <w:sz w:val="20"/>
                <w:szCs w:val="20"/>
                <w:color w:val="auto"/>
              </w:rPr>
              <w:t>Cash from Operating Activities</w:t>
            </w:r>
          </w:p>
        </w:tc>
        <w:tc>
          <w:tcPr>
            <w:tcW w:w="3220" w:type="dxa"/>
            <w:vAlign w:val="bottom"/>
            <w:gridSpan w:val="5"/>
          </w:tcPr>
          <w:p>
            <w:pPr>
              <w:jc w:val="center"/>
              <w:ind w:left="2745"/>
              <w:spacing w:after="0"/>
              <w:rPr>
                <w:sz w:val="20"/>
                <w:szCs w:val="20"/>
                <w:color w:val="auto"/>
              </w:rPr>
            </w:pPr>
            <w:r>
              <w:rPr>
                <w:rFonts w:ascii="Arial" w:cs="Arial" w:eastAsia="Arial" w:hAnsi="Arial"/>
                <w:sz w:val="20"/>
                <w:szCs w:val="20"/>
                <w:b w:val="1"/>
                <w:bCs w:val="1"/>
                <w:color w:val="auto"/>
                <w:w w:val="94"/>
              </w:rPr>
              <w:t>25%</w:t>
            </w:r>
          </w:p>
        </w:tc>
        <w:tc>
          <w:tcPr>
            <w:tcW w:w="320" w:type="dxa"/>
            <w:vAlign w:val="bottom"/>
          </w:tcPr>
          <w:p>
            <w:pPr>
              <w:spacing w:after="0"/>
              <w:rPr>
                <w:sz w:val="24"/>
                <w:szCs w:val="24"/>
                <w:color w:val="auto"/>
              </w:rPr>
            </w:pPr>
          </w:p>
        </w:tc>
      </w:tr>
      <w:tr>
        <w:trPr>
          <w:trHeight w:val="563"/>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w w:val="92"/>
              </w:rPr>
              <w:t>Strategic &amp; Operational Positioning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20" w:type="dxa"/>
            <w:vAlign w:val="bottom"/>
            <w:gridSpan w:val="4"/>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50%</w:t>
            </w:r>
          </w:p>
        </w:tc>
        <w:tc>
          <w:tcPr>
            <w:tcW w:w="320" w:type="dxa"/>
            <w:vAlign w:val="bottom"/>
          </w:tcPr>
          <w:p>
            <w:pPr>
              <w:spacing w:after="0"/>
              <w:rPr>
                <w:sz w:val="24"/>
                <w:szCs w:val="24"/>
                <w:color w:val="auto"/>
              </w:rPr>
            </w:pPr>
          </w:p>
        </w:tc>
      </w:tr>
      <w:tr>
        <w:trPr>
          <w:trHeight w:val="308"/>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40" w:type="dxa"/>
            <w:vAlign w:val="bottom"/>
            <w:gridSpan w:val="6"/>
          </w:tcPr>
          <w:p>
            <w:pPr>
              <w:jc w:val="center"/>
              <w:ind w:left="2425"/>
              <w:spacing w:after="0"/>
              <w:rPr>
                <w:sz w:val="20"/>
                <w:szCs w:val="20"/>
                <w:color w:val="auto"/>
              </w:rPr>
            </w:pPr>
            <w:r>
              <w:rPr>
                <w:rFonts w:ascii="Arial" w:cs="Arial" w:eastAsia="Arial" w:hAnsi="Arial"/>
                <w:sz w:val="20"/>
                <w:szCs w:val="20"/>
                <w:b w:val="1"/>
                <w:bCs w:val="1"/>
                <w:color w:val="auto"/>
                <w:w w:val="97"/>
              </w:rPr>
              <w:t>100%</w:t>
            </w:r>
          </w:p>
        </w:tc>
      </w:tr>
    </w:tbl>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Portions Subject to 162(m)</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Portions of this award are intended to qualify as performance-based compensation within the meaning of I.R.S. Code Section 162(m), namely , all amounts related to the Financial Goals and the objective Strategic &amp; Operational Positioning Goals. Accordingly, those portions will be interpreted and administered consistent with Section 9.2 of the Long-Term Incentive Plan.</w:t>
      </w:r>
    </w:p>
    <w:p>
      <w:pPr>
        <w:spacing w:after="0" w:line="128" w:lineRule="exact"/>
        <w:rPr>
          <w:sz w:val="20"/>
          <w:szCs w:val="20"/>
          <w:color w:val="auto"/>
        </w:rPr>
      </w:pPr>
    </w:p>
    <w:p>
      <w:pPr>
        <w:ind w:left="310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Annual Incentive Plan Compensation is subject to recoupment as defined in the Compensation Recovery policy.</w:t>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10(i)5</w:t>
      </w:r>
    </w:p>
    <w:p>
      <w:pPr>
        <w:spacing w:after="0" w:line="311"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ALLETE</w:t>
      </w:r>
    </w:p>
    <w:p>
      <w:pPr>
        <w:spacing w:after="0" w:line="112"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RESTRICTED STOCK UNIT GRANT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2017]</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[Eligible Executive Employees]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76"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Restricted Stock Units (“RSU’s”) as set forth below, payable in the form of ALLETE Common Stock, subject to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all documents incorporated herein by reference: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Number of Restricted Stock Units: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of Grant:</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Vesting Period: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Further terms and conditions of the Grant are set forth in Annex A hereto, which is an integral part of this Grant.</w:t>
      </w:r>
    </w:p>
    <w:p>
      <w:pPr>
        <w:spacing w:after="0" w:line="220" w:lineRule="exact"/>
        <w:rPr>
          <w:sz w:val="20"/>
          <w:szCs w:val="20"/>
          <w:color w:val="auto"/>
        </w:rPr>
      </w:pPr>
    </w:p>
    <w:p>
      <w:pPr>
        <w:ind w:right="160"/>
        <w:spacing w:after="0" w:line="343" w:lineRule="auto"/>
        <w:rPr>
          <w:sz w:val="20"/>
          <w:szCs w:val="20"/>
          <w:color w:val="auto"/>
        </w:rPr>
      </w:pPr>
      <w:r>
        <w:rPr>
          <w:rFonts w:ascii="Arial" w:cs="Arial" w:eastAsia="Arial" w:hAnsi="Arial"/>
          <w:sz w:val="19"/>
          <w:szCs w:val="19"/>
          <w:color w:val="auto"/>
        </w:rPr>
        <w:t>Any term, provision or condition applicable to the Restricted Stock Units set forth in the Plan and not set forth herein is hereby incorporated by reference. To the extent any provision hereof is inconsistent with a Plan provision, the Plan provision will govern.</w:t>
      </w:r>
    </w:p>
    <w:p>
      <w:pPr>
        <w:spacing w:after="0" w:line="105" w:lineRule="exact"/>
        <w:rPr>
          <w:sz w:val="20"/>
          <w:szCs w:val="20"/>
          <w:color w:val="auto"/>
        </w:rPr>
      </w:pPr>
    </w:p>
    <w:p>
      <w:pPr>
        <w:jc w:val="both"/>
        <w:ind w:right="660"/>
        <w:spacing w:after="0" w:line="253" w:lineRule="auto"/>
        <w:rPr>
          <w:sz w:val="20"/>
          <w:szCs w:val="20"/>
          <w:color w:val="auto"/>
        </w:rPr>
      </w:pPr>
      <w:r>
        <w:rPr>
          <w:rFonts w:ascii="Arial" w:cs="Arial" w:eastAsia="Arial" w:hAnsi="Arial"/>
          <w:sz w:val="22"/>
          <w:szCs w:val="22"/>
          <w:color w:val="auto"/>
        </w:rPr>
        <w:t xml:space="preserve">YOU SHOULD CAREFULLY READ AND REVIEW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WHICH CONTAINS IMPORTANT INFORMATION, INCLUDING MANDATORY CLAIMS AND ARBITRATION PROCEDURES.</w:t>
      </w:r>
    </w:p>
    <w:p>
      <w:pPr>
        <w:spacing w:after="0" w:line="186" w:lineRule="exact"/>
        <w:rPr>
          <w:sz w:val="20"/>
          <w:szCs w:val="20"/>
          <w:color w:val="auto"/>
        </w:rPr>
      </w:pPr>
    </w:p>
    <w:p>
      <w:pPr>
        <w:ind w:right="280"/>
        <w:spacing w:after="0" w:line="312" w:lineRule="auto"/>
        <w:rPr>
          <w:sz w:val="20"/>
          <w:szCs w:val="20"/>
          <w:color w:val="auto"/>
        </w:rPr>
      </w:pPr>
      <w:r>
        <w:rPr>
          <w:rFonts w:ascii="Arial" w:cs="Arial" w:eastAsia="Arial" w:hAnsi="Arial"/>
          <w:sz w:val="19"/>
          <w:szCs w:val="19"/>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Manager–Compensation and Benefits, in writing within sixty (60) days of the Date of Grant.</w:t>
      </w:r>
    </w:p>
    <w:p>
      <w:pPr>
        <w:spacing w:after="0" w:line="350"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 WITNESS WHEREOF, ALLETE has caused this Grant to be executed by its Chairman, President and Chief Executive Officer as of the date and year first above written.</w:t>
      </w: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ALLETE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31750</wp:posOffset>
            </wp:positionV>
            <wp:extent cx="21780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Chairman, President &amp; CEO</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Attachment: Annex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44" w:name="page145"/>
    <w:bookmarkEnd w:id="144"/>
    <w:p>
      <w:pPr>
        <w:jc w:val="center"/>
        <w:ind w:right="-39"/>
        <w:spacing w:after="0"/>
        <w:rPr>
          <w:sz w:val="20"/>
          <w:szCs w:val="20"/>
          <w:color w:val="auto"/>
        </w:rPr>
      </w:pPr>
      <w:r>
        <w:rPr>
          <w:rFonts w:ascii="Arial" w:cs="Arial" w:eastAsia="Arial" w:hAnsi="Arial"/>
          <w:sz w:val="22"/>
          <w:szCs w:val="22"/>
          <w:b w:val="1"/>
          <w:bCs w:val="1"/>
          <w:u w:val="single" w:color="auto"/>
          <w:color w:val="auto"/>
        </w:rPr>
        <w:t>ANNEX A</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RESTRICTED STOCK UNIT GRANT</w:t>
      </w:r>
    </w:p>
    <w:p>
      <w:pPr>
        <w:spacing w:after="0" w:line="202"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The grant of restricted stock units (each, a “RSU”) under the ALLETE Executive Long-Term Incentive Compensation Plan (the “Plan”), evidenced by the Grant to which this is annexed, is subject to the following additional terms and conditions:</w:t>
      </w:r>
    </w:p>
    <w:p>
      <w:pPr>
        <w:spacing w:after="0" w:line="105" w:lineRule="exact"/>
        <w:rPr>
          <w:sz w:val="20"/>
          <w:szCs w:val="20"/>
          <w:color w:val="auto"/>
        </w:rPr>
      </w:pPr>
    </w:p>
    <w:p>
      <w:pPr>
        <w:ind w:right="180" w:firstLine="8"/>
        <w:spacing w:after="0" w:line="250" w:lineRule="auto"/>
        <w:tabs>
          <w:tab w:leader="none" w:pos="342"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xml:space="preserve"> Subject to the provisions hereof, each RSU will be paid in the form of one share of ALLETE common stock (each, a “Share”), plus accrued Dividend Equivalents. Shares will be deposited into your ALLETE Invest Direct plan account.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minimum amount of tax required to be withheld by law.</w:t>
      </w:r>
    </w:p>
    <w:p>
      <w:pPr>
        <w:spacing w:after="0" w:line="188" w:lineRule="exact"/>
        <w:rPr>
          <w:rFonts w:ascii="Arial" w:cs="Arial" w:eastAsia="Arial" w:hAnsi="Arial"/>
          <w:sz w:val="22"/>
          <w:szCs w:val="22"/>
          <w:color w:val="auto"/>
        </w:rPr>
      </w:pPr>
    </w:p>
    <w:p>
      <w:pPr>
        <w:ind w:right="80" w:firstLine="8"/>
        <w:spacing w:after="0" w:line="262" w:lineRule="auto"/>
        <w:tabs>
          <w:tab w:leader="none" w:pos="342"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You will receive Dividend Equivalents in connection with the RSUs granted. Dividend Equivalents will be calculated and credited to you at the time the underlying RSUs are paid. Dividend Equivalents will be in the form of additional RSUs, which will be added to the number of RSUs subject to the grant,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the underlying RSUs, if such RSUs were Shares. Dividend Equivalents will only become payable if and to the extent the underlying RSUs vest and become payable.</w:t>
      </w:r>
    </w:p>
    <w:p>
      <w:pPr>
        <w:spacing w:after="0" w:line="180" w:lineRule="exact"/>
        <w:rPr>
          <w:rFonts w:ascii="Arial" w:cs="Arial" w:eastAsia="Arial" w:hAnsi="Arial"/>
          <w:sz w:val="21"/>
          <w:szCs w:val="21"/>
          <w:color w:val="auto"/>
        </w:rPr>
      </w:pPr>
    </w:p>
    <w:p>
      <w:pPr>
        <w:ind w:right="680" w:firstLine="8"/>
        <w:spacing w:after="0" w:line="276" w:lineRule="auto"/>
        <w:tabs>
          <w:tab w:leader="none" w:pos="342"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Payment Upon Retirement, Death or Disability; Forfeiture Upon Other Termination of Employment, Default on Certain Agreements or Unsatisfactory Job Performance</w:t>
      </w:r>
      <w:r>
        <w:rPr>
          <w:rFonts w:ascii="Arial" w:cs="Arial" w:eastAsia="Arial" w:hAnsi="Arial"/>
          <w:sz w:val="22"/>
          <w:szCs w:val="22"/>
          <w:color w:val="auto"/>
        </w:rPr>
        <w:t>.</w:t>
      </w:r>
    </w:p>
    <w:p>
      <w:pPr>
        <w:spacing w:after="0" w:line="161" w:lineRule="exact"/>
        <w:rPr>
          <w:sz w:val="20"/>
          <w:szCs w:val="20"/>
          <w:color w:val="auto"/>
        </w:rPr>
      </w:pPr>
    </w:p>
    <w:p>
      <w:pPr>
        <w:ind w:left="660"/>
        <w:spacing w:after="0" w:line="263" w:lineRule="auto"/>
        <w:rPr>
          <w:sz w:val="20"/>
          <w:szCs w:val="20"/>
          <w:color w:val="auto"/>
        </w:rPr>
      </w:pPr>
      <w:r>
        <w:rPr>
          <w:rFonts w:ascii="Arial" w:cs="Arial" w:eastAsia="Arial" w:hAnsi="Arial"/>
          <w:sz w:val="21"/>
          <w:szCs w:val="21"/>
          <w:color w:val="auto"/>
        </w:rPr>
        <w:t>3.1 Subject to Section 3.4 below, if during the vesting period you (i) Retire, (ii) die while employed by a Related Company, or (iii) become Disabled, a portion of the unvested RSUs subject to the Grant will vest and be paid to you (or your beneficiary or estate) during the period ending sixty days after such event; provided, however, you will not be permitted, directly or indirectly, to designate the taxable year of the distribution. Except as otherwise provided in Section 4, payment pursuant to this Section 3.1 will be prorated, after giving effect to accumulated Dividend Equivalents, based on the number of whole calendar months within the vesting period that had elapsed as of the date of Retirement, death or Disability in relation to the number of calendar months in the vesting period. For purposes of this calculation, you will be credited with a whole month if you were employed on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month.</w:t>
      </w:r>
    </w:p>
    <w:p>
      <w:pPr>
        <w:spacing w:after="0" w:line="90" w:lineRule="exact"/>
        <w:rPr>
          <w:sz w:val="20"/>
          <w:szCs w:val="20"/>
          <w:color w:val="auto"/>
        </w:rPr>
      </w:pPr>
    </w:p>
    <w:p>
      <w:pPr>
        <w:ind w:left="660"/>
        <w:spacing w:after="0" w:line="320" w:lineRule="auto"/>
        <w:rPr>
          <w:sz w:val="20"/>
          <w:szCs w:val="20"/>
          <w:color w:val="auto"/>
        </w:rPr>
      </w:pPr>
      <w:r>
        <w:rPr>
          <w:rFonts w:ascii="Arial" w:cs="Arial" w:eastAsia="Arial" w:hAnsi="Arial"/>
          <w:sz w:val="19"/>
          <w:szCs w:val="19"/>
          <w:color w:val="auto"/>
        </w:rPr>
        <w:t>3.2 Except as otherwise provided in Section 4, if during the vesting period or prior to payment of all RSUs you have a Separation from Service for any reason other than those specified in Section 3.1 above, all unvested or unpaid RSUs subject to the Grant (and related Dividend Equivalents) will be forfeited on the date of such Separation from Service.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369" w:right="279" w:bottom="1440" w:gutter="0" w:footer="0" w:header="0"/>
        </w:sectPr>
      </w:pPr>
    </w:p>
    <w:bookmarkStart w:id="145" w:name="page146"/>
    <w:bookmarkEnd w:id="145"/>
    <w:p>
      <w:pPr>
        <w:ind w:left="652" w:right="200"/>
        <w:spacing w:after="0" w:line="266" w:lineRule="auto"/>
        <w:rPr>
          <w:sz w:val="20"/>
          <w:szCs w:val="20"/>
          <w:color w:val="auto"/>
        </w:rPr>
      </w:pPr>
      <w:r>
        <w:rPr>
          <w:rFonts w:ascii="Arial" w:cs="Arial" w:eastAsia="Arial" w:hAnsi="Arial"/>
          <w:sz w:val="21"/>
          <w:szCs w:val="21"/>
          <w:color w:val="auto"/>
        </w:rPr>
        <w:t>3.3 If during the vesting period or prior to payment of all RSUs you are demoted, you default on any written agreement with a Related Company related to a restrictive employment covenant (such as confidentiality, non-disclosure, non-competition, non-solicitation, or the like), or if ALLETE determines, in its sole discretion, that your job performance is unsatisfactory, ALLETE may cancel or amend your grant relating to any unpaid RSUs, resulting in the forfeiture of some portion or all of your unpaid RSUs (and related Dividend Equivalents).</w:t>
      </w:r>
    </w:p>
    <w:p>
      <w:pPr>
        <w:spacing w:after="0" w:line="174" w:lineRule="exact"/>
        <w:rPr>
          <w:sz w:val="20"/>
          <w:szCs w:val="20"/>
          <w:color w:val="auto"/>
        </w:rPr>
      </w:pPr>
    </w:p>
    <w:p>
      <w:pPr>
        <w:ind w:left="652" w:right="20"/>
        <w:spacing w:after="0" w:line="264" w:lineRule="auto"/>
        <w:rPr>
          <w:sz w:val="20"/>
          <w:szCs w:val="20"/>
          <w:color w:val="auto"/>
        </w:rPr>
      </w:pPr>
      <w:r>
        <w:rPr>
          <w:rFonts w:ascii="Arial" w:cs="Arial" w:eastAsia="Arial" w:hAnsi="Arial"/>
          <w:sz w:val="21"/>
          <w:szCs w:val="21"/>
          <w:color w:val="auto"/>
        </w:rPr>
        <w:t>3.4 Notwithstanding anything herein to the contrary, if you become entitled to a payment of the RSUs by reason of your Retirement and if you are a Specified Employee on the date of such Retirement, payment shall not be made until the earlier of: (i) the expiration of the six-month period beginning on the date of your Retirement, or (ii) the date of your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spacing w:after="0" w:line="175" w:lineRule="exact"/>
        <w:rPr>
          <w:sz w:val="20"/>
          <w:szCs w:val="20"/>
          <w:color w:val="auto"/>
        </w:rPr>
      </w:pPr>
    </w:p>
    <w:p>
      <w:pPr>
        <w:ind w:left="-8" w:firstLine="8"/>
        <w:spacing w:after="0" w:line="266" w:lineRule="auto"/>
        <w:tabs>
          <w:tab w:leader="none" w:pos="334"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Upon a Change in Control, unless the Committee provides otherwise prior to the Change in Control, outstanding unvested RSUs shall be prorated (as described below) and such prorated RSUs shall immediately vest and be payable to you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vest upon your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three-year vesting period that had elapsed as of the date of the Change in Control or termination of employment, as applicable, in relation to the number of calendar months in the three-year vesting period. For purposes of this calculation, you will be credited with a whole month if you were employed on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month. In no event will you be permitted, directly or indirectly, to designate the taxable year of the distribution on account of or in connection with a Change in Control.</w:t>
      </w:r>
    </w:p>
    <w:p>
      <w:pPr>
        <w:spacing w:after="0" w:line="175" w:lineRule="exact"/>
        <w:rPr>
          <w:rFonts w:ascii="Arial" w:cs="Arial" w:eastAsia="Arial" w:hAnsi="Arial"/>
          <w:sz w:val="20"/>
          <w:szCs w:val="20"/>
          <w:color w:val="auto"/>
        </w:rPr>
      </w:pPr>
    </w:p>
    <w:p>
      <w:pPr>
        <w:ind w:left="-8" w:right="100" w:firstLine="8"/>
        <w:spacing w:after="0" w:line="260" w:lineRule="auto"/>
        <w:tabs>
          <w:tab w:leader="none" w:pos="334"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200" w:lineRule="exact"/>
        <w:rPr>
          <w:sz w:val="20"/>
          <w:szCs w:val="20"/>
          <w:color w:val="auto"/>
        </w:rPr>
      </w:pPr>
    </w:p>
    <w:p>
      <w:pPr>
        <w:spacing w:after="0" w:line="22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32"/>
          </w:cols>
          <w:pgMar w:left="248" w:top="375" w:right="319" w:bottom="1440" w:gutter="0" w:footer="0" w:header="0"/>
        </w:sectPr>
      </w:pPr>
    </w:p>
    <w:bookmarkStart w:id="146" w:name="page147"/>
    <w:bookmarkEnd w:id="146"/>
    <w:p>
      <w:pPr>
        <w:ind w:left="-8" w:right="60" w:firstLine="8"/>
        <w:spacing w:after="0" w:line="260" w:lineRule="auto"/>
        <w:tabs>
          <w:tab w:leader="none" w:pos="388"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Section 409A Compliance.</w:t>
      </w:r>
      <w:r>
        <w:rPr>
          <w:rFonts w:ascii="Arial" w:cs="Arial" w:eastAsia="Arial" w:hAnsi="Arial"/>
          <w:sz w:val="21"/>
          <w:szCs w:val="21"/>
          <w:color w:val="auto"/>
        </w:rPr>
        <w:t xml:space="preserve"> This Grant is intended to comply with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93" w:lineRule="exact"/>
        <w:rPr>
          <w:rFonts w:ascii="Arial" w:cs="Arial" w:eastAsia="Arial" w:hAnsi="Arial"/>
          <w:sz w:val="21"/>
          <w:szCs w:val="21"/>
          <w:color w:val="auto"/>
        </w:rPr>
      </w:pPr>
    </w:p>
    <w:p>
      <w:pPr>
        <w:ind w:left="392" w:hanging="392"/>
        <w:spacing w:after="0"/>
        <w:tabs>
          <w:tab w:leader="none" w:pos="392"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33" w:lineRule="exact"/>
        <w:rPr>
          <w:sz w:val="20"/>
          <w:szCs w:val="20"/>
          <w:color w:val="auto"/>
        </w:rPr>
      </w:pPr>
    </w:p>
    <w:p>
      <w:pPr>
        <w:ind w:left="652" w:right="20" w:firstLine="648"/>
        <w:spacing w:after="0" w:line="25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185" w:lineRule="exact"/>
        <w:rPr>
          <w:sz w:val="20"/>
          <w:szCs w:val="20"/>
          <w:color w:val="auto"/>
        </w:rPr>
      </w:pPr>
    </w:p>
    <w:p>
      <w:pPr>
        <w:ind w:left="652"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185" w:lineRule="exact"/>
        <w:rPr>
          <w:sz w:val="20"/>
          <w:szCs w:val="20"/>
          <w:color w:val="auto"/>
        </w:rPr>
      </w:pPr>
    </w:p>
    <w:p>
      <w:pPr>
        <w:ind w:left="652" w:right="80" w:firstLine="648"/>
        <w:spacing w:after="0" w:line="270"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Notice of Denial</w:t>
      </w:r>
      <w:r>
        <w:rPr>
          <w:rFonts w:ascii="Arial" w:cs="Arial" w:eastAsia="Arial" w:hAnsi="Arial"/>
          <w:sz w:val="21"/>
          <w:szCs w:val="21"/>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169" w:lineRule="exact"/>
        <w:rPr>
          <w:sz w:val="20"/>
          <w:szCs w:val="20"/>
          <w:color w:val="auto"/>
        </w:rPr>
      </w:pPr>
    </w:p>
    <w:p>
      <w:pPr>
        <w:ind w:left="652" w:right="260" w:firstLine="648"/>
        <w:spacing w:after="0" w:line="35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Arbitration</w:t>
      </w:r>
      <w:r>
        <w:rPr>
          <w:rFonts w:ascii="Arial" w:cs="Arial" w:eastAsia="Arial" w:hAnsi="Arial"/>
          <w:sz w:val="19"/>
          <w:szCs w:val="19"/>
          <w:color w:val="auto"/>
        </w:rPr>
        <w:t>. If, after exhausting the procedures set forth above, a Claimant wishes to pursue legal action, any action by the Claimant with respect to a claim, must be resolved by arbitration in the manner described herein.</w:t>
      </w:r>
    </w:p>
    <w:p>
      <w:pPr>
        <w:spacing w:after="0" w:line="91" w:lineRule="exact"/>
        <w:rPr>
          <w:sz w:val="20"/>
          <w:szCs w:val="20"/>
          <w:color w:val="auto"/>
        </w:rPr>
      </w:pPr>
    </w:p>
    <w:p>
      <w:pPr>
        <w:jc w:val="both"/>
        <w:ind w:left="1952" w:right="80" w:hanging="331"/>
        <w:spacing w:after="0" w:line="250" w:lineRule="auto"/>
        <w:tabs>
          <w:tab w:leader="none" w:pos="1952" w:val="left"/>
        </w:tabs>
        <w:numPr>
          <w:ilvl w:val="0"/>
          <w:numId w:val="59"/>
        </w:numPr>
        <w:rPr>
          <w:rFonts w:ascii="Arial" w:cs="Arial" w:eastAsia="Arial" w:hAnsi="Arial"/>
          <w:sz w:val="18"/>
          <w:szCs w:val="18"/>
          <w:i w:val="1"/>
          <w:iCs w:val="1"/>
          <w:color w:val="auto"/>
        </w:rPr>
      </w:pPr>
      <w:r>
        <w:rPr>
          <w:rFonts w:ascii="Arial" w:cs="Arial" w:eastAsia="Arial" w:hAnsi="Arial"/>
          <w:sz w:val="22"/>
          <w:szCs w:val="22"/>
          <w:u w:val="single" w:color="auto"/>
          <w:color w:val="auto"/>
        </w:rPr>
        <w:t>Time Limits</w:t>
      </w:r>
      <w:r>
        <w:rPr>
          <w:rFonts w:ascii="Arial" w:cs="Arial" w:eastAsia="Arial" w:hAnsi="Arial"/>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228" w:lineRule="exact"/>
        <w:rPr>
          <w:rFonts w:ascii="Arial" w:cs="Arial" w:eastAsia="Arial" w:hAnsi="Arial"/>
          <w:sz w:val="18"/>
          <w:szCs w:val="18"/>
          <w:i w:val="1"/>
          <w:iCs w:val="1"/>
          <w:color w:val="auto"/>
        </w:rPr>
      </w:pPr>
    </w:p>
    <w:p>
      <w:pPr>
        <w:ind w:left="1952" w:right="940" w:hanging="331"/>
        <w:spacing w:after="0" w:line="263" w:lineRule="auto"/>
        <w:tabs>
          <w:tab w:leader="none" w:pos="1952" w:val="left"/>
        </w:tabs>
        <w:numPr>
          <w:ilvl w:val="0"/>
          <w:numId w:val="59"/>
        </w:numPr>
        <w:rPr>
          <w:rFonts w:ascii="Arial" w:cs="Arial" w:eastAsia="Arial" w:hAnsi="Arial"/>
          <w:sz w:val="18"/>
          <w:szCs w:val="18"/>
          <w:i w:val="1"/>
          <w:iCs w:val="1"/>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spacing w:after="0" w:line="215" w:lineRule="exact"/>
        <w:rPr>
          <w:rFonts w:ascii="Arial" w:cs="Arial" w:eastAsia="Arial" w:hAnsi="Arial"/>
          <w:sz w:val="18"/>
          <w:szCs w:val="18"/>
          <w:i w:val="1"/>
          <w:iCs w:val="1"/>
          <w:color w:val="auto"/>
        </w:rPr>
      </w:pPr>
    </w:p>
    <w:p>
      <w:pPr>
        <w:ind w:left="1952" w:hanging="331"/>
        <w:spacing w:after="0"/>
        <w:tabs>
          <w:tab w:leader="none" w:pos="1952" w:val="left"/>
        </w:tabs>
        <w:numPr>
          <w:ilvl w:val="0"/>
          <w:numId w:val="59"/>
        </w:numPr>
        <w:rPr>
          <w:rFonts w:ascii="Arial" w:cs="Arial" w:eastAsia="Arial" w:hAnsi="Arial"/>
          <w:sz w:val="18"/>
          <w:szCs w:val="18"/>
          <w:i w:val="1"/>
          <w:iCs w:val="1"/>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200" w:lineRule="exact"/>
        <w:rPr>
          <w:sz w:val="20"/>
          <w:szCs w:val="20"/>
          <w:color w:val="auto"/>
        </w:rPr>
      </w:pPr>
    </w:p>
    <w:p>
      <w:pPr>
        <w:spacing w:after="0" w:line="2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375" w:right="259" w:bottom="1440" w:gutter="0" w:footer="0" w:header="0"/>
        </w:sectPr>
      </w:pPr>
    </w:p>
    <w:bookmarkStart w:id="147" w:name="page148"/>
    <w:bookmarkEnd w:id="147"/>
    <w:p>
      <w:pPr>
        <w:ind w:left="760" w:right="60" w:hanging="331"/>
        <w:spacing w:after="0" w:line="247" w:lineRule="auto"/>
        <w:tabs>
          <w:tab w:leader="none" w:pos="760" w:val="left"/>
        </w:tabs>
        <w:numPr>
          <w:ilvl w:val="0"/>
          <w:numId w:val="60"/>
        </w:numPr>
        <w:rPr>
          <w:rFonts w:ascii="Arial" w:cs="Arial" w:eastAsia="Arial" w:hAnsi="Arial"/>
          <w:sz w:val="18"/>
          <w:szCs w:val="18"/>
          <w:i w:val="1"/>
          <w:iCs w:val="1"/>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234" w:lineRule="exact"/>
        <w:rPr>
          <w:rFonts w:ascii="Arial" w:cs="Arial" w:eastAsia="Arial" w:hAnsi="Arial"/>
          <w:sz w:val="18"/>
          <w:szCs w:val="18"/>
          <w:i w:val="1"/>
          <w:iCs w:val="1"/>
          <w:color w:val="auto"/>
        </w:rPr>
      </w:pPr>
    </w:p>
    <w:p>
      <w:pPr>
        <w:ind w:left="760" w:right="620" w:hanging="331"/>
        <w:spacing w:after="0" w:line="263" w:lineRule="auto"/>
        <w:tabs>
          <w:tab w:leader="none" w:pos="760" w:val="left"/>
        </w:tabs>
        <w:numPr>
          <w:ilvl w:val="0"/>
          <w:numId w:val="60"/>
        </w:numPr>
        <w:rPr>
          <w:rFonts w:ascii="Arial" w:cs="Arial" w:eastAsia="Arial" w:hAnsi="Arial"/>
          <w:sz w:val="18"/>
          <w:szCs w:val="18"/>
          <w:i w:val="1"/>
          <w:iCs w:val="1"/>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spacing w:after="0" w:line="215" w:lineRule="exact"/>
        <w:rPr>
          <w:rFonts w:ascii="Arial" w:cs="Arial" w:eastAsia="Arial" w:hAnsi="Arial"/>
          <w:sz w:val="18"/>
          <w:szCs w:val="18"/>
          <w:i w:val="1"/>
          <w:iCs w:val="1"/>
          <w:color w:val="auto"/>
        </w:rPr>
      </w:pPr>
    </w:p>
    <w:p>
      <w:pPr>
        <w:ind w:left="760" w:right="60" w:hanging="331"/>
        <w:spacing w:after="0" w:line="247" w:lineRule="auto"/>
        <w:tabs>
          <w:tab w:leader="none" w:pos="760" w:val="left"/>
        </w:tabs>
        <w:numPr>
          <w:ilvl w:val="0"/>
          <w:numId w:val="60"/>
        </w:numPr>
        <w:rPr>
          <w:rFonts w:ascii="Arial" w:cs="Arial" w:eastAsia="Arial" w:hAnsi="Arial"/>
          <w:sz w:val="18"/>
          <w:szCs w:val="18"/>
          <w:i w:val="1"/>
          <w:iCs w:val="1"/>
          <w:color w:val="auto"/>
        </w:rPr>
      </w:pPr>
      <w:r>
        <w:rPr>
          <w:rFonts w:ascii="Arial" w:cs="Arial" w:eastAsia="Arial" w:hAnsi="Arial"/>
          <w:sz w:val="22"/>
          <w:szCs w:val="22"/>
          <w:u w:val="single" w:color="auto"/>
          <w:color w:val="auto"/>
        </w:rPr>
        <w:t>Waiver of Class, Collective, and Representative Actions</w:t>
      </w:r>
      <w:r>
        <w:rPr>
          <w:rFonts w:ascii="Arial" w:cs="Arial" w:eastAsia="Arial" w:hAnsi="Arial"/>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234" w:lineRule="exact"/>
        <w:rPr>
          <w:rFonts w:ascii="Arial" w:cs="Arial" w:eastAsia="Arial" w:hAnsi="Arial"/>
          <w:sz w:val="18"/>
          <w:szCs w:val="18"/>
          <w:i w:val="1"/>
          <w:iCs w:val="1"/>
          <w:color w:val="auto"/>
        </w:rPr>
      </w:pPr>
    </w:p>
    <w:p>
      <w:pPr>
        <w:ind w:left="760" w:right="240" w:hanging="331"/>
        <w:spacing w:after="0" w:line="294" w:lineRule="auto"/>
        <w:tabs>
          <w:tab w:leader="none" w:pos="760" w:val="left"/>
        </w:tabs>
        <w:numPr>
          <w:ilvl w:val="0"/>
          <w:numId w:val="60"/>
        </w:numPr>
        <w:rPr>
          <w:rFonts w:ascii="Arial" w:cs="Arial" w:eastAsia="Arial" w:hAnsi="Arial"/>
          <w:sz w:val="16"/>
          <w:szCs w:val="16"/>
          <w:i w:val="1"/>
          <w:iCs w:val="1"/>
          <w:color w:val="auto"/>
        </w:rPr>
      </w:pPr>
      <w:r>
        <w:rPr>
          <w:rFonts w:ascii="Arial" w:cs="Arial" w:eastAsia="Arial" w:hAnsi="Arial"/>
          <w:sz w:val="19"/>
          <w:szCs w:val="19"/>
          <w:u w:val="single" w:color="auto"/>
          <w:color w:val="auto"/>
        </w:rPr>
        <w:t>Standard of Review</w:t>
      </w:r>
      <w:r>
        <w:rPr>
          <w:rFonts w:ascii="Arial" w:cs="Arial" w:eastAsia="Arial" w:hAnsi="Arial"/>
          <w:sz w:val="19"/>
          <w:szCs w:val="19"/>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19"/>
          <w:szCs w:val="19"/>
          <w:i w:val="1"/>
          <w:iCs w:val="1"/>
          <w:color w:val="auto"/>
        </w:rPr>
        <w:t>Conkright v. Frommert</w:t>
      </w:r>
      <w:r>
        <w:rPr>
          <w:rFonts w:ascii="Arial" w:cs="Arial" w:eastAsia="Arial" w:hAnsi="Arial"/>
          <w:sz w:val="19"/>
          <w:szCs w:val="19"/>
          <w:color w:val="auto"/>
        </w:rPr>
        <w:t xml:space="preserve">, 130 S. Ct. 1640 (2010), </w:t>
      </w:r>
      <w:r>
        <w:rPr>
          <w:rFonts w:ascii="Arial" w:cs="Arial" w:eastAsia="Arial" w:hAnsi="Arial"/>
          <w:sz w:val="19"/>
          <w:szCs w:val="19"/>
          <w:i w:val="1"/>
          <w:iCs w:val="1"/>
          <w:color w:val="auto"/>
        </w:rPr>
        <w:t>Metropolitan Life Insurance Co. v.</w:t>
      </w:r>
      <w:r>
        <w:rPr>
          <w:rFonts w:ascii="Arial" w:cs="Arial" w:eastAsia="Arial" w:hAnsi="Arial"/>
          <w:sz w:val="19"/>
          <w:szCs w:val="19"/>
          <w:color w:val="auto"/>
        </w:rPr>
        <w:t xml:space="preserve"> Glenn</w:t>
      </w:r>
      <w:r>
        <w:rPr>
          <w:rFonts w:ascii="Arial" w:cs="Arial" w:eastAsia="Arial" w:hAnsi="Arial"/>
          <w:sz w:val="19"/>
          <w:szCs w:val="19"/>
          <w:i w:val="1"/>
          <w:iCs w:val="1"/>
          <w:color w:val="auto"/>
        </w:rPr>
        <w:t>,</w:t>
      </w:r>
      <w:r>
        <w:rPr>
          <w:rFonts w:ascii="Arial" w:cs="Arial" w:eastAsia="Arial" w:hAnsi="Arial"/>
          <w:sz w:val="19"/>
          <w:szCs w:val="19"/>
          <w:color w:val="auto"/>
        </w:rPr>
        <w:t xml:space="preserve"> 554 U.S. 105 (2008), and </w:t>
      </w:r>
      <w:r>
        <w:rPr>
          <w:rFonts w:ascii="Arial" w:cs="Arial" w:eastAsia="Arial" w:hAnsi="Arial"/>
          <w:sz w:val="19"/>
          <w:szCs w:val="19"/>
          <w:i w:val="1"/>
          <w:iCs w:val="1"/>
          <w:color w:val="auto"/>
        </w:rPr>
        <w:t>Firestone Tire and Rubber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Company v. Bruch, </w:t>
      </w:r>
      <w:r>
        <w:rPr>
          <w:rFonts w:ascii="Arial" w:cs="Arial" w:eastAsia="Arial" w:hAnsi="Arial"/>
          <w:sz w:val="19"/>
          <w:szCs w:val="19"/>
          <w:color w:val="auto"/>
        </w:rPr>
        <w:t>489 U.S. 101 (1989), and shall accord due deference to the determinations,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and construction of the Plan document by the Claim’s Administrator.</w:t>
      </w:r>
    </w:p>
    <w:p>
      <w:pPr>
        <w:spacing w:after="0" w:line="190" w:lineRule="exact"/>
        <w:rPr>
          <w:rFonts w:ascii="Arial" w:cs="Arial" w:eastAsia="Arial" w:hAnsi="Arial"/>
          <w:sz w:val="16"/>
          <w:szCs w:val="16"/>
          <w:i w:val="1"/>
          <w:iCs w:val="1"/>
          <w:color w:val="auto"/>
        </w:rPr>
      </w:pPr>
    </w:p>
    <w:p>
      <w:pPr>
        <w:ind w:left="760" w:hanging="331"/>
        <w:spacing w:after="0"/>
        <w:tabs>
          <w:tab w:leader="none" w:pos="760" w:val="left"/>
        </w:tabs>
        <w:numPr>
          <w:ilvl w:val="0"/>
          <w:numId w:val="60"/>
        </w:numPr>
        <w:rPr>
          <w:rFonts w:ascii="Arial" w:cs="Arial" w:eastAsia="Arial" w:hAnsi="Arial"/>
          <w:sz w:val="18"/>
          <w:szCs w:val="18"/>
          <w:i w:val="1"/>
          <w:iCs w:val="1"/>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219" w:lineRule="exact"/>
        <w:rPr>
          <w:rFonts w:ascii="Arial" w:cs="Arial" w:eastAsia="Arial" w:hAnsi="Arial"/>
          <w:sz w:val="18"/>
          <w:szCs w:val="18"/>
          <w:i w:val="1"/>
          <w:iCs w:val="1"/>
          <w:color w:val="auto"/>
        </w:rPr>
      </w:pPr>
    </w:p>
    <w:p>
      <w:pPr>
        <w:ind w:left="1400" w:hanging="647"/>
        <w:spacing w:after="0" w:line="259" w:lineRule="auto"/>
        <w:tabs>
          <w:tab w:leader="none" w:pos="1076" w:val="left"/>
        </w:tabs>
        <w:numPr>
          <w:ilvl w:val="1"/>
          <w:numId w:val="60"/>
        </w:numPr>
        <w:rPr>
          <w:rFonts w:ascii="Arial" w:cs="Arial" w:eastAsia="Arial" w:hAnsi="Arial"/>
          <w:sz w:val="17"/>
          <w:szCs w:val="17"/>
          <w:color w:val="auto"/>
        </w:rPr>
      </w:pPr>
      <w:r>
        <w:rPr>
          <w:rFonts w:ascii="Arial" w:cs="Arial" w:eastAsia="Arial" w:hAnsi="Arial"/>
          <w:sz w:val="21"/>
          <w:szCs w:val="21"/>
          <w:u w:val="single" w:color="auto"/>
          <w:color w:val="auto"/>
        </w:rPr>
        <w:t>Arbitration Rules</w:t>
      </w:r>
      <w:r>
        <w:rPr>
          <w:rFonts w:ascii="Arial" w:cs="Arial" w:eastAsia="Arial" w:hAnsi="Arial"/>
          <w:sz w:val="21"/>
          <w:szCs w:val="21"/>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224" w:lineRule="exact"/>
        <w:rPr>
          <w:rFonts w:ascii="Arial" w:cs="Arial" w:eastAsia="Arial" w:hAnsi="Arial"/>
          <w:sz w:val="17"/>
          <w:szCs w:val="17"/>
          <w:color w:val="auto"/>
        </w:rPr>
      </w:pPr>
    </w:p>
    <w:p>
      <w:pPr>
        <w:ind w:left="1400" w:right="40" w:hanging="647"/>
        <w:spacing w:after="0" w:line="302" w:lineRule="auto"/>
        <w:tabs>
          <w:tab w:leader="none" w:pos="1076" w:val="left"/>
        </w:tabs>
        <w:numPr>
          <w:ilvl w:val="1"/>
          <w:numId w:val="60"/>
        </w:numPr>
        <w:rPr>
          <w:rFonts w:ascii="Arial" w:cs="Arial" w:eastAsia="Arial" w:hAnsi="Arial"/>
          <w:sz w:val="16"/>
          <w:szCs w:val="16"/>
          <w:color w:val="auto"/>
        </w:rPr>
      </w:pPr>
      <w:r>
        <w:rPr>
          <w:rFonts w:ascii="Arial" w:cs="Arial" w:eastAsia="Arial" w:hAnsi="Arial"/>
          <w:sz w:val="19"/>
          <w:szCs w:val="19"/>
          <w:u w:val="single" w:color="auto"/>
          <w:color w:val="auto"/>
        </w:rPr>
        <w:t>Substantive Law</w:t>
      </w:r>
      <w:r>
        <w:rPr>
          <w:rFonts w:ascii="Arial" w:cs="Arial" w:eastAsia="Arial" w:hAnsi="Arial"/>
          <w:sz w:val="19"/>
          <w:szCs w:val="19"/>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80"/>
          </w:cols>
          <w:pgMar w:left="1440" w:top="374" w:right="279" w:bottom="1440" w:gutter="0" w:footer="0" w:header="0"/>
        </w:sectPr>
      </w:pPr>
    </w:p>
    <w:bookmarkStart w:id="148" w:name="page149"/>
    <w:bookmarkEnd w:id="148"/>
    <w:p>
      <w:pPr>
        <w:ind w:left="2592" w:right="80" w:hanging="647"/>
        <w:spacing w:after="0" w:line="248" w:lineRule="auto"/>
        <w:tabs>
          <w:tab w:leader="none" w:pos="2268" w:val="left"/>
        </w:tabs>
        <w:numPr>
          <w:ilvl w:val="2"/>
          <w:numId w:val="61"/>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232" w:lineRule="exact"/>
        <w:rPr>
          <w:rFonts w:ascii="Arial" w:cs="Arial" w:eastAsia="Arial" w:hAnsi="Arial"/>
          <w:sz w:val="22"/>
          <w:szCs w:val="22"/>
          <w:color w:val="auto"/>
        </w:rPr>
      </w:pPr>
    </w:p>
    <w:p>
      <w:pPr>
        <w:ind w:left="2592" w:right="80" w:hanging="647"/>
        <w:spacing w:after="0" w:line="302" w:lineRule="auto"/>
        <w:tabs>
          <w:tab w:leader="none" w:pos="2268" w:val="left"/>
        </w:tabs>
        <w:numPr>
          <w:ilvl w:val="2"/>
          <w:numId w:val="61"/>
        </w:numPr>
        <w:rPr>
          <w:rFonts w:ascii="Arial" w:cs="Arial" w:eastAsia="Arial" w:hAnsi="Arial"/>
          <w:sz w:val="16"/>
          <w:szCs w:val="16"/>
          <w:color w:val="auto"/>
        </w:rPr>
      </w:pPr>
      <w:r>
        <w:rPr>
          <w:rFonts w:ascii="Arial" w:cs="Arial" w:eastAsia="Arial" w:hAnsi="Arial"/>
          <w:sz w:val="19"/>
          <w:szCs w:val="19"/>
          <w:u w:val="single" w:color="auto"/>
          <w:color w:val="auto"/>
        </w:rPr>
        <w:t>Pre-Hearing Procedures</w:t>
      </w:r>
      <w:r>
        <w:rPr>
          <w:rFonts w:ascii="Arial" w:cs="Arial" w:eastAsia="Arial" w:hAnsi="Arial"/>
          <w:sz w:val="19"/>
          <w:szCs w:val="19"/>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83" w:lineRule="exact"/>
        <w:rPr>
          <w:rFonts w:ascii="Arial" w:cs="Arial" w:eastAsia="Arial" w:hAnsi="Arial"/>
          <w:sz w:val="16"/>
          <w:szCs w:val="16"/>
          <w:color w:val="auto"/>
        </w:rPr>
      </w:pPr>
    </w:p>
    <w:p>
      <w:pPr>
        <w:ind w:left="2592" w:hanging="647"/>
        <w:spacing w:after="0" w:line="258" w:lineRule="auto"/>
        <w:tabs>
          <w:tab w:leader="none" w:pos="2268" w:val="left"/>
        </w:tabs>
        <w:numPr>
          <w:ilvl w:val="2"/>
          <w:numId w:val="61"/>
        </w:numPr>
        <w:rPr>
          <w:rFonts w:ascii="Arial" w:cs="Arial" w:eastAsia="Arial" w:hAnsi="Arial"/>
          <w:sz w:val="17"/>
          <w:szCs w:val="17"/>
          <w:color w:val="auto"/>
        </w:rPr>
      </w:pPr>
      <w:r>
        <w:rPr>
          <w:rFonts w:ascii="Arial" w:cs="Arial" w:eastAsia="Arial" w:hAnsi="Arial"/>
          <w:sz w:val="21"/>
          <w:szCs w:val="21"/>
          <w:u w:val="single" w:color="auto"/>
          <w:color w:val="auto"/>
        </w:rPr>
        <w:t>Fees and Costs</w:t>
      </w:r>
      <w:r>
        <w:rPr>
          <w:rFonts w:ascii="Arial" w:cs="Arial" w:eastAsia="Arial" w:hAnsi="Arial"/>
          <w:sz w:val="21"/>
          <w:szCs w:val="21"/>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186" w:lineRule="exact"/>
        <w:rPr>
          <w:rFonts w:ascii="Arial" w:cs="Arial" w:eastAsia="Arial" w:hAnsi="Arial"/>
          <w:sz w:val="17"/>
          <w:szCs w:val="17"/>
          <w:color w:val="auto"/>
        </w:rPr>
      </w:pPr>
    </w:p>
    <w:p>
      <w:pPr>
        <w:ind w:left="2272" w:right="180" w:hanging="651"/>
        <w:spacing w:after="0" w:line="302" w:lineRule="auto"/>
        <w:tabs>
          <w:tab w:leader="none" w:pos="1948" w:val="left"/>
        </w:tabs>
        <w:numPr>
          <w:ilvl w:val="1"/>
          <w:numId w:val="62"/>
        </w:numPr>
        <w:rPr>
          <w:rFonts w:ascii="Arial" w:cs="Arial" w:eastAsia="Arial" w:hAnsi="Arial"/>
          <w:sz w:val="16"/>
          <w:szCs w:val="16"/>
          <w:i w:val="1"/>
          <w:iCs w:val="1"/>
          <w:color w:val="auto"/>
        </w:rPr>
      </w:pPr>
      <w:r>
        <w:rPr>
          <w:rFonts w:ascii="Arial" w:cs="Arial" w:eastAsia="Arial" w:hAnsi="Arial"/>
          <w:sz w:val="19"/>
          <w:szCs w:val="19"/>
          <w:u w:val="single" w:color="auto"/>
          <w:color w:val="auto"/>
        </w:rPr>
        <w:t>Interstate Commerce and the Federal Arbitration Act</w:t>
      </w:r>
      <w:r>
        <w:rPr>
          <w:rFonts w:ascii="Arial" w:cs="Arial" w:eastAsia="Arial" w:hAnsi="Arial"/>
          <w:sz w:val="19"/>
          <w:szCs w:val="19"/>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142" w:lineRule="exact"/>
        <w:rPr>
          <w:rFonts w:ascii="Arial" w:cs="Arial" w:eastAsia="Arial" w:hAnsi="Arial"/>
          <w:sz w:val="16"/>
          <w:szCs w:val="16"/>
          <w:i w:val="1"/>
          <w:iCs w:val="1"/>
          <w:color w:val="auto"/>
        </w:rPr>
      </w:pPr>
    </w:p>
    <w:p>
      <w:pPr>
        <w:jc w:val="both"/>
        <w:ind w:left="-8" w:right="100" w:firstLine="8"/>
        <w:spacing w:after="0" w:line="260" w:lineRule="auto"/>
        <w:tabs>
          <w:tab w:leader="none" w:pos="334"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77" w:lineRule="exact"/>
        <w:rPr>
          <w:rFonts w:ascii="Arial" w:cs="Arial" w:eastAsia="Arial" w:hAnsi="Arial"/>
          <w:sz w:val="22"/>
          <w:szCs w:val="22"/>
          <w:color w:val="auto"/>
        </w:rPr>
      </w:pPr>
    </w:p>
    <w:p>
      <w:pPr>
        <w:ind w:left="-8" w:right="220" w:firstLine="8"/>
        <w:spacing w:after="0" w:line="278" w:lineRule="auto"/>
        <w:tabs>
          <w:tab w:leader="none" w:pos="383"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60" w:lineRule="exact"/>
        <w:rPr>
          <w:rFonts w:ascii="Arial" w:cs="Arial" w:eastAsia="Arial" w:hAnsi="Arial"/>
          <w:sz w:val="21"/>
          <w:szCs w:val="21"/>
          <w:color w:val="auto"/>
        </w:rPr>
      </w:pPr>
    </w:p>
    <w:p>
      <w:pPr>
        <w:ind w:left="-8" w:right="220" w:firstLine="8"/>
        <w:spacing w:after="0" w:line="254" w:lineRule="auto"/>
        <w:tabs>
          <w:tab w:leader="none" w:pos="442"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Manager - Compensation and Benefits, Human Resources, and any notice hereunder to you shall be directed to your address as indicated by ALLETE’s records, subject to the right of either party to designate at any time hereafter in writing some other address.</w:t>
      </w:r>
    </w:p>
    <w:p>
      <w:pPr>
        <w:spacing w:after="0" w:line="200" w:lineRule="exact"/>
        <w:rPr>
          <w:sz w:val="20"/>
          <w:szCs w:val="20"/>
          <w:color w:val="auto"/>
        </w:rPr>
      </w:pPr>
    </w:p>
    <w:p>
      <w:pPr>
        <w:spacing w:after="0" w:line="2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375" w:right="259" w:bottom="1440" w:gutter="0" w:footer="0" w:header="0"/>
        </w:sectPr>
      </w:pPr>
    </w:p>
    <w:bookmarkStart w:id="149" w:name="page150"/>
    <w:bookmarkEnd w:id="149"/>
    <w:p>
      <w:pPr>
        <w:ind w:left="-8" w:right="20" w:firstLine="8"/>
        <w:spacing w:after="0" w:line="307" w:lineRule="auto"/>
        <w:tabs>
          <w:tab w:leader="none" w:pos="434"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8" w:right="360" w:firstLine="8"/>
        <w:spacing w:after="0" w:line="276" w:lineRule="auto"/>
        <w:tabs>
          <w:tab w:leader="none" w:pos="442"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55" w:lineRule="exact"/>
        <w:rPr>
          <w:sz w:val="20"/>
          <w:szCs w:val="20"/>
          <w:color w:val="auto"/>
        </w:rPr>
      </w:pPr>
    </w:p>
    <w:p>
      <w:pPr>
        <w:ind w:left="652"/>
        <w:spacing w:after="0" w:line="262"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184" w:lineRule="exact"/>
        <w:rPr>
          <w:sz w:val="20"/>
          <w:szCs w:val="20"/>
          <w:color w:val="auto"/>
        </w:rPr>
      </w:pPr>
    </w:p>
    <w:p>
      <w:pPr>
        <w:ind w:left="652"/>
        <w:spacing w:after="0"/>
        <w:tabs>
          <w:tab w:leader="none" w:pos="1192"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earliest of:</w:t>
      </w:r>
    </w:p>
    <w:p>
      <w:pPr>
        <w:spacing w:after="0" w:line="239" w:lineRule="exact"/>
        <w:rPr>
          <w:sz w:val="20"/>
          <w:szCs w:val="20"/>
          <w:color w:val="auto"/>
        </w:rPr>
      </w:pPr>
    </w:p>
    <w:p>
      <w:pPr>
        <w:ind w:left="1792" w:hanging="658"/>
        <w:spacing w:after="0" w:line="259" w:lineRule="auto"/>
        <w:tabs>
          <w:tab w:leader="none" w:pos="1792" w:val="left"/>
        </w:tabs>
        <w:numPr>
          <w:ilvl w:val="0"/>
          <w:numId w:val="65"/>
        </w:numPr>
        <w:rPr>
          <w:rFonts w:ascii="Arial" w:cs="Arial" w:eastAsia="Arial" w:hAnsi="Arial"/>
          <w:sz w:val="17"/>
          <w:szCs w:val="17"/>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220" w:lineRule="exact"/>
        <w:rPr>
          <w:rFonts w:ascii="Arial" w:cs="Arial" w:eastAsia="Arial" w:hAnsi="Arial"/>
          <w:sz w:val="17"/>
          <w:szCs w:val="17"/>
          <w:color w:val="auto"/>
        </w:rPr>
      </w:pPr>
    </w:p>
    <w:p>
      <w:pPr>
        <w:ind w:left="1792" w:right="300" w:hanging="658"/>
        <w:spacing w:after="0" w:line="302" w:lineRule="auto"/>
        <w:tabs>
          <w:tab w:leader="none" w:pos="1792" w:val="left"/>
        </w:tabs>
        <w:numPr>
          <w:ilvl w:val="0"/>
          <w:numId w:val="65"/>
        </w:numPr>
        <w:rPr>
          <w:rFonts w:ascii="Arial" w:cs="Arial" w:eastAsia="Arial" w:hAnsi="Arial"/>
          <w:sz w:val="16"/>
          <w:szCs w:val="16"/>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83" w:lineRule="exact"/>
        <w:rPr>
          <w:rFonts w:ascii="Arial" w:cs="Arial" w:eastAsia="Arial" w:hAnsi="Arial"/>
          <w:sz w:val="16"/>
          <w:szCs w:val="16"/>
          <w:color w:val="auto"/>
        </w:rPr>
      </w:pPr>
    </w:p>
    <w:p>
      <w:pPr>
        <w:ind w:left="1792" w:right="140" w:hanging="658"/>
        <w:spacing w:after="0" w:line="253" w:lineRule="auto"/>
        <w:tabs>
          <w:tab w:leader="none" w:pos="1792" w:val="left"/>
        </w:tabs>
        <w:numPr>
          <w:ilvl w:val="0"/>
          <w:numId w:val="65"/>
        </w:numPr>
        <w:rPr>
          <w:rFonts w:ascii="Arial" w:cs="Arial" w:eastAsia="Arial" w:hAnsi="Arial"/>
          <w:sz w:val="18"/>
          <w:szCs w:val="18"/>
          <w:color w:val="auto"/>
        </w:rPr>
      </w:pPr>
      <w:r>
        <w:rPr>
          <w:rFonts w:ascii="Arial" w:cs="Arial" w:eastAsia="Arial" w:hAnsi="Arial"/>
          <w:sz w:val="22"/>
          <w:szCs w:val="22"/>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226" w:lineRule="exact"/>
        <w:rPr>
          <w:rFonts w:ascii="Arial" w:cs="Arial" w:eastAsia="Arial" w:hAnsi="Arial"/>
          <w:sz w:val="18"/>
          <w:szCs w:val="18"/>
          <w:color w:val="auto"/>
        </w:rPr>
      </w:pPr>
    </w:p>
    <w:p>
      <w:pPr>
        <w:ind w:left="1792" w:hanging="658"/>
        <w:spacing w:after="0" w:line="260" w:lineRule="auto"/>
        <w:tabs>
          <w:tab w:leader="none" w:pos="1792" w:val="left"/>
        </w:tabs>
        <w:numPr>
          <w:ilvl w:val="0"/>
          <w:numId w:val="65"/>
        </w:numPr>
        <w:rPr>
          <w:rFonts w:ascii="Arial" w:cs="Arial" w:eastAsia="Arial" w:hAnsi="Arial"/>
          <w:sz w:val="17"/>
          <w:szCs w:val="17"/>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375" w:right="259" w:bottom="1440" w:gutter="0" w:footer="0" w:header="0"/>
        </w:sectPr>
      </w:pPr>
    </w:p>
    <w:bookmarkStart w:id="150" w:name="page151"/>
    <w:bookmarkEnd w:id="150"/>
    <w:p>
      <w:pPr>
        <w:ind w:right="60"/>
        <w:spacing w:after="0" w:line="294" w:lineRule="auto"/>
        <w:rPr>
          <w:sz w:val="20"/>
          <w:szCs w:val="20"/>
          <w:color w:val="auto"/>
        </w:rPr>
      </w:pPr>
      <w:r>
        <w:rPr>
          <w:rFonts w:ascii="Arial" w:cs="Arial" w:eastAsia="Arial" w:hAnsi="Arial"/>
          <w:sz w:val="19"/>
          <w:szCs w:val="19"/>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4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300" w:right="40" w:hanging="650"/>
        <w:spacing w:after="0" w:line="253"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26" w:lineRule="exact"/>
        <w:rPr>
          <w:rFonts w:ascii="Arial" w:cs="Arial" w:eastAsia="Arial" w:hAnsi="Arial"/>
          <w:sz w:val="18"/>
          <w:szCs w:val="18"/>
          <w:color w:val="auto"/>
        </w:rPr>
      </w:pPr>
    </w:p>
    <w:p>
      <w:pPr>
        <w:ind w:left="1300" w:right="60" w:hanging="650"/>
        <w:spacing w:after="0" w:line="250"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228" w:lineRule="exact"/>
        <w:rPr>
          <w:rFonts w:ascii="Arial" w:cs="Arial" w:eastAsia="Arial" w:hAnsi="Arial"/>
          <w:sz w:val="18"/>
          <w:szCs w:val="18"/>
          <w:color w:val="auto"/>
        </w:rPr>
      </w:pPr>
    </w:p>
    <w:p>
      <w:pPr>
        <w:ind w:left="1300" w:hanging="650"/>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22"/>
          <w:szCs w:val="22"/>
          <w:color w:val="auto"/>
        </w:rPr>
        <w:t>determined to be totally disabled by the Social Security Administration; or</w:t>
      </w:r>
    </w:p>
    <w:p>
      <w:pPr>
        <w:spacing w:after="0" w:line="260" w:lineRule="exact"/>
        <w:rPr>
          <w:rFonts w:ascii="Arial" w:cs="Arial" w:eastAsia="Arial" w:hAnsi="Arial"/>
          <w:sz w:val="18"/>
          <w:szCs w:val="18"/>
          <w:color w:val="auto"/>
        </w:rPr>
      </w:pPr>
    </w:p>
    <w:p>
      <w:pPr>
        <w:ind w:left="1300" w:right="180" w:hanging="650"/>
        <w:spacing w:after="0" w:line="253"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0" w:lineRule="exact"/>
        <w:rPr>
          <w:sz w:val="20"/>
          <w:szCs w:val="20"/>
          <w:color w:val="auto"/>
        </w:rPr>
      </w:pPr>
    </w:p>
    <w:p>
      <w:pPr>
        <w:ind w:left="100"/>
        <w:spacing w:after="0" w:line="288"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b w:val="1"/>
          <w:bCs w:val="1"/>
          <w:color w:val="auto"/>
        </w:rPr>
        <w:t>Related Company</w:t>
      </w:r>
      <w:r>
        <w:rPr>
          <w:rFonts w:ascii="Arial" w:cs="Arial" w:eastAsia="Arial" w:hAnsi="Arial"/>
          <w:sz w:val="19"/>
          <w:szCs w:val="19"/>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w:t>
      </w:r>
    </w:p>
    <w:p>
      <w:pPr>
        <w:spacing w:after="0" w:line="4" w:lineRule="exact"/>
        <w:rPr>
          <w:sz w:val="20"/>
          <w:szCs w:val="20"/>
          <w:color w:val="auto"/>
        </w:rPr>
      </w:pPr>
    </w:p>
    <w:p>
      <w:pPr>
        <w:jc w:val="both"/>
        <w:ind w:left="100" w:right="280"/>
        <w:spacing w:after="0" w:line="245" w:lineRule="auto"/>
        <w:rPr>
          <w:sz w:val="20"/>
          <w:szCs w:val="20"/>
          <w:color w:val="auto"/>
        </w:rPr>
      </w:pPr>
      <w:r>
        <w:rPr>
          <w:rFonts w:ascii="Arial" w:cs="Arial" w:eastAsia="Arial" w:hAnsi="Arial"/>
          <w:sz w:val="22"/>
          <w:szCs w:val="22"/>
          <w:color w:val="auto"/>
        </w:rPr>
        <w:t>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87" w:lineRule="exact"/>
        <w:rPr>
          <w:sz w:val="20"/>
          <w:szCs w:val="20"/>
          <w:color w:val="auto"/>
        </w:rPr>
      </w:pPr>
    </w:p>
    <w:p>
      <w:pPr>
        <w:ind w:left="100"/>
        <w:spacing w:after="0" w:line="263" w:lineRule="auto"/>
        <w:rPr>
          <w:sz w:val="20"/>
          <w:szCs w:val="20"/>
          <w:color w:val="auto"/>
        </w:rPr>
      </w:pPr>
      <w:r>
        <w:rPr>
          <w:rFonts w:ascii="Arial" w:cs="Arial" w:eastAsia="Arial" w:hAnsi="Arial"/>
          <w:sz w:val="21"/>
          <w:szCs w:val="21"/>
          <w:color w:val="auto"/>
        </w:rPr>
        <w:t>12.6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0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800" w:top="375" w:right="259" w:bottom="1440" w:gutter="0" w:footer="0" w:header="0"/>
        </w:sectPr>
      </w:pPr>
    </w:p>
    <w:bookmarkStart w:id="151" w:name="page152"/>
    <w:bookmarkEnd w:id="151"/>
    <w:p>
      <w:pPr>
        <w:ind w:left="4" w:right="180"/>
        <w:spacing w:after="0" w:line="262"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b w:val="1"/>
          <w:bCs w:val="1"/>
          <w:color w:val="auto"/>
        </w:rPr>
        <w:t>Section 409A</w:t>
      </w:r>
      <w:r>
        <w:rPr>
          <w:rFonts w:ascii="Arial" w:cs="Arial" w:eastAsia="Arial" w:hAnsi="Arial"/>
          <w:sz w:val="22"/>
          <w:szCs w:val="22"/>
          <w:color w:val="auto"/>
        </w:rPr>
        <w:t>” means Section 409A of the Code and Treasury Regulations section 1.409A-1 et seq., as they both may be amended from time to time, or other guidance issued by the Treasury Department and Internal Revenue Service thereunder.</w:t>
      </w:r>
    </w:p>
    <w:p>
      <w:pPr>
        <w:spacing w:after="0" w:line="171" w:lineRule="exact"/>
        <w:rPr>
          <w:sz w:val="20"/>
          <w:szCs w:val="20"/>
          <w:color w:val="auto"/>
        </w:rPr>
      </w:pPr>
    </w:p>
    <w:p>
      <w:pPr>
        <w:ind w:left="4"/>
        <w:spacing w:after="0" w:line="286" w:lineRule="auto"/>
        <w:rPr>
          <w:sz w:val="20"/>
          <w:szCs w:val="20"/>
          <w:color w:val="auto"/>
        </w:rPr>
      </w:pPr>
      <w:r>
        <w:rPr>
          <w:rFonts w:ascii="Arial" w:cs="Arial" w:eastAsia="Arial" w:hAnsi="Arial"/>
          <w:sz w:val="19"/>
          <w:szCs w:val="19"/>
          <w:color w:val="auto"/>
        </w:rPr>
        <w:t>12.8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w:t>
      </w:r>
    </w:p>
    <w:p>
      <w:pPr>
        <w:spacing w:after="0" w:line="4" w:lineRule="exact"/>
        <w:rPr>
          <w:sz w:val="20"/>
          <w:szCs w:val="20"/>
          <w:color w:val="auto"/>
        </w:rPr>
      </w:pPr>
    </w:p>
    <w:p>
      <w:pPr>
        <w:ind w:left="4" w:right="280" w:hanging="4"/>
        <w:spacing w:after="0" w:line="262" w:lineRule="auto"/>
        <w:tabs>
          <w:tab w:leader="none" w:pos="310" w:val="left"/>
        </w:tabs>
        <w:numPr>
          <w:ilvl w:val="0"/>
          <w:numId w:val="67"/>
        </w:numPr>
        <w:rPr>
          <w:rFonts w:ascii="Arial" w:cs="Arial" w:eastAsia="Arial" w:hAnsi="Arial"/>
          <w:sz w:val="21"/>
          <w:szCs w:val="21"/>
          <w:color w:val="auto"/>
        </w:rPr>
      </w:pPr>
      <w:r>
        <w:rPr>
          <w:rFonts w:ascii="Arial" w:cs="Arial" w:eastAsia="Arial" w:hAnsi="Arial"/>
          <w:sz w:val="21"/>
          <w:szCs w:val="21"/>
          <w:color w:val="auto"/>
        </w:rPr>
        <w:t>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71" w:lineRule="exact"/>
        <w:rPr>
          <w:sz w:val="20"/>
          <w:szCs w:val="20"/>
          <w:color w:val="auto"/>
        </w:rPr>
      </w:pPr>
    </w:p>
    <w:p>
      <w:pPr>
        <w:ind w:left="4" w:right="40" w:firstLine="68"/>
        <w:spacing w:after="0" w:line="309" w:lineRule="auto"/>
        <w:rPr>
          <w:sz w:val="20"/>
          <w:szCs w:val="20"/>
          <w:color w:val="auto"/>
        </w:rPr>
      </w:pPr>
      <w:r>
        <w:rPr>
          <w:rFonts w:ascii="Arial" w:cs="Arial" w:eastAsia="Arial" w:hAnsi="Arial"/>
          <w:sz w:val="19"/>
          <w:szCs w:val="19"/>
          <w:color w:val="auto"/>
        </w:rPr>
        <w:t>12.9 “</w:t>
      </w:r>
      <w:r>
        <w:rPr>
          <w:rFonts w:ascii="Arial" w:cs="Arial" w:eastAsia="Arial" w:hAnsi="Arial"/>
          <w:sz w:val="19"/>
          <w:szCs w:val="19"/>
          <w:b w:val="1"/>
          <w:bCs w:val="1"/>
          <w:color w:val="auto"/>
        </w:rPr>
        <w:t>Specified Employee</w:t>
      </w:r>
      <w:r>
        <w:rPr>
          <w:rFonts w:ascii="Arial" w:cs="Arial" w:eastAsia="Arial" w:hAnsi="Arial"/>
          <w:sz w:val="19"/>
          <w:szCs w:val="19"/>
          <w:color w:val="auto"/>
        </w:rPr>
        <w:t>” 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pacing w:after="0" w:line="373"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64"/>
          </w:cols>
          <w:pgMar w:left="896" w:top="368"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10(i)6</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GRANT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2017]</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[Eligible Executive Employees]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right="100"/>
        <w:spacing w:after="0" w:line="265" w:lineRule="auto"/>
        <w:rPr>
          <w:sz w:val="20"/>
          <w:szCs w:val="20"/>
          <w:color w:val="auto"/>
        </w:rPr>
      </w:pPr>
      <w:r>
        <w:rPr>
          <w:rFonts w:ascii="Arial" w:cs="Arial" w:eastAsia="Arial" w:hAnsi="Arial"/>
          <w:sz w:val="21"/>
          <w:szCs w:val="21"/>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Performance Shares, as set forth below, subject to the terms and conditions set forth in this Grant, including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Annex B</w:t>
      </w:r>
      <w:r>
        <w:rPr>
          <w:rFonts w:ascii="Arial" w:cs="Arial" w:eastAsia="Arial" w:hAnsi="Arial"/>
          <w:sz w:val="21"/>
          <w:szCs w:val="21"/>
          <w:color w:val="auto"/>
        </w:rPr>
        <w:t xml:space="preserve"> hereto and all documents incorporated herein by reference:</w:t>
      </w:r>
    </w:p>
    <w:p>
      <w:pPr>
        <w:spacing w:after="0" w:line="3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Number of Performance Shares Granted:</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Date of Grant: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Performance Period:</w:t>
      </w:r>
    </w:p>
    <w:p>
      <w:pPr>
        <w:spacing w:after="0" w:line="56" w:lineRule="exact"/>
        <w:rPr>
          <w:sz w:val="20"/>
          <w:szCs w:val="20"/>
          <w:color w:val="auto"/>
        </w:rPr>
      </w:pPr>
    </w:p>
    <w:p>
      <w:pPr>
        <w:ind w:left="880"/>
        <w:spacing w:after="0"/>
        <w:tabs>
          <w:tab w:leader="none" w:pos="5540" w:val="left"/>
        </w:tabs>
        <w:rPr>
          <w:sz w:val="20"/>
          <w:szCs w:val="20"/>
          <w:color w:val="auto"/>
        </w:rPr>
      </w:pPr>
      <w:r>
        <w:rPr>
          <w:rFonts w:ascii="Arial" w:cs="Arial" w:eastAsia="Arial" w:hAnsi="Arial"/>
          <w:sz w:val="18"/>
          <w:szCs w:val="18"/>
          <w:color w:val="auto"/>
        </w:rPr>
        <w:t>Performance Goals:</w:t>
      </w:r>
      <w:r>
        <w:rPr>
          <w:sz w:val="20"/>
          <w:szCs w:val="20"/>
          <w:color w:val="auto"/>
        </w:rPr>
        <w:tab/>
      </w:r>
      <w:r>
        <w:rPr>
          <w:rFonts w:ascii="Arial" w:cs="Arial" w:eastAsia="Arial" w:hAnsi="Arial"/>
          <w:sz w:val="19"/>
          <w:szCs w:val="19"/>
          <w:color w:val="auto"/>
        </w:rPr>
        <w:t xml:space="preserve">See </w:t>
      </w:r>
      <w:r>
        <w:rPr>
          <w:rFonts w:ascii="Arial" w:cs="Arial" w:eastAsia="Arial" w:hAnsi="Arial"/>
          <w:sz w:val="19"/>
          <w:szCs w:val="19"/>
          <w:u w:val="single" w:color="auto"/>
          <w:color w:val="auto"/>
        </w:rPr>
        <w:t>Annex B</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20"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 xml:space="preserve">Further terms and conditions of the Grant are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Performance Goals are set forth in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hereto, both of which are integral parts of this Grant.</w:t>
      </w:r>
    </w:p>
    <w:p>
      <w:pPr>
        <w:spacing w:after="0" w:line="175" w:lineRule="exact"/>
        <w:rPr>
          <w:sz w:val="20"/>
          <w:szCs w:val="20"/>
          <w:color w:val="auto"/>
        </w:rPr>
      </w:pPr>
    </w:p>
    <w:p>
      <w:pPr>
        <w:ind w:right="160"/>
        <w:spacing w:after="0" w:line="343" w:lineRule="auto"/>
        <w:rPr>
          <w:sz w:val="20"/>
          <w:szCs w:val="20"/>
          <w:color w:val="auto"/>
        </w:rPr>
      </w:pPr>
      <w:r>
        <w:rPr>
          <w:rFonts w:ascii="Arial" w:cs="Arial" w:eastAsia="Arial" w:hAnsi="Arial"/>
          <w:sz w:val="19"/>
          <w:szCs w:val="19"/>
          <w:color w:val="auto"/>
        </w:rPr>
        <w:t>Any term, provision or condition applicable to the Performance Shares set forth in the Plan and not set forth herein is hereby incorporated by reference. To the extent any provision hereof is inconsistent with a Plan provision, the Plan provision will govern.</w:t>
      </w:r>
    </w:p>
    <w:p>
      <w:pPr>
        <w:spacing w:after="0" w:line="105" w:lineRule="exact"/>
        <w:rPr>
          <w:sz w:val="20"/>
          <w:szCs w:val="20"/>
          <w:color w:val="auto"/>
        </w:rPr>
      </w:pPr>
    </w:p>
    <w:p>
      <w:pPr>
        <w:jc w:val="both"/>
        <w:ind w:right="660"/>
        <w:spacing w:after="0" w:line="253" w:lineRule="auto"/>
        <w:rPr>
          <w:sz w:val="20"/>
          <w:szCs w:val="20"/>
          <w:color w:val="auto"/>
        </w:rPr>
      </w:pPr>
      <w:r>
        <w:rPr>
          <w:rFonts w:ascii="Arial" w:cs="Arial" w:eastAsia="Arial" w:hAnsi="Arial"/>
          <w:sz w:val="22"/>
          <w:szCs w:val="22"/>
          <w:color w:val="auto"/>
        </w:rPr>
        <w:t xml:space="preserve">YOU SHOULD CAREFULLY READ AND REVIEW THE TERMS AND CONDITIONS SET FORTH IN THIS GRANT, INCLUDING </w:t>
      </w:r>
      <w:r>
        <w:rPr>
          <w:rFonts w:ascii="Arial" w:cs="Arial" w:eastAsia="Arial" w:hAnsi="Arial"/>
          <w:sz w:val="22"/>
          <w:szCs w:val="22"/>
          <w:u w:val="single" w:color="auto"/>
          <w:color w:val="auto"/>
        </w:rPr>
        <w:t>ANNEX A HERETO</w:t>
      </w:r>
      <w:r>
        <w:rPr>
          <w:rFonts w:ascii="Arial" w:cs="Arial" w:eastAsia="Arial" w:hAnsi="Arial"/>
          <w:sz w:val="22"/>
          <w:szCs w:val="22"/>
          <w:color w:val="auto"/>
        </w:rPr>
        <w:t>, WHICH CONTAINS IMPORTANT INFORMATION, INCLUDING MANDATORY CLAIMS AND ARBITRATION PROCEDURES.</w:t>
      </w:r>
    </w:p>
    <w:p>
      <w:pPr>
        <w:spacing w:after="0" w:line="186" w:lineRule="exact"/>
        <w:rPr>
          <w:sz w:val="20"/>
          <w:szCs w:val="20"/>
          <w:color w:val="auto"/>
        </w:rPr>
      </w:pPr>
    </w:p>
    <w:p>
      <w:pPr>
        <w:ind w:right="280"/>
        <w:spacing w:after="0" w:line="312" w:lineRule="auto"/>
        <w:rPr>
          <w:sz w:val="20"/>
          <w:szCs w:val="20"/>
          <w:color w:val="auto"/>
        </w:rPr>
      </w:pPr>
      <w:r>
        <w:rPr>
          <w:rFonts w:ascii="Arial" w:cs="Arial" w:eastAsia="Arial" w:hAnsi="Arial"/>
          <w:sz w:val="19"/>
          <w:szCs w:val="19"/>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Manager–Compensation and Benefits, in writing within sixty (60) days of the Date of Grant.</w:t>
      </w:r>
    </w:p>
    <w:p>
      <w:pPr>
        <w:spacing w:after="0" w:line="134"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 WITNESS WHEREOF, ALLETE has caused this Grant to be executed by its Chairman, President and Chief Executive Officer as of the date and year first above written.</w:t>
      </w: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ALLETE</w:t>
      </w: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15608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Chairman, President &amp; CEO</w:t>
      </w:r>
    </w:p>
    <w:p>
      <w:pPr>
        <w:spacing w:after="0" w:line="29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Attachments:</w:t>
      </w:r>
      <w:r>
        <w:rPr>
          <w:sz w:val="20"/>
          <w:szCs w:val="20"/>
          <w:color w:val="auto"/>
        </w:rPr>
        <w:tab/>
      </w:r>
      <w:r>
        <w:rPr>
          <w:rFonts w:ascii="Arial" w:cs="Arial" w:eastAsia="Arial" w:hAnsi="Arial"/>
          <w:sz w:val="19"/>
          <w:szCs w:val="19"/>
          <w:u w:val="single" w:color="auto"/>
          <w:color w:val="auto"/>
        </w:rPr>
        <w:t xml:space="preserve">Annex A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Annex B</w:t>
      </w:r>
    </w:p>
    <w:p>
      <w:pPr>
        <w:sectPr>
          <w:pgSz w:w="11900" w:h="16838" w:orient="portrait"/>
          <w:cols w:equalWidth="0" w:num="1">
            <w:col w:w="11420"/>
          </w:cols>
          <w:pgMar w:left="240" w:top="121"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3"/>
          <w:szCs w:val="23"/>
          <w:b w:val="1"/>
          <w:bCs w:val="1"/>
          <w:u w:val="single" w:color="auto"/>
          <w:color w:val="auto"/>
        </w:rPr>
        <w:t>ANNEX 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ALLETE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EXECUTIVE LONG-TERM INCENTIVE COMPENSATION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PERFORMANCE SHARE GRANT</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21"/>
          <w:szCs w:val="21"/>
          <w:color w:val="auto"/>
        </w:rPr>
        <w:t>The Performance Share Grant to which this is annexed is subject to the following additional terms and conditions:</w:t>
      </w:r>
    </w:p>
    <w:p>
      <w:pPr>
        <w:spacing w:after="0" w:line="231" w:lineRule="exact"/>
        <w:rPr>
          <w:sz w:val="20"/>
          <w:szCs w:val="20"/>
          <w:color w:val="auto"/>
        </w:rPr>
      </w:pPr>
    </w:p>
    <w:p>
      <w:pPr>
        <w:ind w:left="-60" w:right="120" w:firstLine="656"/>
        <w:spacing w:after="0" w:line="248" w:lineRule="auto"/>
        <w:tabs>
          <w:tab w:leader="none" w:pos="93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xml:space="preserve"> You will receive Dividend Equivalents with respect to Performance Shares that are earned and payable. Dividend Equivalents are calculated and credited to you after the Performance Period has ended. The Dividend Equivalents will be in the form of additional Performance Shares, which will be added to the number of Performance Shares earned,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underlying Performance Shares, if such Performance Shares were Shares. Dividend Equivalents will only become payable if and to the extent the underlying Performance Shares are earned and become payable.</w:t>
      </w:r>
    </w:p>
    <w:p>
      <w:pPr>
        <w:spacing w:after="0" w:line="191" w:lineRule="exact"/>
        <w:rPr>
          <w:rFonts w:ascii="Arial" w:cs="Arial" w:eastAsia="Arial" w:hAnsi="Arial"/>
          <w:sz w:val="22"/>
          <w:szCs w:val="22"/>
          <w:color w:val="auto"/>
        </w:rPr>
      </w:pPr>
    </w:p>
    <w:p>
      <w:pPr>
        <w:ind w:left="-60" w:right="40" w:firstLine="656"/>
        <w:spacing w:after="0" w:line="291" w:lineRule="auto"/>
        <w:tabs>
          <w:tab w:leader="none" w:pos="93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Satisfaction of Goals.</w:t>
      </w:r>
      <w:r>
        <w:rPr>
          <w:rFonts w:ascii="Arial" w:cs="Arial" w:eastAsia="Arial" w:hAnsi="Arial"/>
          <w:sz w:val="19"/>
          <w:szCs w:val="19"/>
          <w:color w:val="auto"/>
        </w:rPr>
        <w:t xml:space="preserve"> Performance Shares remain unearned unless and until Performance Goals are achieved. After the Performance Period has ended, the Executive Compensation Committee (the “Committee”) will determine the extent to which the Performance Goals have been met. You will not earn any Performance Shares if the threshold performance level has not been met. Subject to the provisions of Section 4 below and to provisions in the Plan for change in control, Performance Shares will be earned as follows: If the threshold level has been met, you will have earned 50% of the Performance Shares (as increased by the Dividend Equivalents). If the target level has been met, you will have earned 100% of the Performance Shares (as increased by the Dividend Equivalents). If the superior level has been met, you will have earned 200% of the Performance Shares (as increased by the Dividend Equivalents). Straight line interpolation will be used to determine earned awards based on achievement of goals between the threshold, target and superior levels.</w:t>
      </w:r>
    </w:p>
    <w:p>
      <w:pPr>
        <w:spacing w:after="0" w:line="154" w:lineRule="exact"/>
        <w:rPr>
          <w:rFonts w:ascii="Arial" w:cs="Arial" w:eastAsia="Arial" w:hAnsi="Arial"/>
          <w:sz w:val="19"/>
          <w:szCs w:val="19"/>
          <w:color w:val="auto"/>
        </w:rPr>
      </w:pPr>
    </w:p>
    <w:p>
      <w:pPr>
        <w:ind w:left="-60" w:firstLine="656"/>
        <w:spacing w:after="0" w:line="300" w:lineRule="auto"/>
        <w:tabs>
          <w:tab w:leader="none" w:pos="93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Subject to the provisions of Section 4 below and to provisions in the Plan for Change in Control, Performance Shares (as increased by the Dividend Equivalents) shall be paid in full after the Committee has determined the extent to which Performance Goals have been met and within two and one half months after the end of the Performance Period. Payment shall be made, after withholding Performance Shares in an amount equal in value to the minimum amount of tax required to be withheld by law, by depositing ALLETE common stock into your Invest Direct account. Performance Share awards shall not vest until paid.</w:t>
      </w:r>
    </w:p>
    <w:p>
      <w:pPr>
        <w:spacing w:after="0" w:line="147" w:lineRule="exact"/>
        <w:rPr>
          <w:rFonts w:ascii="Arial" w:cs="Arial" w:eastAsia="Arial" w:hAnsi="Arial"/>
          <w:sz w:val="19"/>
          <w:szCs w:val="19"/>
          <w:color w:val="auto"/>
        </w:rPr>
      </w:pPr>
    </w:p>
    <w:p>
      <w:pPr>
        <w:ind w:left="-60" w:right="940" w:firstLine="656"/>
        <w:spacing w:after="0" w:line="301" w:lineRule="auto"/>
        <w:tabs>
          <w:tab w:leader="none" w:pos="93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Payment Upon Death, Retirement or Disability; Forfeiture of Unvested Performance Shares Upon Demotion, Unsatisfactory Job Performance, Default on Certain Agreements or Other Separation from Service.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300" w:top="351" w:right="279" w:bottom="1440" w:gutter="0" w:footer="0" w:header="0"/>
        </w:sectPr>
      </w:pPr>
    </w:p>
    <w:bookmarkStart w:id="154" w:name="page155"/>
    <w:bookmarkEnd w:id="154"/>
    <w:p>
      <w:pPr>
        <w:ind w:left="660" w:right="140" w:firstLine="648"/>
        <w:spacing w:after="0" w:line="281" w:lineRule="auto"/>
        <w:rPr>
          <w:sz w:val="20"/>
          <w:szCs w:val="20"/>
          <w:color w:val="auto"/>
        </w:rPr>
      </w:pPr>
      <w:r>
        <w:rPr>
          <w:rFonts w:ascii="Arial" w:cs="Arial" w:eastAsia="Arial" w:hAnsi="Arial"/>
          <w:sz w:val="20"/>
          <w:szCs w:val="20"/>
          <w:color w:val="auto"/>
        </w:rPr>
        <w:t>4.1 If during a Performance Period you (i) Retire, (ii) die while employed by a Related Company, or (iii) become Disabled, you (or your beneficiary or estate) will receive a payment of any Performance Shares (as increased by the Dividend Equivalents) after the end of the Performance Period in accordance with Section 3 above. The payment shall be prorated based upon the number of whole calendar months within the Performance Period which had elapsed as of the date of death, Retirement or Disability in relation to the number of calendar months in the full Performance Period. A whole month is counted in the calculation if you were in the position as of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month.</w:t>
      </w:r>
    </w:p>
    <w:p>
      <w:pPr>
        <w:spacing w:after="0" w:line="73" w:lineRule="exact"/>
        <w:rPr>
          <w:sz w:val="20"/>
          <w:szCs w:val="20"/>
          <w:color w:val="auto"/>
        </w:rPr>
      </w:pPr>
    </w:p>
    <w:p>
      <w:pPr>
        <w:jc w:val="both"/>
        <w:ind w:left="660" w:right="100" w:firstLine="648"/>
        <w:spacing w:after="0" w:line="260" w:lineRule="auto"/>
        <w:rPr>
          <w:sz w:val="20"/>
          <w:szCs w:val="20"/>
          <w:color w:val="auto"/>
        </w:rPr>
      </w:pPr>
      <w:r>
        <w:rPr>
          <w:rFonts w:ascii="Arial" w:cs="Arial" w:eastAsia="Arial" w:hAnsi="Arial"/>
          <w:sz w:val="22"/>
          <w:szCs w:val="22"/>
          <w:color w:val="auto"/>
        </w:rPr>
        <w:t>4.2 If after the end of a Performance Period, but before any or all Performance Shares have been paid, you Retire, die or become Disabled, you (or your beneficiary or estate) will be entitled to full payout of all earned Performance Shares (as increased by the Dividend Equivalents) in accordance with Section 3 above.</w:t>
      </w:r>
    </w:p>
    <w:p>
      <w:pPr>
        <w:spacing w:after="0" w:line="177" w:lineRule="exact"/>
        <w:rPr>
          <w:sz w:val="20"/>
          <w:szCs w:val="20"/>
          <w:color w:val="auto"/>
        </w:rPr>
      </w:pPr>
    </w:p>
    <w:p>
      <w:pPr>
        <w:ind w:left="660" w:right="200" w:firstLine="648"/>
        <w:spacing w:after="0" w:line="300" w:lineRule="auto"/>
        <w:rPr>
          <w:sz w:val="20"/>
          <w:szCs w:val="20"/>
          <w:color w:val="auto"/>
        </w:rPr>
      </w:pPr>
      <w:r>
        <w:rPr>
          <w:rFonts w:ascii="Arial" w:cs="Arial" w:eastAsia="Arial" w:hAnsi="Arial"/>
          <w:sz w:val="19"/>
          <w:szCs w:val="19"/>
          <w:color w:val="auto"/>
        </w:rPr>
        <w:t>4.3 If, prior to payment of all Performance Shares, you are demoted, you default on any written agreement with a Related Company related to a restrictive employment covenant (such as confidentiality, non-disclosure, non-competition, non-solicitation, or the like) or ALLETE determines, in its sole discretion, that your job performance is unsatisfactory, ALLETE reserves the right to cancel or amend your grant relating to any unpaid Performance Shares, with the result that some portion or all of your unpaid Performance Shares (and related Dividend Equivalents) will be forfeited.</w:t>
      </w:r>
    </w:p>
    <w:p>
      <w:pPr>
        <w:spacing w:after="0" w:line="188" w:lineRule="exact"/>
        <w:rPr>
          <w:sz w:val="20"/>
          <w:szCs w:val="20"/>
          <w:color w:val="auto"/>
        </w:rPr>
      </w:pPr>
    </w:p>
    <w:p>
      <w:pPr>
        <w:jc w:val="both"/>
        <w:ind w:left="660" w:right="420" w:firstLine="648"/>
        <w:spacing w:after="0" w:line="260" w:lineRule="auto"/>
        <w:rPr>
          <w:sz w:val="20"/>
          <w:szCs w:val="20"/>
          <w:color w:val="auto"/>
        </w:rPr>
      </w:pPr>
      <w:r>
        <w:rPr>
          <w:rFonts w:ascii="Arial" w:cs="Arial" w:eastAsia="Arial" w:hAnsi="Arial"/>
          <w:sz w:val="22"/>
          <w:szCs w:val="22"/>
          <w:color w:val="auto"/>
        </w:rPr>
        <w:t>4.4 If you have a Separation from Service for any reason other than those specified in subsection 4.1 above, all Performance Shares (and related Dividend Equivalents), to the extent not yet paid, shall be forfeited on the date of such Separation from Service, except as otherwise provided by the Committee.</w:t>
      </w:r>
    </w:p>
    <w:p>
      <w:pPr>
        <w:spacing w:after="0" w:line="177" w:lineRule="exact"/>
        <w:rPr>
          <w:sz w:val="20"/>
          <w:szCs w:val="20"/>
          <w:color w:val="auto"/>
        </w:rPr>
      </w:pPr>
    </w:p>
    <w:p>
      <w:pPr>
        <w:ind w:right="180" w:firstLine="656"/>
        <w:spacing w:after="0" w:line="260" w:lineRule="auto"/>
        <w:tabs>
          <w:tab w:leader="none" w:pos="99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77" w:lineRule="exact"/>
        <w:rPr>
          <w:rFonts w:ascii="Arial" w:cs="Arial" w:eastAsia="Arial" w:hAnsi="Arial"/>
          <w:sz w:val="22"/>
          <w:szCs w:val="22"/>
          <w:color w:val="auto"/>
        </w:rPr>
      </w:pPr>
    </w:p>
    <w:p>
      <w:pPr>
        <w:ind w:firstLine="656"/>
        <w:spacing w:after="0" w:line="290" w:lineRule="auto"/>
        <w:tabs>
          <w:tab w:leader="none" w:pos="990" w:val="left"/>
        </w:tabs>
        <w:numPr>
          <w:ilvl w:val="0"/>
          <w:numId w:val="69"/>
        </w:numPr>
        <w:rPr>
          <w:rFonts w:ascii="Arial" w:cs="Arial" w:eastAsia="Arial" w:hAnsi="Arial"/>
          <w:sz w:val="19"/>
          <w:szCs w:val="19"/>
          <w:color w:val="auto"/>
        </w:rPr>
      </w:pPr>
      <w:r>
        <w:rPr>
          <w:rFonts w:ascii="Arial" w:cs="Arial" w:eastAsia="Arial" w:hAnsi="Arial"/>
          <w:sz w:val="19"/>
          <w:szCs w:val="19"/>
          <w:color w:val="auto"/>
        </w:rPr>
        <w:t>Section 409A Compliance. This Grant is intended to comply with Section 409A of the Code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96" w:lineRule="exact"/>
        <w:rPr>
          <w:rFonts w:ascii="Arial" w:cs="Arial" w:eastAsia="Arial" w:hAnsi="Arial"/>
          <w:sz w:val="19"/>
          <w:szCs w:val="19"/>
          <w:color w:val="auto"/>
        </w:rPr>
      </w:pPr>
    </w:p>
    <w:p>
      <w:pPr>
        <w:ind w:left="1000" w:hanging="344"/>
        <w:spacing w:after="0"/>
        <w:tabs>
          <w:tab w:leader="none" w:pos="100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155" w:name="page156"/>
    <w:bookmarkEnd w:id="155"/>
    <w:p>
      <w:pPr>
        <w:ind w:right="20" w:firstLine="648"/>
        <w:spacing w:after="0" w:line="25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185" w:lineRule="exact"/>
        <w:rPr>
          <w:sz w:val="20"/>
          <w:szCs w:val="20"/>
          <w:color w:val="auto"/>
        </w:rPr>
      </w:pPr>
    </w:p>
    <w:p>
      <w:pPr>
        <w:ind w:right="80" w:firstLine="648"/>
        <w:spacing w:after="0" w:line="270"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Notice of Denial</w:t>
      </w:r>
      <w:r>
        <w:rPr>
          <w:rFonts w:ascii="Arial" w:cs="Arial" w:eastAsia="Arial" w:hAnsi="Arial"/>
          <w:sz w:val="21"/>
          <w:szCs w:val="21"/>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169" w:lineRule="exact"/>
        <w:rPr>
          <w:sz w:val="20"/>
          <w:szCs w:val="20"/>
          <w:color w:val="auto"/>
        </w:rPr>
      </w:pPr>
    </w:p>
    <w:p>
      <w:pPr>
        <w:ind w:right="260" w:firstLine="648"/>
        <w:spacing w:after="0" w:line="35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Arbitration</w:t>
      </w:r>
      <w:r>
        <w:rPr>
          <w:rFonts w:ascii="Arial" w:cs="Arial" w:eastAsia="Arial" w:hAnsi="Arial"/>
          <w:sz w:val="19"/>
          <w:szCs w:val="19"/>
          <w:color w:val="auto"/>
        </w:rPr>
        <w:t>. If, after exhausting the procedures set forth above, a Claimant wishes to pursue legal action, any action by the Claimant with respect to a claim, must be resolved by arbitration in the manner described herein.</w:t>
      </w:r>
    </w:p>
    <w:p>
      <w:pPr>
        <w:spacing w:after="0" w:line="91" w:lineRule="exact"/>
        <w:rPr>
          <w:sz w:val="20"/>
          <w:szCs w:val="20"/>
          <w:color w:val="auto"/>
        </w:rPr>
      </w:pPr>
    </w:p>
    <w:p>
      <w:pPr>
        <w:ind w:left="1300" w:right="80" w:hanging="331"/>
        <w:spacing w:after="0" w:line="250" w:lineRule="auto"/>
        <w:tabs>
          <w:tab w:leader="none" w:pos="1300" w:val="left"/>
        </w:tabs>
        <w:numPr>
          <w:ilvl w:val="0"/>
          <w:numId w:val="70"/>
        </w:numPr>
        <w:rPr>
          <w:rFonts w:ascii="Arial" w:cs="Arial" w:eastAsia="Arial" w:hAnsi="Arial"/>
          <w:sz w:val="18"/>
          <w:szCs w:val="18"/>
          <w:i w:val="1"/>
          <w:iCs w:val="1"/>
          <w:color w:val="auto"/>
        </w:rPr>
      </w:pPr>
      <w:r>
        <w:rPr>
          <w:rFonts w:ascii="Arial" w:cs="Arial" w:eastAsia="Arial" w:hAnsi="Arial"/>
          <w:sz w:val="22"/>
          <w:szCs w:val="22"/>
          <w:u w:val="single" w:color="auto"/>
          <w:color w:val="auto"/>
        </w:rPr>
        <w:t>Time Limits</w:t>
      </w:r>
      <w:r>
        <w:rPr>
          <w:rFonts w:ascii="Arial" w:cs="Arial" w:eastAsia="Arial" w:hAnsi="Arial"/>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228" w:lineRule="exact"/>
        <w:rPr>
          <w:rFonts w:ascii="Arial" w:cs="Arial" w:eastAsia="Arial" w:hAnsi="Arial"/>
          <w:sz w:val="18"/>
          <w:szCs w:val="18"/>
          <w:i w:val="1"/>
          <w:iCs w:val="1"/>
          <w:color w:val="auto"/>
        </w:rPr>
      </w:pPr>
    </w:p>
    <w:p>
      <w:pPr>
        <w:ind w:left="1300" w:right="940" w:hanging="331"/>
        <w:spacing w:after="0" w:line="263" w:lineRule="auto"/>
        <w:tabs>
          <w:tab w:leader="none" w:pos="1300" w:val="left"/>
        </w:tabs>
        <w:numPr>
          <w:ilvl w:val="0"/>
          <w:numId w:val="70"/>
        </w:numPr>
        <w:rPr>
          <w:rFonts w:ascii="Arial" w:cs="Arial" w:eastAsia="Arial" w:hAnsi="Arial"/>
          <w:sz w:val="18"/>
          <w:szCs w:val="18"/>
          <w:i w:val="1"/>
          <w:iCs w:val="1"/>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spacing w:after="0" w:line="215" w:lineRule="exact"/>
        <w:rPr>
          <w:rFonts w:ascii="Arial" w:cs="Arial" w:eastAsia="Arial" w:hAnsi="Arial"/>
          <w:sz w:val="18"/>
          <w:szCs w:val="18"/>
          <w:i w:val="1"/>
          <w:iCs w:val="1"/>
          <w:color w:val="auto"/>
        </w:rPr>
      </w:pPr>
    </w:p>
    <w:p>
      <w:pPr>
        <w:ind w:left="1300" w:hanging="331"/>
        <w:spacing w:after="0"/>
        <w:tabs>
          <w:tab w:leader="none" w:pos="1300" w:val="left"/>
        </w:tabs>
        <w:numPr>
          <w:ilvl w:val="0"/>
          <w:numId w:val="70"/>
        </w:numPr>
        <w:rPr>
          <w:rFonts w:ascii="Arial" w:cs="Arial" w:eastAsia="Arial" w:hAnsi="Arial"/>
          <w:sz w:val="18"/>
          <w:szCs w:val="18"/>
          <w:i w:val="1"/>
          <w:iCs w:val="1"/>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260" w:lineRule="exact"/>
        <w:rPr>
          <w:rFonts w:ascii="Arial" w:cs="Arial" w:eastAsia="Arial" w:hAnsi="Arial"/>
          <w:sz w:val="18"/>
          <w:szCs w:val="18"/>
          <w:i w:val="1"/>
          <w:iCs w:val="1"/>
          <w:color w:val="auto"/>
        </w:rPr>
      </w:pPr>
    </w:p>
    <w:p>
      <w:pPr>
        <w:ind w:left="1300" w:right="80" w:hanging="331"/>
        <w:spacing w:after="0" w:line="247" w:lineRule="auto"/>
        <w:tabs>
          <w:tab w:leader="none" w:pos="1300" w:val="left"/>
        </w:tabs>
        <w:numPr>
          <w:ilvl w:val="0"/>
          <w:numId w:val="70"/>
        </w:numPr>
        <w:rPr>
          <w:rFonts w:ascii="Arial" w:cs="Arial" w:eastAsia="Arial" w:hAnsi="Arial"/>
          <w:sz w:val="18"/>
          <w:szCs w:val="18"/>
          <w:i w:val="1"/>
          <w:iCs w:val="1"/>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234" w:lineRule="exact"/>
        <w:rPr>
          <w:rFonts w:ascii="Arial" w:cs="Arial" w:eastAsia="Arial" w:hAnsi="Arial"/>
          <w:sz w:val="18"/>
          <w:szCs w:val="18"/>
          <w:i w:val="1"/>
          <w:iCs w:val="1"/>
          <w:color w:val="auto"/>
        </w:rPr>
      </w:pPr>
    </w:p>
    <w:p>
      <w:pPr>
        <w:ind w:left="1300" w:right="640" w:hanging="331"/>
        <w:spacing w:after="0" w:line="263" w:lineRule="auto"/>
        <w:tabs>
          <w:tab w:leader="none" w:pos="1300" w:val="left"/>
        </w:tabs>
        <w:numPr>
          <w:ilvl w:val="0"/>
          <w:numId w:val="70"/>
        </w:numPr>
        <w:rPr>
          <w:rFonts w:ascii="Arial" w:cs="Arial" w:eastAsia="Arial" w:hAnsi="Arial"/>
          <w:sz w:val="18"/>
          <w:szCs w:val="18"/>
          <w:i w:val="1"/>
          <w:iCs w:val="1"/>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900" w:top="375" w:right="259" w:bottom="1440" w:gutter="0" w:footer="0" w:header="0"/>
        </w:sectPr>
      </w:pPr>
    </w:p>
    <w:bookmarkStart w:id="156" w:name="page157"/>
    <w:bookmarkEnd w:id="156"/>
    <w:p>
      <w:pPr>
        <w:ind w:left="760" w:right="60" w:hanging="331"/>
        <w:spacing w:after="0" w:line="247" w:lineRule="auto"/>
        <w:tabs>
          <w:tab w:leader="none" w:pos="760" w:val="left"/>
        </w:tabs>
        <w:numPr>
          <w:ilvl w:val="0"/>
          <w:numId w:val="71"/>
        </w:numPr>
        <w:rPr>
          <w:rFonts w:ascii="Arial" w:cs="Arial" w:eastAsia="Arial" w:hAnsi="Arial"/>
          <w:sz w:val="18"/>
          <w:szCs w:val="18"/>
          <w:i w:val="1"/>
          <w:iCs w:val="1"/>
          <w:color w:val="auto"/>
        </w:rPr>
      </w:pPr>
      <w:r>
        <w:rPr>
          <w:rFonts w:ascii="Arial" w:cs="Arial" w:eastAsia="Arial" w:hAnsi="Arial"/>
          <w:sz w:val="22"/>
          <w:szCs w:val="22"/>
          <w:u w:val="single" w:color="auto"/>
          <w:color w:val="auto"/>
        </w:rPr>
        <w:t>Waiver of Class, Collective, and Representative Actions</w:t>
      </w:r>
      <w:r>
        <w:rPr>
          <w:rFonts w:ascii="Arial" w:cs="Arial" w:eastAsia="Arial" w:hAnsi="Arial"/>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234" w:lineRule="exact"/>
        <w:rPr>
          <w:rFonts w:ascii="Arial" w:cs="Arial" w:eastAsia="Arial" w:hAnsi="Arial"/>
          <w:sz w:val="18"/>
          <w:szCs w:val="18"/>
          <w:i w:val="1"/>
          <w:iCs w:val="1"/>
          <w:color w:val="auto"/>
        </w:rPr>
      </w:pPr>
    </w:p>
    <w:p>
      <w:pPr>
        <w:ind w:left="760" w:right="240" w:hanging="331"/>
        <w:spacing w:after="0" w:line="294" w:lineRule="auto"/>
        <w:tabs>
          <w:tab w:leader="none" w:pos="760" w:val="left"/>
        </w:tabs>
        <w:numPr>
          <w:ilvl w:val="0"/>
          <w:numId w:val="71"/>
        </w:numPr>
        <w:rPr>
          <w:rFonts w:ascii="Arial" w:cs="Arial" w:eastAsia="Arial" w:hAnsi="Arial"/>
          <w:sz w:val="16"/>
          <w:szCs w:val="16"/>
          <w:i w:val="1"/>
          <w:iCs w:val="1"/>
          <w:color w:val="auto"/>
        </w:rPr>
      </w:pPr>
      <w:r>
        <w:rPr>
          <w:rFonts w:ascii="Arial" w:cs="Arial" w:eastAsia="Arial" w:hAnsi="Arial"/>
          <w:sz w:val="19"/>
          <w:szCs w:val="19"/>
          <w:u w:val="single" w:color="auto"/>
          <w:color w:val="auto"/>
        </w:rPr>
        <w:t>Standard of Review</w:t>
      </w:r>
      <w:r>
        <w:rPr>
          <w:rFonts w:ascii="Arial" w:cs="Arial" w:eastAsia="Arial" w:hAnsi="Arial"/>
          <w:sz w:val="19"/>
          <w:szCs w:val="19"/>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19"/>
          <w:szCs w:val="19"/>
          <w:i w:val="1"/>
          <w:iCs w:val="1"/>
          <w:color w:val="auto"/>
        </w:rPr>
        <w:t>Conkright v. Frommert</w:t>
      </w:r>
      <w:r>
        <w:rPr>
          <w:rFonts w:ascii="Arial" w:cs="Arial" w:eastAsia="Arial" w:hAnsi="Arial"/>
          <w:sz w:val="19"/>
          <w:szCs w:val="19"/>
          <w:color w:val="auto"/>
        </w:rPr>
        <w:t xml:space="preserve">, 130 S. Ct. 1640 (2010), </w:t>
      </w:r>
      <w:r>
        <w:rPr>
          <w:rFonts w:ascii="Arial" w:cs="Arial" w:eastAsia="Arial" w:hAnsi="Arial"/>
          <w:sz w:val="19"/>
          <w:szCs w:val="19"/>
          <w:i w:val="1"/>
          <w:iCs w:val="1"/>
          <w:color w:val="auto"/>
        </w:rPr>
        <w:t>Metropolitan Life Insurance Co. v.</w:t>
      </w:r>
      <w:r>
        <w:rPr>
          <w:rFonts w:ascii="Arial" w:cs="Arial" w:eastAsia="Arial" w:hAnsi="Arial"/>
          <w:sz w:val="19"/>
          <w:szCs w:val="19"/>
          <w:color w:val="auto"/>
        </w:rPr>
        <w:t xml:space="preserve"> Glenn</w:t>
      </w:r>
      <w:r>
        <w:rPr>
          <w:rFonts w:ascii="Arial" w:cs="Arial" w:eastAsia="Arial" w:hAnsi="Arial"/>
          <w:sz w:val="19"/>
          <w:szCs w:val="19"/>
          <w:i w:val="1"/>
          <w:iCs w:val="1"/>
          <w:color w:val="auto"/>
        </w:rPr>
        <w:t>,</w:t>
      </w:r>
      <w:r>
        <w:rPr>
          <w:rFonts w:ascii="Arial" w:cs="Arial" w:eastAsia="Arial" w:hAnsi="Arial"/>
          <w:sz w:val="19"/>
          <w:szCs w:val="19"/>
          <w:color w:val="auto"/>
        </w:rPr>
        <w:t xml:space="preserve"> 554 U.S. 105 (2008), and </w:t>
      </w:r>
      <w:r>
        <w:rPr>
          <w:rFonts w:ascii="Arial" w:cs="Arial" w:eastAsia="Arial" w:hAnsi="Arial"/>
          <w:sz w:val="19"/>
          <w:szCs w:val="19"/>
          <w:i w:val="1"/>
          <w:iCs w:val="1"/>
          <w:color w:val="auto"/>
        </w:rPr>
        <w:t>Firestone Tire and Rubber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Company v. Bruch, </w:t>
      </w:r>
      <w:r>
        <w:rPr>
          <w:rFonts w:ascii="Arial" w:cs="Arial" w:eastAsia="Arial" w:hAnsi="Arial"/>
          <w:sz w:val="19"/>
          <w:szCs w:val="19"/>
          <w:color w:val="auto"/>
        </w:rPr>
        <w:t>489 U.S. 101 (1989), and shall accord due deference to the determinations,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and construction of the Plan document by the Claims Administrator.</w:t>
      </w:r>
    </w:p>
    <w:p>
      <w:pPr>
        <w:spacing w:after="0" w:line="190" w:lineRule="exact"/>
        <w:rPr>
          <w:rFonts w:ascii="Arial" w:cs="Arial" w:eastAsia="Arial" w:hAnsi="Arial"/>
          <w:sz w:val="16"/>
          <w:szCs w:val="16"/>
          <w:i w:val="1"/>
          <w:iCs w:val="1"/>
          <w:color w:val="auto"/>
        </w:rPr>
      </w:pPr>
    </w:p>
    <w:p>
      <w:pPr>
        <w:ind w:left="760" w:hanging="331"/>
        <w:spacing w:after="0"/>
        <w:tabs>
          <w:tab w:leader="none" w:pos="760" w:val="left"/>
        </w:tabs>
        <w:numPr>
          <w:ilvl w:val="0"/>
          <w:numId w:val="71"/>
        </w:numPr>
        <w:rPr>
          <w:rFonts w:ascii="Arial" w:cs="Arial" w:eastAsia="Arial" w:hAnsi="Arial"/>
          <w:sz w:val="18"/>
          <w:szCs w:val="18"/>
          <w:i w:val="1"/>
          <w:iCs w:val="1"/>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219" w:lineRule="exact"/>
        <w:rPr>
          <w:rFonts w:ascii="Arial" w:cs="Arial" w:eastAsia="Arial" w:hAnsi="Arial"/>
          <w:sz w:val="18"/>
          <w:szCs w:val="18"/>
          <w:i w:val="1"/>
          <w:iCs w:val="1"/>
          <w:color w:val="auto"/>
        </w:rPr>
      </w:pPr>
    </w:p>
    <w:p>
      <w:pPr>
        <w:ind w:left="1400" w:hanging="647"/>
        <w:spacing w:after="0" w:line="259" w:lineRule="auto"/>
        <w:tabs>
          <w:tab w:leader="none" w:pos="1076" w:val="left"/>
        </w:tabs>
        <w:numPr>
          <w:ilvl w:val="1"/>
          <w:numId w:val="71"/>
        </w:numPr>
        <w:rPr>
          <w:rFonts w:ascii="Arial" w:cs="Arial" w:eastAsia="Arial" w:hAnsi="Arial"/>
          <w:sz w:val="17"/>
          <w:szCs w:val="17"/>
          <w:color w:val="auto"/>
        </w:rPr>
      </w:pPr>
      <w:r>
        <w:rPr>
          <w:rFonts w:ascii="Arial" w:cs="Arial" w:eastAsia="Arial" w:hAnsi="Arial"/>
          <w:sz w:val="21"/>
          <w:szCs w:val="21"/>
          <w:u w:val="single" w:color="auto"/>
          <w:color w:val="auto"/>
        </w:rPr>
        <w:t>Arbitration Rules</w:t>
      </w:r>
      <w:r>
        <w:rPr>
          <w:rFonts w:ascii="Arial" w:cs="Arial" w:eastAsia="Arial" w:hAnsi="Arial"/>
          <w:sz w:val="21"/>
          <w:szCs w:val="21"/>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224" w:lineRule="exact"/>
        <w:rPr>
          <w:rFonts w:ascii="Arial" w:cs="Arial" w:eastAsia="Arial" w:hAnsi="Arial"/>
          <w:sz w:val="17"/>
          <w:szCs w:val="17"/>
          <w:color w:val="auto"/>
        </w:rPr>
      </w:pPr>
    </w:p>
    <w:p>
      <w:pPr>
        <w:ind w:left="1400" w:right="40" w:hanging="647"/>
        <w:spacing w:after="0" w:line="302" w:lineRule="auto"/>
        <w:tabs>
          <w:tab w:leader="none" w:pos="1076" w:val="left"/>
        </w:tabs>
        <w:numPr>
          <w:ilvl w:val="1"/>
          <w:numId w:val="71"/>
        </w:numPr>
        <w:rPr>
          <w:rFonts w:ascii="Arial" w:cs="Arial" w:eastAsia="Arial" w:hAnsi="Arial"/>
          <w:sz w:val="16"/>
          <w:szCs w:val="16"/>
          <w:color w:val="auto"/>
        </w:rPr>
      </w:pPr>
      <w:r>
        <w:rPr>
          <w:rFonts w:ascii="Arial" w:cs="Arial" w:eastAsia="Arial" w:hAnsi="Arial"/>
          <w:sz w:val="19"/>
          <w:szCs w:val="19"/>
          <w:u w:val="single" w:color="auto"/>
          <w:color w:val="auto"/>
        </w:rPr>
        <w:t>Substantive Law</w:t>
      </w:r>
      <w:r>
        <w:rPr>
          <w:rFonts w:ascii="Arial" w:cs="Arial" w:eastAsia="Arial" w:hAnsi="Arial"/>
          <w:sz w:val="19"/>
          <w:szCs w:val="19"/>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183" w:lineRule="exact"/>
        <w:rPr>
          <w:rFonts w:ascii="Arial" w:cs="Arial" w:eastAsia="Arial" w:hAnsi="Arial"/>
          <w:sz w:val="16"/>
          <w:szCs w:val="16"/>
          <w:color w:val="auto"/>
        </w:rPr>
      </w:pPr>
    </w:p>
    <w:p>
      <w:pPr>
        <w:ind w:left="1400" w:right="60" w:hanging="647"/>
        <w:spacing w:after="0" w:line="248" w:lineRule="auto"/>
        <w:tabs>
          <w:tab w:leader="none" w:pos="1076" w:val="left"/>
        </w:tabs>
        <w:numPr>
          <w:ilvl w:val="1"/>
          <w:numId w:val="71"/>
        </w:numPr>
        <w:rPr>
          <w:rFonts w:ascii="Arial" w:cs="Arial" w:eastAsia="Arial" w:hAnsi="Arial"/>
          <w:sz w:val="18"/>
          <w:szCs w:val="18"/>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232" w:lineRule="exact"/>
        <w:rPr>
          <w:rFonts w:ascii="Arial" w:cs="Arial" w:eastAsia="Arial" w:hAnsi="Arial"/>
          <w:sz w:val="18"/>
          <w:szCs w:val="18"/>
          <w:color w:val="auto"/>
        </w:rPr>
      </w:pPr>
    </w:p>
    <w:p>
      <w:pPr>
        <w:ind w:left="1400" w:right="60" w:hanging="647"/>
        <w:spacing w:after="0" w:line="302" w:lineRule="auto"/>
        <w:tabs>
          <w:tab w:leader="none" w:pos="1076" w:val="left"/>
        </w:tabs>
        <w:numPr>
          <w:ilvl w:val="1"/>
          <w:numId w:val="71"/>
        </w:numPr>
        <w:rPr>
          <w:rFonts w:ascii="Arial" w:cs="Arial" w:eastAsia="Arial" w:hAnsi="Arial"/>
          <w:sz w:val="16"/>
          <w:szCs w:val="16"/>
          <w:color w:val="auto"/>
        </w:rPr>
      </w:pPr>
      <w:r>
        <w:rPr>
          <w:rFonts w:ascii="Arial" w:cs="Arial" w:eastAsia="Arial" w:hAnsi="Arial"/>
          <w:sz w:val="19"/>
          <w:szCs w:val="19"/>
          <w:u w:val="single" w:color="auto"/>
          <w:color w:val="auto"/>
        </w:rPr>
        <w:t>Pre-Hearing Procedures</w:t>
      </w:r>
      <w:r>
        <w:rPr>
          <w:rFonts w:ascii="Arial" w:cs="Arial" w:eastAsia="Arial" w:hAnsi="Arial"/>
          <w:sz w:val="19"/>
          <w:szCs w:val="19"/>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80"/>
          </w:cols>
          <w:pgMar w:left="1440" w:top="375" w:right="279" w:bottom="1440" w:gutter="0" w:footer="0" w:header="0"/>
        </w:sectPr>
      </w:pPr>
    </w:p>
    <w:bookmarkStart w:id="157" w:name="page158"/>
    <w:bookmarkEnd w:id="157"/>
    <w:p>
      <w:pPr>
        <w:ind w:left="2580" w:hanging="647"/>
        <w:spacing w:after="0" w:line="258" w:lineRule="auto"/>
        <w:tabs>
          <w:tab w:leader="none" w:pos="2256" w:val="left"/>
        </w:tabs>
        <w:numPr>
          <w:ilvl w:val="2"/>
          <w:numId w:val="72"/>
        </w:numPr>
        <w:rPr>
          <w:rFonts w:ascii="Arial" w:cs="Arial" w:eastAsia="Arial" w:hAnsi="Arial"/>
          <w:sz w:val="17"/>
          <w:szCs w:val="17"/>
          <w:color w:val="auto"/>
        </w:rPr>
      </w:pPr>
      <w:r>
        <w:rPr>
          <w:rFonts w:ascii="Arial" w:cs="Arial" w:eastAsia="Arial" w:hAnsi="Arial"/>
          <w:sz w:val="21"/>
          <w:szCs w:val="21"/>
          <w:u w:val="single" w:color="auto"/>
          <w:color w:val="auto"/>
        </w:rPr>
        <w:t>Fees and Costs</w:t>
      </w:r>
      <w:r>
        <w:rPr>
          <w:rFonts w:ascii="Arial" w:cs="Arial" w:eastAsia="Arial" w:hAnsi="Arial"/>
          <w:sz w:val="21"/>
          <w:szCs w:val="21"/>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226" w:lineRule="exact"/>
        <w:rPr>
          <w:rFonts w:ascii="Arial" w:cs="Arial" w:eastAsia="Arial" w:hAnsi="Arial"/>
          <w:sz w:val="17"/>
          <w:szCs w:val="17"/>
          <w:color w:val="auto"/>
        </w:rPr>
      </w:pPr>
    </w:p>
    <w:p>
      <w:pPr>
        <w:ind w:left="1940" w:right="340" w:hanging="331"/>
        <w:spacing w:after="0" w:line="302" w:lineRule="auto"/>
        <w:tabs>
          <w:tab w:leader="none" w:pos="1940" w:val="left"/>
        </w:tabs>
        <w:numPr>
          <w:ilvl w:val="1"/>
          <w:numId w:val="73"/>
        </w:numPr>
        <w:rPr>
          <w:rFonts w:ascii="Arial" w:cs="Arial" w:eastAsia="Arial" w:hAnsi="Arial"/>
          <w:sz w:val="16"/>
          <w:szCs w:val="16"/>
          <w:i w:val="1"/>
          <w:iCs w:val="1"/>
          <w:color w:val="auto"/>
        </w:rPr>
      </w:pPr>
      <w:r>
        <w:rPr>
          <w:rFonts w:ascii="Arial" w:cs="Arial" w:eastAsia="Arial" w:hAnsi="Arial"/>
          <w:sz w:val="19"/>
          <w:szCs w:val="19"/>
          <w:u w:val="single" w:color="auto"/>
          <w:color w:val="auto"/>
        </w:rPr>
        <w:t>Interstate Commerce and the Federal Arbitration Act</w:t>
      </w:r>
      <w:r>
        <w:rPr>
          <w:rFonts w:ascii="Arial" w:cs="Arial" w:eastAsia="Arial" w:hAnsi="Arial"/>
          <w:sz w:val="19"/>
          <w:szCs w:val="19"/>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142" w:lineRule="exact"/>
        <w:rPr>
          <w:rFonts w:ascii="Arial" w:cs="Arial" w:eastAsia="Arial" w:hAnsi="Arial"/>
          <w:sz w:val="16"/>
          <w:szCs w:val="16"/>
          <w:i w:val="1"/>
          <w:iCs w:val="1"/>
          <w:color w:val="auto"/>
        </w:rPr>
      </w:pPr>
    </w:p>
    <w:p>
      <w:pPr>
        <w:ind w:left="-20" w:right="140" w:firstLine="656"/>
        <w:spacing w:after="0" w:line="253" w:lineRule="auto"/>
        <w:tabs>
          <w:tab w:leader="none" w:pos="1006"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85" w:lineRule="exact"/>
        <w:rPr>
          <w:rFonts w:ascii="Arial" w:cs="Arial" w:eastAsia="Arial" w:hAnsi="Arial"/>
          <w:sz w:val="22"/>
          <w:szCs w:val="22"/>
          <w:color w:val="auto"/>
        </w:rPr>
      </w:pPr>
    </w:p>
    <w:p>
      <w:pPr>
        <w:ind w:left="-20" w:right="200" w:firstLine="656"/>
        <w:spacing w:after="0" w:line="278" w:lineRule="auto"/>
        <w:tabs>
          <w:tab w:leader="none" w:pos="970"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60" w:lineRule="exact"/>
        <w:rPr>
          <w:rFonts w:ascii="Arial" w:cs="Arial" w:eastAsia="Arial" w:hAnsi="Arial"/>
          <w:sz w:val="21"/>
          <w:szCs w:val="21"/>
          <w:color w:val="auto"/>
        </w:rPr>
      </w:pPr>
    </w:p>
    <w:p>
      <w:pPr>
        <w:ind w:left="-20" w:right="120" w:firstLine="656"/>
        <w:spacing w:after="0" w:line="254" w:lineRule="auto"/>
        <w:tabs>
          <w:tab w:leader="none" w:pos="1078"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Manager - Compensation and Benefits, Human Resources, and any notice hereunder to you shall be directed to your address as indicated by ALLETE’s records, subject to the right of either party to designate at any time hereafter in writing some other address.</w:t>
      </w:r>
    </w:p>
    <w:p>
      <w:pPr>
        <w:spacing w:after="0" w:line="185" w:lineRule="exact"/>
        <w:rPr>
          <w:rFonts w:ascii="Arial" w:cs="Arial" w:eastAsia="Arial" w:hAnsi="Arial"/>
          <w:sz w:val="22"/>
          <w:szCs w:val="22"/>
          <w:color w:val="auto"/>
        </w:rPr>
      </w:pPr>
    </w:p>
    <w:p>
      <w:pPr>
        <w:ind w:left="-20" w:right="160" w:firstLine="656"/>
        <w:spacing w:after="0" w:line="307" w:lineRule="auto"/>
        <w:tabs>
          <w:tab w:leader="none" w:pos="107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20" w:right="600" w:firstLine="656"/>
        <w:spacing w:after="0" w:line="276" w:lineRule="auto"/>
        <w:tabs>
          <w:tab w:leader="none" w:pos="1078"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95" w:lineRule="exact"/>
        <w:rPr>
          <w:sz w:val="20"/>
          <w:szCs w:val="20"/>
          <w:color w:val="auto"/>
        </w:rPr>
      </w:pPr>
    </w:p>
    <w:p>
      <w:pPr>
        <w:ind w:left="640" w:right="240" w:firstLine="648"/>
        <w:spacing w:after="0" w:line="262"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375" w:right="259" w:bottom="1440" w:gutter="0" w:footer="0" w:header="0"/>
        </w:sectPr>
      </w:pPr>
    </w:p>
    <w:bookmarkStart w:id="158" w:name="page159"/>
    <w:bookmarkEnd w:id="158"/>
    <w:p>
      <w:pPr>
        <w:ind w:left="640"/>
        <w:spacing w:after="0"/>
        <w:tabs>
          <w:tab w:leader="none" w:pos="11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620" w:right="160" w:hanging="651"/>
        <w:spacing w:after="0" w:line="253"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26" w:lineRule="exact"/>
        <w:rPr>
          <w:rFonts w:ascii="Arial" w:cs="Arial" w:eastAsia="Arial" w:hAnsi="Arial"/>
          <w:sz w:val="18"/>
          <w:szCs w:val="18"/>
          <w:color w:val="auto"/>
        </w:rPr>
      </w:pPr>
    </w:p>
    <w:p>
      <w:pPr>
        <w:ind w:left="1620" w:right="60" w:hanging="651"/>
        <w:spacing w:after="0" w:line="250"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228" w:lineRule="exact"/>
        <w:rPr>
          <w:rFonts w:ascii="Arial" w:cs="Arial" w:eastAsia="Arial" w:hAnsi="Arial"/>
          <w:sz w:val="18"/>
          <w:szCs w:val="18"/>
          <w:color w:val="auto"/>
        </w:rPr>
      </w:pPr>
    </w:p>
    <w:p>
      <w:pPr>
        <w:ind w:left="1620" w:hanging="651"/>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22"/>
          <w:szCs w:val="22"/>
          <w:color w:val="auto"/>
        </w:rPr>
        <w:t>determined to be totally disabled by the Social Security Administration; or</w:t>
      </w:r>
    </w:p>
    <w:p>
      <w:pPr>
        <w:spacing w:after="0" w:line="219" w:lineRule="exact"/>
        <w:rPr>
          <w:rFonts w:ascii="Arial" w:cs="Arial" w:eastAsia="Arial" w:hAnsi="Arial"/>
          <w:sz w:val="18"/>
          <w:szCs w:val="18"/>
          <w:color w:val="auto"/>
        </w:rPr>
      </w:pPr>
    </w:p>
    <w:p>
      <w:pPr>
        <w:ind w:left="1620" w:hanging="651"/>
        <w:spacing w:after="0" w:line="253"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0" w:lineRule="exact"/>
        <w:rPr>
          <w:sz w:val="20"/>
          <w:szCs w:val="20"/>
          <w:color w:val="auto"/>
        </w:rPr>
      </w:pPr>
    </w:p>
    <w:p>
      <w:pPr>
        <w:jc w:val="center"/>
        <w:ind w:right="280"/>
        <w:spacing w:after="0"/>
        <w:tabs>
          <w:tab w:leader="none" w:pos="16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Related Company</w:t>
      </w:r>
      <w:r>
        <w:rPr>
          <w:rFonts w:ascii="Arial" w:cs="Arial" w:eastAsia="Arial" w:hAnsi="Arial"/>
          <w:sz w:val="19"/>
          <w:szCs w:val="19"/>
          <w:color w:val="auto"/>
        </w:rPr>
        <w:t>” means ALLETE, Inc. and all persons with whom the ALLETE, Inc. would be</w:t>
      </w:r>
    </w:p>
    <w:p>
      <w:pPr>
        <w:spacing w:after="0" w:line="28"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74"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12.5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0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0"/>
          </w:cols>
          <w:pgMar w:left="900" w:top="369" w:right="239" w:bottom="1440" w:gutter="0" w:footer="0" w:header="0"/>
        </w:sectPr>
      </w:pPr>
    </w:p>
    <w:bookmarkStart w:id="159" w:name="page160"/>
    <w:bookmarkEnd w:id="159"/>
    <w:p>
      <w:pPr>
        <w:ind w:firstLine="648"/>
        <w:spacing w:after="0" w:line="289"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00"/>
          </w:cols>
          <w:pgMar w:left="900" w:top="369" w:right="299" w:bottom="1440" w:gutter="0" w:footer="0" w:header="0"/>
        </w:sectPr>
      </w:pPr>
    </w:p>
    <w:bookmarkStart w:id="160" w:name="page161"/>
    <w:bookmarkEnd w:id="160"/>
    <w:p>
      <w:pPr>
        <w:jc w:val="center"/>
        <w:ind w:right="-39"/>
        <w:spacing w:after="0"/>
        <w:rPr>
          <w:sz w:val="20"/>
          <w:szCs w:val="20"/>
          <w:color w:val="auto"/>
        </w:rPr>
      </w:pPr>
      <w:r>
        <w:rPr>
          <w:rFonts w:ascii="Arial" w:cs="Arial" w:eastAsia="Arial" w:hAnsi="Arial"/>
          <w:sz w:val="22"/>
          <w:szCs w:val="22"/>
          <w:b w:val="1"/>
          <w:bCs w:val="1"/>
          <w:color w:val="auto"/>
        </w:rPr>
        <w:t>ANNEX B</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Executive Long Term Incentive Compensation Plan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Performance Share Grant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Effective 2017</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[Eligible Executive Employees]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Measure</w:t>
      </w: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Total Shareholder Return (TSR) computed over the three-year performance period January 1, 2017 to December 31, 2019.</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Share Award:</w:t>
      </w:r>
    </w:p>
    <w:p>
      <w:pPr>
        <w:spacing w:after="0" w:line="22" w:lineRule="exact"/>
        <w:rPr>
          <w:sz w:val="20"/>
          <w:szCs w:val="20"/>
          <w:color w:val="auto"/>
        </w:rPr>
      </w:pPr>
    </w:p>
    <w:p>
      <w:pPr>
        <w:ind w:right="80"/>
        <w:spacing w:after="0" w:line="223" w:lineRule="auto"/>
        <w:rPr>
          <w:sz w:val="20"/>
          <w:szCs w:val="20"/>
          <w:color w:val="auto"/>
        </w:rPr>
      </w:pPr>
      <w:r>
        <w:rPr>
          <w:rFonts w:ascii="Arial" w:cs="Arial" w:eastAsia="Arial" w:hAnsi="Arial"/>
          <w:sz w:val="22"/>
          <w:szCs w:val="22"/>
          <w:color w:val="auto"/>
        </w:rPr>
        <w:t>If ALLETE’s TSR ranking is at the 85th percentile or higher among the peer group (superior performance), 200% of the Performance Share Grant will be earned. If ALLETE’s TSR ranking is at the 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among the peer group (target performance), 100% of the Performance Share Grant will be earned. If ALLETE’s TSR ranking is at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(threshold performance), 50% of the Performance Share Grant will be earned. If TSR ranking is below threshold, no Performance Shares will be earned. Straight-line interpolation will be used to determine earned awards based on the TSR ranking between threshold, target and superior.</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Peer Group:</w:t>
      </w:r>
    </w:p>
    <w:p>
      <w:pPr>
        <w:spacing w:after="0" w:line="22" w:lineRule="exact"/>
        <w:rPr>
          <w:sz w:val="20"/>
          <w:szCs w:val="20"/>
          <w:color w:val="auto"/>
        </w:rPr>
      </w:pPr>
    </w:p>
    <w:p>
      <w:pPr>
        <w:jc w:val="both"/>
        <w:ind w:right="40"/>
        <w:spacing w:after="0" w:line="245" w:lineRule="auto"/>
        <w:rPr>
          <w:sz w:val="20"/>
          <w:szCs w:val="20"/>
          <w:color w:val="auto"/>
        </w:rPr>
      </w:pPr>
      <w:r>
        <w:rPr>
          <w:rFonts w:ascii="Arial" w:cs="Arial" w:eastAsia="Arial" w:hAnsi="Arial"/>
          <w:sz w:val="22"/>
          <w:szCs w:val="22"/>
          <w:color w:val="auto"/>
        </w:rPr>
        <w:t>The integrated utility companies comprising Edison Electric Institute (EEI) Stock Index as of December 31, 2019 that have been in the EEI Stock Index for at least three years as of December 31, 2019 will constitute the peer group used to determine actual payout results. The table below lists the EEI Stock Index as of December 31, 2016:</w:t>
      </w:r>
    </w:p>
    <w:p>
      <w:pPr>
        <w:spacing w:after="0" w:line="208" w:lineRule="exact"/>
        <w:rPr>
          <w:sz w:val="20"/>
          <w:szCs w:val="20"/>
          <w:color w:val="auto"/>
        </w:rPr>
      </w:pPr>
    </w:p>
    <w:tbl>
      <w:tblPr>
        <w:tblLayout w:type="fixed"/>
        <w:tblInd w:w="730" w:type="dxa"/>
        <w:tblCellMar>
          <w:top w:w="0" w:type="dxa"/>
          <w:left w:w="0" w:type="dxa"/>
          <w:bottom w:w="0" w:type="dxa"/>
          <w:right w:w="0" w:type="dxa"/>
        </w:tblCellMar>
      </w:tblPr>
      <w:tr>
        <w:trPr>
          <w:trHeight w:val="257"/>
        </w:trPr>
        <w:tc>
          <w:tcPr>
            <w:tcW w:w="34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Alliant Energy Corp.</w:t>
            </w:r>
          </w:p>
        </w:tc>
        <w:tc>
          <w:tcPr>
            <w:tcW w:w="3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Entergy Corp.</w:t>
            </w:r>
          </w:p>
        </w:tc>
        <w:tc>
          <w:tcPr>
            <w:tcW w:w="33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PG&amp;E Corp.</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Ameren Corp.</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Eversource Energy</w:t>
            </w:r>
          </w:p>
        </w:tc>
        <w:tc>
          <w:tcPr>
            <w:tcW w:w="3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Pinnacle West Capital Corp.</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American Electric Power Co.</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Exelon Corp.</w:t>
            </w:r>
          </w:p>
        </w:tc>
        <w:tc>
          <w:tcPr>
            <w:tcW w:w="3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PNM Resources Inc.</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Avista Corp.</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FirstEnergy Corp.</w:t>
            </w:r>
          </w:p>
        </w:tc>
        <w:tc>
          <w:tcPr>
            <w:tcW w:w="3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Portland General Electric Co.</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Black Hills Corp.</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Great Plains Energy Inc.</w:t>
            </w:r>
          </w:p>
        </w:tc>
        <w:tc>
          <w:tcPr>
            <w:tcW w:w="3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PPL Corp.</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CenterPoint Energy Inc.</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Hawaiian Electric Industries Inc.</w:t>
            </w:r>
          </w:p>
        </w:tc>
        <w:tc>
          <w:tcPr>
            <w:tcW w:w="3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Public Service Enterprise Group</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CMS Energy Corp.</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IDACORP Inc.</w:t>
            </w:r>
          </w:p>
        </w:tc>
        <w:tc>
          <w:tcPr>
            <w:tcW w:w="3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SCANA Corp.</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Consolidated Edison Inc.</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MDU Resources Group Inc.</w:t>
            </w:r>
          </w:p>
        </w:tc>
        <w:tc>
          <w:tcPr>
            <w:tcW w:w="3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Sempra Energy</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Dominion Resources Inc.</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MGE Energy Inc.</w:t>
            </w:r>
          </w:p>
        </w:tc>
        <w:tc>
          <w:tcPr>
            <w:tcW w:w="3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Southern Co.</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DTE Energy Co.</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NextEra Energy, Inc</w:t>
            </w:r>
          </w:p>
        </w:tc>
        <w:tc>
          <w:tcPr>
            <w:tcW w:w="3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Unitil Corp.</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Duke Energy Corp.</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NiSource Inc.</w:t>
            </w:r>
          </w:p>
        </w:tc>
        <w:tc>
          <w:tcPr>
            <w:tcW w:w="3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Vectren Corp</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Edison International</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NorthWestern Corp.</w:t>
            </w:r>
          </w:p>
        </w:tc>
        <w:tc>
          <w:tcPr>
            <w:tcW w:w="3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WEC Energy Group Inc</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 Paso Electric Co.</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OGE Energy Corp.</w:t>
            </w:r>
          </w:p>
        </w:tc>
        <w:tc>
          <w:tcPr>
            <w:tcW w:w="3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Westar Energy Inc.</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Empire District Electric Co.</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Otter Tail Corp.</w:t>
            </w:r>
          </w:p>
        </w:tc>
        <w:tc>
          <w:tcPr>
            <w:tcW w:w="3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Xcel Energy Inc.</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Any Company that is no longer included in the EEI Stock Index as of December 31, 2019 due to corporate restructuring during the performance period (e.g., mergers, acquisitions, divestitures, spin-offs, etc.) will be excluded from the results calculation entirely. If a corporate restructuring during the performance period results in a company remaining in the EEI Stock Index following the transaction (and thus not being excluded from the results calculation entirely), from the point of the transaction forward, the results calculation will track only the entity that remains in the EEI Stock Index and ignore other entities, regardless of whether such other entities are publicly traded.</w:t>
      </w:r>
    </w:p>
    <w:p>
      <w:pPr>
        <w:sectPr>
          <w:pgSz w:w="11900" w:h="16838" w:orient="portrait"/>
          <w:cols w:equalWidth="0" w:num="1">
            <w:col w:w="11400"/>
          </w:cols>
          <w:pgMar w:left="240" w:top="369" w:right="25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10(k)3</w:t>
      </w:r>
    </w:p>
    <w:p>
      <w:pPr>
        <w:spacing w:after="0" w:line="200" w:lineRule="exact"/>
        <w:rPr>
          <w:sz w:val="20"/>
          <w:szCs w:val="20"/>
          <w:color w:val="auto"/>
        </w:rPr>
      </w:pPr>
    </w:p>
    <w:p>
      <w:pPr>
        <w:spacing w:after="0" w:line="264" w:lineRule="exact"/>
        <w:rPr>
          <w:sz w:val="20"/>
          <w:szCs w:val="20"/>
          <w:color w:val="auto"/>
        </w:rPr>
      </w:pPr>
    </w:p>
    <w:tbl>
      <w:tblPr>
        <w:tblLayout w:type="fixed"/>
        <w:tblInd w:w="1430" w:type="dxa"/>
        <w:tblCellMar>
          <w:top w:w="0" w:type="dxa"/>
          <w:left w:w="0" w:type="dxa"/>
          <w:bottom w:w="0" w:type="dxa"/>
          <w:right w:w="0" w:type="dxa"/>
        </w:tblCellMar>
      </w:tblPr>
      <w:tr>
        <w:trPr>
          <w:trHeight w:val="306"/>
        </w:trPr>
        <w:tc>
          <w:tcPr>
            <w:tcW w:w="6980" w:type="dxa"/>
            <w:vAlign w:val="bottom"/>
          </w:tcPr>
          <w:p>
            <w:pPr>
              <w:jc w:val="center"/>
              <w:ind w:left="1511"/>
              <w:spacing w:after="0"/>
              <w:rPr>
                <w:sz w:val="20"/>
                <w:szCs w:val="20"/>
                <w:color w:val="auto"/>
              </w:rPr>
            </w:pPr>
            <w:r>
              <w:rPr>
                <w:rFonts w:ascii="Arial" w:cs="Arial" w:eastAsia="Arial" w:hAnsi="Arial"/>
                <w:sz w:val="25"/>
                <w:szCs w:val="25"/>
                <w:b w:val="1"/>
                <w:bCs w:val="1"/>
                <w:color w:val="auto"/>
              </w:rPr>
              <w:t>ALLETE, INC.</w:t>
            </w:r>
          </w:p>
        </w:tc>
        <w:tc>
          <w:tcPr>
            <w:tcW w:w="1640" w:type="dxa"/>
            <w:vAlign w:val="bottom"/>
          </w:tcPr>
          <w:p>
            <w:pPr>
              <w:spacing w:after="0"/>
              <w:rPr>
                <w:sz w:val="24"/>
                <w:szCs w:val="24"/>
                <w:color w:val="auto"/>
              </w:rPr>
            </w:pPr>
          </w:p>
        </w:tc>
      </w:tr>
      <w:tr>
        <w:trPr>
          <w:trHeight w:val="257"/>
        </w:trPr>
        <w:tc>
          <w:tcPr>
            <w:tcW w:w="6980" w:type="dxa"/>
            <w:vAlign w:val="bottom"/>
          </w:tcPr>
          <w:p>
            <w:pPr>
              <w:jc w:val="center"/>
              <w:ind w:left="1491"/>
              <w:spacing w:after="0"/>
              <w:rPr>
                <w:sz w:val="20"/>
                <w:szCs w:val="20"/>
                <w:color w:val="auto"/>
              </w:rPr>
            </w:pPr>
            <w:r>
              <w:rPr>
                <w:rFonts w:ascii="Arial" w:cs="Arial" w:eastAsia="Arial" w:hAnsi="Arial"/>
                <w:sz w:val="22"/>
                <w:szCs w:val="22"/>
                <w:b w:val="1"/>
                <w:bCs w:val="1"/>
                <w:color w:val="auto"/>
                <w:w w:val="88"/>
              </w:rPr>
              <w:t>Non-Employee Director Compensation</w:t>
            </w:r>
          </w:p>
        </w:tc>
        <w:tc>
          <w:tcPr>
            <w:tcW w:w="1640" w:type="dxa"/>
            <w:vAlign w:val="bottom"/>
          </w:tcPr>
          <w:p>
            <w:pPr>
              <w:spacing w:after="0"/>
              <w:rPr>
                <w:sz w:val="22"/>
                <w:szCs w:val="22"/>
                <w:color w:val="auto"/>
              </w:rPr>
            </w:pPr>
          </w:p>
        </w:tc>
      </w:tr>
      <w:tr>
        <w:trPr>
          <w:trHeight w:val="281"/>
        </w:trPr>
        <w:tc>
          <w:tcPr>
            <w:tcW w:w="6980" w:type="dxa"/>
            <w:vAlign w:val="bottom"/>
          </w:tcPr>
          <w:p>
            <w:pPr>
              <w:jc w:val="center"/>
              <w:ind w:left="1491"/>
              <w:spacing w:after="0"/>
              <w:rPr>
                <w:sz w:val="20"/>
                <w:szCs w:val="20"/>
                <w:color w:val="auto"/>
              </w:rPr>
            </w:pPr>
            <w:r>
              <w:rPr>
                <w:rFonts w:ascii="Arial" w:cs="Arial" w:eastAsia="Arial" w:hAnsi="Arial"/>
                <w:sz w:val="22"/>
                <w:szCs w:val="22"/>
                <w:b w:val="1"/>
                <w:bCs w:val="1"/>
                <w:color w:val="auto"/>
                <w:w w:val="89"/>
              </w:rPr>
              <w:t>Effective January 1, 2017</w:t>
            </w:r>
          </w:p>
        </w:tc>
        <w:tc>
          <w:tcPr>
            <w:tcW w:w="1640" w:type="dxa"/>
            <w:vAlign w:val="bottom"/>
          </w:tcPr>
          <w:p>
            <w:pPr>
              <w:spacing w:after="0"/>
              <w:rPr>
                <w:sz w:val="24"/>
                <w:szCs w:val="24"/>
                <w:color w:val="auto"/>
              </w:rPr>
            </w:pPr>
          </w:p>
        </w:tc>
      </w:tr>
      <w:tr>
        <w:trPr>
          <w:trHeight w:val="692"/>
        </w:trPr>
        <w:tc>
          <w:tcPr>
            <w:tcW w:w="6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42"/>
        </w:trPr>
        <w:tc>
          <w:tcPr>
            <w:tcW w:w="698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b w:val="1"/>
                <w:bCs w:val="1"/>
                <w:color w:val="auto"/>
              </w:rPr>
              <w:t xml:space="preserve">Board Retainers </w:t>
            </w:r>
            <w:r>
              <w:rPr>
                <w:rFonts w:ascii="Arial" w:cs="Arial" w:eastAsia="Arial" w:hAnsi="Arial"/>
                <w:sz w:val="25"/>
                <w:szCs w:val="25"/>
                <w:color w:val="auto"/>
                <w:vertAlign w:val="superscript"/>
              </w:rPr>
              <w:t>(1) (2)</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680"/>
              <w:spacing w:after="0" w:line="243" w:lineRule="exact"/>
              <w:rPr>
                <w:sz w:val="20"/>
                <w:szCs w:val="20"/>
                <w:color w:val="auto"/>
              </w:rPr>
            </w:pPr>
            <w:r>
              <w:rPr>
                <w:rFonts w:ascii="Arial" w:cs="Arial" w:eastAsia="Arial" w:hAnsi="Arial"/>
                <w:sz w:val="22"/>
                <w:szCs w:val="22"/>
                <w:color w:val="auto"/>
              </w:rPr>
              <w:t>Stock</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$77,000</w:t>
            </w:r>
          </w:p>
        </w:tc>
      </w:tr>
      <w:tr>
        <w:trPr>
          <w:trHeight w:val="285"/>
        </w:trPr>
        <w:tc>
          <w:tcPr>
            <w:tcW w:w="6980" w:type="dxa"/>
            <w:vAlign w:val="bottom"/>
            <w:tcBorders>
              <w:left w:val="single" w:sz="8" w:color="auto"/>
              <w:bottom w:val="single" w:sz="8" w:color="auto"/>
            </w:tcBorders>
          </w:tcPr>
          <w:p>
            <w:pPr>
              <w:ind w:left="680"/>
              <w:spacing w:after="0"/>
              <w:rPr>
                <w:sz w:val="20"/>
                <w:szCs w:val="20"/>
                <w:color w:val="auto"/>
              </w:rPr>
            </w:pPr>
            <w:r>
              <w:rPr>
                <w:rFonts w:ascii="Arial" w:cs="Arial" w:eastAsia="Arial" w:hAnsi="Arial"/>
                <w:sz w:val="22"/>
                <w:szCs w:val="22"/>
                <w:color w:val="auto"/>
              </w:rPr>
              <w:t>Cash</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$62,000</w:t>
            </w:r>
          </w:p>
        </w:tc>
      </w:tr>
      <w:tr>
        <w:trPr>
          <w:trHeight w:val="249"/>
        </w:trPr>
        <w:tc>
          <w:tcPr>
            <w:tcW w:w="698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 xml:space="preserve">Committee Cash Retainers </w:t>
            </w:r>
            <w:r>
              <w:rPr>
                <w:rFonts w:ascii="Arial" w:cs="Arial" w:eastAsia="Arial" w:hAnsi="Arial"/>
                <w:sz w:val="25"/>
                <w:szCs w:val="25"/>
                <w:color w:val="auto"/>
                <w:vertAlign w:val="superscript"/>
              </w:rPr>
              <w:t>(1) (2)</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680"/>
              <w:spacing w:after="0" w:line="243" w:lineRule="exact"/>
              <w:rPr>
                <w:sz w:val="20"/>
                <w:szCs w:val="20"/>
                <w:color w:val="auto"/>
              </w:rPr>
            </w:pPr>
            <w:r>
              <w:rPr>
                <w:rFonts w:ascii="Arial" w:cs="Arial" w:eastAsia="Arial" w:hAnsi="Arial"/>
                <w:sz w:val="22"/>
                <w:szCs w:val="22"/>
                <w:color w:val="auto"/>
              </w:rPr>
              <w:t>Audit</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$9,000</w:t>
            </w:r>
          </w:p>
        </w:tc>
      </w:tr>
      <w:tr>
        <w:trPr>
          <w:trHeight w:val="243"/>
        </w:trPr>
        <w:tc>
          <w:tcPr>
            <w:tcW w:w="6980" w:type="dxa"/>
            <w:vAlign w:val="bottom"/>
            <w:tcBorders>
              <w:left w:val="single" w:sz="8" w:color="auto"/>
            </w:tcBorders>
          </w:tcPr>
          <w:p>
            <w:pPr>
              <w:ind w:left="680"/>
              <w:spacing w:after="0" w:line="243" w:lineRule="exact"/>
              <w:rPr>
                <w:sz w:val="20"/>
                <w:szCs w:val="20"/>
                <w:color w:val="auto"/>
              </w:rPr>
            </w:pPr>
            <w:r>
              <w:rPr>
                <w:rFonts w:ascii="Arial" w:cs="Arial" w:eastAsia="Arial" w:hAnsi="Arial"/>
                <w:sz w:val="22"/>
                <w:szCs w:val="22"/>
                <w:color w:val="auto"/>
              </w:rPr>
              <w:t>Executive Compensation</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$7,500</w:t>
            </w:r>
          </w:p>
        </w:tc>
      </w:tr>
      <w:tr>
        <w:trPr>
          <w:trHeight w:val="285"/>
        </w:trPr>
        <w:tc>
          <w:tcPr>
            <w:tcW w:w="6980" w:type="dxa"/>
            <w:vAlign w:val="bottom"/>
            <w:tcBorders>
              <w:left w:val="single" w:sz="8" w:color="auto"/>
              <w:bottom w:val="single" w:sz="8" w:color="auto"/>
            </w:tcBorders>
          </w:tcPr>
          <w:p>
            <w:pPr>
              <w:ind w:left="680"/>
              <w:spacing w:after="0"/>
              <w:rPr>
                <w:sz w:val="20"/>
                <w:szCs w:val="20"/>
                <w:color w:val="auto"/>
              </w:rPr>
            </w:pPr>
            <w:r>
              <w:rPr>
                <w:rFonts w:ascii="Arial" w:cs="Arial" w:eastAsia="Arial" w:hAnsi="Arial"/>
                <w:sz w:val="22"/>
                <w:szCs w:val="22"/>
                <w:color w:val="auto"/>
              </w:rPr>
              <w:t>Corporate Governance &amp; Nominating</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$7,500</w:t>
            </w:r>
          </w:p>
        </w:tc>
      </w:tr>
      <w:tr>
        <w:trPr>
          <w:trHeight w:val="249"/>
        </w:trPr>
        <w:tc>
          <w:tcPr>
            <w:tcW w:w="698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 xml:space="preserve">Chair Cash Retainers </w:t>
            </w:r>
            <w:r>
              <w:rPr>
                <w:rFonts w:ascii="Arial" w:cs="Arial" w:eastAsia="Arial" w:hAnsi="Arial"/>
                <w:sz w:val="25"/>
                <w:szCs w:val="25"/>
                <w:color w:val="auto"/>
                <w:vertAlign w:val="superscript"/>
              </w:rPr>
              <w:t>(1) (2)</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680"/>
              <w:spacing w:after="0" w:line="243" w:lineRule="exact"/>
              <w:rPr>
                <w:sz w:val="20"/>
                <w:szCs w:val="20"/>
                <w:color w:val="auto"/>
              </w:rPr>
            </w:pPr>
            <w:r>
              <w:rPr>
                <w:rFonts w:ascii="Arial" w:cs="Arial" w:eastAsia="Arial" w:hAnsi="Arial"/>
                <w:sz w:val="22"/>
                <w:szCs w:val="22"/>
                <w:color w:val="auto"/>
              </w:rPr>
              <w:t>Audit</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$10,000</w:t>
            </w:r>
          </w:p>
        </w:tc>
      </w:tr>
      <w:tr>
        <w:trPr>
          <w:trHeight w:val="243"/>
        </w:trPr>
        <w:tc>
          <w:tcPr>
            <w:tcW w:w="6980" w:type="dxa"/>
            <w:vAlign w:val="bottom"/>
            <w:tcBorders>
              <w:left w:val="single" w:sz="8" w:color="auto"/>
            </w:tcBorders>
          </w:tcPr>
          <w:p>
            <w:pPr>
              <w:ind w:left="680"/>
              <w:spacing w:after="0" w:line="243" w:lineRule="exact"/>
              <w:rPr>
                <w:sz w:val="20"/>
                <w:szCs w:val="20"/>
                <w:color w:val="auto"/>
              </w:rPr>
            </w:pPr>
            <w:r>
              <w:rPr>
                <w:rFonts w:ascii="Arial" w:cs="Arial" w:eastAsia="Arial" w:hAnsi="Arial"/>
                <w:sz w:val="22"/>
                <w:szCs w:val="22"/>
                <w:color w:val="auto"/>
              </w:rPr>
              <w:t>Executive Compensation</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$7,500</w:t>
            </w:r>
          </w:p>
        </w:tc>
      </w:tr>
      <w:tr>
        <w:trPr>
          <w:trHeight w:val="285"/>
        </w:trPr>
        <w:tc>
          <w:tcPr>
            <w:tcW w:w="6980" w:type="dxa"/>
            <w:vAlign w:val="bottom"/>
            <w:tcBorders>
              <w:left w:val="single" w:sz="8" w:color="auto"/>
              <w:bottom w:val="single" w:sz="8" w:color="auto"/>
            </w:tcBorders>
          </w:tcPr>
          <w:p>
            <w:pPr>
              <w:ind w:left="680"/>
              <w:spacing w:after="0"/>
              <w:rPr>
                <w:sz w:val="20"/>
                <w:szCs w:val="20"/>
                <w:color w:val="auto"/>
              </w:rPr>
            </w:pPr>
            <w:r>
              <w:rPr>
                <w:rFonts w:ascii="Arial" w:cs="Arial" w:eastAsia="Arial" w:hAnsi="Arial"/>
                <w:sz w:val="22"/>
                <w:szCs w:val="22"/>
                <w:color w:val="auto"/>
              </w:rPr>
              <w:t>Corporate Governance &amp; Nominating</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$5,000</w:t>
            </w:r>
          </w:p>
        </w:tc>
      </w:tr>
      <w:tr>
        <w:trPr>
          <w:trHeight w:val="351"/>
        </w:trPr>
        <w:tc>
          <w:tcPr>
            <w:tcW w:w="6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42"/>
        </w:trPr>
        <w:tc>
          <w:tcPr>
            <w:tcW w:w="698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b w:val="1"/>
                <w:bCs w:val="1"/>
                <w:color w:val="auto"/>
              </w:rPr>
              <w:t xml:space="preserve">Lead Director </w:t>
            </w:r>
            <w:r>
              <w:rPr>
                <w:rFonts w:ascii="Arial" w:cs="Arial" w:eastAsia="Arial" w:hAnsi="Arial"/>
                <w:sz w:val="25"/>
                <w:szCs w:val="25"/>
                <w:color w:val="auto"/>
                <w:vertAlign w:val="superscript"/>
              </w:rPr>
              <w:t>(1) (2) (3)</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680"/>
              <w:spacing w:after="0" w:line="243" w:lineRule="exact"/>
              <w:rPr>
                <w:sz w:val="20"/>
                <w:szCs w:val="20"/>
                <w:color w:val="auto"/>
              </w:rPr>
            </w:pPr>
            <w:r>
              <w:rPr>
                <w:rFonts w:ascii="Arial" w:cs="Arial" w:eastAsia="Arial" w:hAnsi="Arial"/>
                <w:sz w:val="22"/>
                <w:szCs w:val="22"/>
                <w:color w:val="auto"/>
              </w:rPr>
              <w:t>Board Stock Retainer</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$77,000</w:t>
            </w:r>
          </w:p>
        </w:tc>
      </w:tr>
      <w:tr>
        <w:trPr>
          <w:trHeight w:val="243"/>
        </w:trPr>
        <w:tc>
          <w:tcPr>
            <w:tcW w:w="6980" w:type="dxa"/>
            <w:vAlign w:val="bottom"/>
            <w:tcBorders>
              <w:left w:val="single" w:sz="8" w:color="auto"/>
            </w:tcBorders>
          </w:tcPr>
          <w:p>
            <w:pPr>
              <w:ind w:left="680"/>
              <w:spacing w:after="0" w:line="243" w:lineRule="exact"/>
              <w:rPr>
                <w:sz w:val="20"/>
                <w:szCs w:val="20"/>
                <w:color w:val="auto"/>
              </w:rPr>
            </w:pPr>
            <w:r>
              <w:rPr>
                <w:rFonts w:ascii="Arial" w:cs="Arial" w:eastAsia="Arial" w:hAnsi="Arial"/>
                <w:sz w:val="22"/>
                <w:szCs w:val="22"/>
                <w:color w:val="auto"/>
              </w:rPr>
              <w:t>Board Cash Retainer</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$62,000</w:t>
            </w:r>
          </w:p>
        </w:tc>
      </w:tr>
      <w:tr>
        <w:trPr>
          <w:trHeight w:val="285"/>
        </w:trPr>
        <w:tc>
          <w:tcPr>
            <w:tcW w:w="6980" w:type="dxa"/>
            <w:vAlign w:val="bottom"/>
            <w:tcBorders>
              <w:left w:val="single" w:sz="8" w:color="auto"/>
              <w:bottom w:val="single" w:sz="8" w:color="auto"/>
            </w:tcBorders>
          </w:tcPr>
          <w:p>
            <w:pPr>
              <w:ind w:left="680"/>
              <w:spacing w:after="0"/>
              <w:rPr>
                <w:sz w:val="20"/>
                <w:szCs w:val="20"/>
                <w:color w:val="auto"/>
              </w:rPr>
            </w:pPr>
            <w:r>
              <w:rPr>
                <w:rFonts w:ascii="Arial" w:cs="Arial" w:eastAsia="Arial" w:hAnsi="Arial"/>
                <w:sz w:val="22"/>
                <w:szCs w:val="22"/>
                <w:color w:val="auto"/>
              </w:rPr>
              <w:t>Lead Director Cash Retainer</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$25,000</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25"/>
          <w:szCs w:val="25"/>
          <w:color w:val="auto"/>
          <w:vertAlign w:val="superscript"/>
        </w:rPr>
      </w:pPr>
      <w:r>
        <w:rPr>
          <w:rFonts w:ascii="Arial" w:cs="Arial" w:eastAsia="Arial" w:hAnsi="Arial"/>
          <w:sz w:val="20"/>
          <w:szCs w:val="20"/>
          <w:color w:val="auto"/>
        </w:rPr>
        <w:t>Cash and stock retainers may be deferred under the Director Compensation Deferral Plan II.</w:t>
      </w:r>
    </w:p>
    <w:p>
      <w:pPr>
        <w:ind w:left="340" w:hanging="332"/>
        <w:spacing w:after="0" w:line="191" w:lineRule="auto"/>
        <w:tabs>
          <w:tab w:leader="none" w:pos="340" w:val="left"/>
        </w:tabs>
        <w:numPr>
          <w:ilvl w:val="0"/>
          <w:numId w:val="76"/>
        </w:numPr>
        <w:rPr>
          <w:rFonts w:ascii="Arial" w:cs="Arial" w:eastAsia="Arial" w:hAnsi="Arial"/>
          <w:sz w:val="25"/>
          <w:szCs w:val="25"/>
          <w:color w:val="auto"/>
          <w:vertAlign w:val="superscript"/>
        </w:rPr>
      </w:pPr>
      <w:r>
        <w:rPr>
          <w:rFonts w:ascii="Arial" w:cs="Arial" w:eastAsia="Arial" w:hAnsi="Arial"/>
          <w:sz w:val="20"/>
          <w:szCs w:val="20"/>
          <w:color w:val="auto"/>
        </w:rPr>
        <w:t>Cash retainers may be elected to be received in ALLETE stock.</w:t>
      </w:r>
    </w:p>
    <w:p>
      <w:pPr>
        <w:ind w:left="340" w:hanging="332"/>
        <w:spacing w:after="0" w:line="195" w:lineRule="auto"/>
        <w:tabs>
          <w:tab w:leader="none" w:pos="340" w:val="left"/>
        </w:tabs>
        <w:numPr>
          <w:ilvl w:val="0"/>
          <w:numId w:val="76"/>
        </w:numPr>
        <w:rPr>
          <w:rFonts w:ascii="Arial" w:cs="Arial" w:eastAsia="Arial" w:hAnsi="Arial"/>
          <w:sz w:val="25"/>
          <w:szCs w:val="25"/>
          <w:color w:val="auto"/>
          <w:vertAlign w:val="superscript"/>
        </w:rPr>
      </w:pPr>
      <w:r>
        <w:rPr>
          <w:rFonts w:ascii="Arial" w:cs="Arial" w:eastAsia="Arial" w:hAnsi="Arial"/>
          <w:sz w:val="20"/>
          <w:szCs w:val="20"/>
          <w:color w:val="auto"/>
        </w:rPr>
        <w:t>Lead Director is not eligible for other committee or chair retainers.</w:t>
      </w:r>
    </w:p>
    <w:p>
      <w:pPr>
        <w:sectPr>
          <w:pgSz w:w="11900" w:h="16838" w:orient="portrait"/>
          <w:cols w:equalWidth="0" w:num="1">
            <w:col w:w="11420"/>
          </w:cols>
          <w:pgMar w:left="240" w:top="121"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w w:val="91"/>
              </w:rPr>
              <w:t>Exhibit 12</w:t>
            </w:r>
          </w:p>
        </w:tc>
      </w:tr>
      <w:tr>
        <w:trPr>
          <w:trHeight w:val="414"/>
        </w:trPr>
        <w:tc>
          <w:tcPr>
            <w:tcW w:w="108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5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Computation of Ratios of Earnings to Fixed Charges (Unaudited)</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94"/>
        </w:trPr>
        <w:tc>
          <w:tcPr>
            <w:tcW w:w="68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4"/>
                <w:szCs w:val="24"/>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68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as Defined</w:t>
            </w: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840" w:type="dxa"/>
            <w:vAlign w:val="bottom"/>
            <w:gridSpan w:val="2"/>
          </w:tcPr>
          <w:p>
            <w:pPr>
              <w:ind w:left="380"/>
              <w:spacing w:after="0"/>
              <w:rPr>
                <w:sz w:val="20"/>
                <w:szCs w:val="20"/>
                <w:color w:val="auto"/>
              </w:rPr>
            </w:pPr>
            <w:r>
              <w:rPr>
                <w:rFonts w:ascii="Arial" w:cs="Arial" w:eastAsia="Arial" w:hAnsi="Arial"/>
                <w:sz w:val="18"/>
                <w:szCs w:val="18"/>
                <w:color w:val="auto"/>
              </w:rPr>
              <w:t>Pretax Income Before Non-Controlling Interest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$175.6</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$166.8</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$162.2</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$133.3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$135.0</w:t>
            </w:r>
          </w:p>
        </w:tc>
        <w:tc>
          <w:tcPr>
            <w:tcW w:w="4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w:t>
            </w: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71.9</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62.5</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21"/>
                <w:szCs w:val="21"/>
                <w:color w:val="auto"/>
              </w:rPr>
            </w:pPr>
          </w:p>
        </w:tc>
      </w:tr>
      <w:tr>
        <w:trPr>
          <w:trHeight w:val="243"/>
        </w:trPr>
        <w:tc>
          <w:tcPr>
            <w:tcW w:w="1080" w:type="dxa"/>
            <w:vAlign w:val="bottom"/>
          </w:tcPr>
          <w:p>
            <w:pPr>
              <w:ind w:left="380"/>
              <w:spacing w:after="0"/>
              <w:rPr>
                <w:sz w:val="20"/>
                <w:szCs w:val="20"/>
                <w:color w:val="auto"/>
              </w:rPr>
            </w:pPr>
            <w:r>
              <w:rPr>
                <w:rFonts w:ascii="Arial" w:cs="Arial" w:eastAsia="Arial" w:hAnsi="Arial"/>
                <w:sz w:val="18"/>
                <w:szCs w:val="18"/>
                <w:color w:val="auto"/>
              </w:rPr>
              <w:t>Less:</w:t>
            </w:r>
          </w:p>
        </w:tc>
        <w:tc>
          <w:tcPr>
            <w:tcW w:w="5760" w:type="dxa"/>
            <w:vAlign w:val="bottom"/>
          </w:tcPr>
          <w:p>
            <w:pPr>
              <w:spacing w:after="0"/>
              <w:rPr>
                <w:sz w:val="20"/>
                <w:szCs w:val="20"/>
                <w:color w:val="auto"/>
              </w:rPr>
            </w:pPr>
            <w:r>
              <w:rPr>
                <w:rFonts w:ascii="Arial" w:cs="Arial" w:eastAsia="Arial" w:hAnsi="Arial"/>
                <w:sz w:val="18"/>
                <w:szCs w:val="18"/>
                <w:color w:val="auto"/>
                <w:w w:val="96"/>
              </w:rPr>
              <w:t>Undistributed Income from Less than 50 percent Owned Equity Investment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r>
      <w:tr>
        <w:trPr>
          <w:trHeight w:val="27"/>
        </w:trPr>
        <w:tc>
          <w:tcPr>
            <w:tcW w:w="68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6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Earnings as Defined</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$242.9</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$236.9</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$222.1</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40" w:type="dxa"/>
            <w:vAlign w:val="bottom"/>
          </w:tcPr>
          <w:p>
            <w:pPr>
              <w:spacing w:after="0"/>
              <w:rPr>
                <w:sz w:val="22"/>
                <w:szCs w:val="22"/>
                <w:color w:val="auto"/>
              </w:rPr>
            </w:pPr>
          </w:p>
        </w:tc>
      </w:tr>
      <w:tr>
        <w:trPr>
          <w:trHeight w:val="318"/>
        </w:trPr>
        <w:tc>
          <w:tcPr>
            <w:tcW w:w="1080" w:type="dxa"/>
            <w:vAlign w:val="bottom"/>
            <w:tcBorders>
              <w:top w:val="single" w:sz="8" w:color="auto"/>
            </w:tcBorders>
          </w:tcPr>
          <w:p>
            <w:pPr>
              <w:spacing w:after="0"/>
              <w:rPr>
                <w:sz w:val="24"/>
                <w:szCs w:val="24"/>
                <w:color w:val="auto"/>
              </w:rPr>
            </w:pPr>
          </w:p>
        </w:tc>
        <w:tc>
          <w:tcPr>
            <w:tcW w:w="57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Fixed Charges</w:t>
            </w:r>
          </w:p>
        </w:tc>
        <w:tc>
          <w:tcPr>
            <w:tcW w:w="5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840" w:type="dxa"/>
            <w:vAlign w:val="bottom"/>
            <w:gridSpan w:val="2"/>
          </w:tcPr>
          <w:p>
            <w:pPr>
              <w:ind w:left="380"/>
              <w:spacing w:after="0"/>
              <w:rPr>
                <w:sz w:val="20"/>
                <w:szCs w:val="20"/>
                <w:color w:val="auto"/>
              </w:rPr>
            </w:pPr>
            <w:r>
              <w:rPr>
                <w:rFonts w:ascii="Arial" w:cs="Arial" w:eastAsia="Arial" w:hAnsi="Arial"/>
                <w:sz w:val="18"/>
                <w:szCs w:val="18"/>
                <w:color w:val="auto"/>
              </w:rPr>
              <w:t>Interest on Long-Term Debt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$64.7</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$64.7</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$55.6</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40" w:type="dxa"/>
            <w:vAlign w:val="bottom"/>
          </w:tcPr>
          <w:p>
            <w:pPr>
              <w:spacing w:after="0"/>
              <w:rPr>
                <w:sz w:val="21"/>
                <w:szCs w:val="21"/>
                <w:color w:val="auto"/>
              </w:rPr>
            </w:pPr>
          </w:p>
        </w:tc>
      </w:tr>
      <w:tr>
        <w:trPr>
          <w:trHeight w:val="27"/>
        </w:trPr>
        <w:tc>
          <w:tcPr>
            <w:tcW w:w="68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Interest Charges</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r>
      <w:tr>
        <w:trPr>
          <w:trHeight w:val="243"/>
        </w:trPr>
        <w:tc>
          <w:tcPr>
            <w:tcW w:w="6840" w:type="dxa"/>
            <w:vAlign w:val="bottom"/>
            <w:gridSpan w:val="2"/>
          </w:tcPr>
          <w:p>
            <w:pPr>
              <w:ind w:left="380"/>
              <w:spacing w:after="0"/>
              <w:rPr>
                <w:sz w:val="20"/>
                <w:szCs w:val="20"/>
                <w:color w:val="auto"/>
              </w:rPr>
            </w:pPr>
            <w:r>
              <w:rPr>
                <w:rFonts w:ascii="Arial" w:cs="Arial" w:eastAsia="Arial" w:hAnsi="Arial"/>
                <w:sz w:val="18"/>
                <w:szCs w:val="18"/>
                <w:color w:val="auto"/>
              </w:rPr>
              <w:t xml:space="preserve">Interest Component of All Rentals </w:t>
            </w:r>
            <w:r>
              <w:rPr>
                <w:rFonts w:ascii="Arial" w:cs="Arial" w:eastAsia="Arial" w:hAnsi="Arial"/>
                <w:sz w:val="18"/>
                <w:szCs w:val="18"/>
                <w:i w:val="1"/>
                <w:iCs w:val="1"/>
                <w:color w:val="auto"/>
              </w:rPr>
              <w:t>(a)</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r>
      <w:tr>
        <w:trPr>
          <w:trHeight w:val="27"/>
        </w:trPr>
        <w:tc>
          <w:tcPr>
            <w:tcW w:w="68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6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Fixed Charges</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$73.0</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$71.9</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$62.5</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22"/>
                <w:szCs w:val="22"/>
                <w:color w:val="auto"/>
              </w:rPr>
            </w:pPr>
          </w:p>
        </w:tc>
      </w:tr>
      <w:tr>
        <w:trPr>
          <w:trHeight w:val="237"/>
        </w:trPr>
        <w:tc>
          <w:tcPr>
            <w:tcW w:w="6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10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3.33</w:t>
            </w: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3.29</w:t>
            </w:r>
          </w:p>
        </w:tc>
        <w:tc>
          <w:tcPr>
            <w:tcW w:w="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3.55</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3.28</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05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interest portion of rents estimated at 33 1/3 percent.</w:t>
      </w:r>
    </w:p>
    <w:p>
      <w:pPr>
        <w:sectPr>
          <w:pgSz w:w="11900" w:h="16838" w:orient="portrait"/>
          <w:cols w:equalWidth="0" w:num="1">
            <w:col w:w="11420"/>
          </w:cols>
          <w:pgMar w:left="240" w:top="580"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820" w:type="dxa"/>
            <w:vAlign w:val="bottom"/>
            <w:gridSpan w:val="2"/>
          </w:tcPr>
          <w:p>
            <w:pPr>
              <w:ind w:left="2020"/>
              <w:spacing w:after="0"/>
              <w:rPr>
                <w:sz w:val="20"/>
                <w:szCs w:val="20"/>
                <w:color w:val="auto"/>
              </w:rPr>
            </w:pPr>
            <w:r>
              <w:rPr>
                <w:rFonts w:ascii="Arial" w:cs="Arial" w:eastAsia="Arial" w:hAnsi="Arial"/>
                <w:sz w:val="18"/>
                <w:szCs w:val="18"/>
                <w:b w:val="1"/>
                <w:bCs w:val="1"/>
                <w:color w:val="auto"/>
                <w:w w:val="91"/>
              </w:rPr>
              <w:t>Exhibit 21</w:t>
            </w:r>
          </w:p>
        </w:tc>
      </w:tr>
      <w:tr>
        <w:trPr>
          <w:trHeight w:val="441"/>
        </w:trPr>
        <w:tc>
          <w:tcPr>
            <w:tcW w:w="8600" w:type="dxa"/>
            <w:vAlign w:val="bottom"/>
          </w:tcPr>
          <w:p>
            <w:pPr>
              <w:ind w:left="4100"/>
              <w:spacing w:after="0"/>
              <w:rPr>
                <w:sz w:val="20"/>
                <w:szCs w:val="20"/>
                <w:color w:val="auto"/>
              </w:rPr>
            </w:pPr>
            <w:r>
              <w:rPr>
                <w:rFonts w:ascii="Arial" w:cs="Arial" w:eastAsia="Arial" w:hAnsi="Arial"/>
                <w:sz w:val="18"/>
                <w:szCs w:val="18"/>
                <w:b w:val="1"/>
                <w:bCs w:val="1"/>
                <w:color w:val="auto"/>
              </w:rPr>
              <w:t>SUBSIDIARIES OF THE REGISTRANT</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8600" w:type="dxa"/>
            <w:vAlign w:val="bottom"/>
          </w:tcPr>
          <w:p>
            <w:pPr>
              <w:ind w:left="4760"/>
              <w:spacing w:after="0"/>
              <w:rPr>
                <w:sz w:val="20"/>
                <w:szCs w:val="20"/>
                <w:color w:val="auto"/>
              </w:rPr>
            </w:pPr>
            <w:r>
              <w:rPr>
                <w:rFonts w:ascii="Arial" w:cs="Arial" w:eastAsia="Arial" w:hAnsi="Arial"/>
                <w:sz w:val="18"/>
                <w:szCs w:val="18"/>
                <w:b w:val="1"/>
                <w:bCs w:val="1"/>
                <w:color w:val="auto"/>
              </w:rPr>
              <w:t>As of December 31, 2016</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86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8600" w:type="dxa"/>
            <w:vAlign w:val="bottom"/>
          </w:tcPr>
          <w:p>
            <w:pPr>
              <w:ind w:left="40"/>
              <w:spacing w:after="0"/>
              <w:rPr>
                <w:sz w:val="20"/>
                <w:szCs w:val="20"/>
                <w:color w:val="auto"/>
              </w:rPr>
            </w:pPr>
            <w:r>
              <w:rPr>
                <w:rFonts w:ascii="Arial" w:cs="Arial" w:eastAsia="Arial" w:hAnsi="Arial"/>
                <w:sz w:val="18"/>
                <w:szCs w:val="18"/>
                <w:b w:val="1"/>
                <w:bCs w:val="1"/>
                <w:color w:val="auto"/>
              </w:rPr>
              <w:t xml:space="preserve">Name of Organization </w:t>
            </w:r>
            <w:r>
              <w:rPr>
                <w:rFonts w:ascii="Arial" w:cs="Arial" w:eastAsia="Arial" w:hAnsi="Arial"/>
                <w:sz w:val="18"/>
                <w:szCs w:val="18"/>
                <w:i w:val="1"/>
                <w:iCs w:val="1"/>
                <w:color w:val="auto"/>
              </w:rPr>
              <w:t>(a)</w:t>
            </w:r>
          </w:p>
        </w:tc>
        <w:tc>
          <w:tcPr>
            <w:tcW w:w="2820" w:type="dxa"/>
            <w:vAlign w:val="bottom"/>
            <w:gridSpan w:val="2"/>
          </w:tcPr>
          <w:p>
            <w:pPr>
              <w:jc w:val="center"/>
              <w:ind w:left="990"/>
              <w:spacing w:after="0"/>
              <w:rPr>
                <w:sz w:val="20"/>
                <w:szCs w:val="20"/>
                <w:color w:val="auto"/>
              </w:rPr>
            </w:pPr>
            <w:r>
              <w:rPr>
                <w:rFonts w:ascii="Arial" w:cs="Arial" w:eastAsia="Arial" w:hAnsi="Arial"/>
                <w:sz w:val="18"/>
                <w:szCs w:val="18"/>
                <w:b w:val="1"/>
                <w:bCs w:val="1"/>
                <w:color w:val="auto"/>
                <w:w w:val="92"/>
              </w:rPr>
              <w:t>State or Country</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44"/>
        </w:trPr>
        <w:tc>
          <w:tcPr>
            <w:tcW w:w="86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ALLETE, Inc. </w:t>
            </w:r>
            <w:r>
              <w:rPr>
                <w:rFonts w:ascii="Arial" w:cs="Arial" w:eastAsia="Arial" w:hAnsi="Arial"/>
                <w:sz w:val="18"/>
                <w:szCs w:val="18"/>
                <w:i w:val="1"/>
                <w:iCs w:val="1"/>
                <w:color w:val="auto"/>
              </w:rPr>
              <w:t>(d/b/a ALLETE; Minnesota Power; Minnesota Power, Inc.;</w:t>
            </w:r>
          </w:p>
        </w:tc>
        <w:tc>
          <w:tcPr>
            <w:tcW w:w="2800" w:type="dxa"/>
            <w:vAlign w:val="bottom"/>
            <w:tcBorders>
              <w:top w:val="single" w:sz="8" w:color="auto"/>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8600" w:type="dxa"/>
            <w:vAlign w:val="bottom"/>
          </w:tcPr>
          <w:p>
            <w:pPr>
              <w:ind w:left="280"/>
              <w:spacing w:after="0"/>
              <w:rPr>
                <w:sz w:val="20"/>
                <w:szCs w:val="20"/>
                <w:color w:val="auto"/>
              </w:rPr>
            </w:pPr>
            <w:r>
              <w:rPr>
                <w:rFonts w:ascii="Arial" w:cs="Arial" w:eastAsia="Arial" w:hAnsi="Arial"/>
                <w:sz w:val="18"/>
                <w:szCs w:val="18"/>
                <w:i w:val="1"/>
                <w:iCs w:val="1"/>
                <w:color w:val="auto"/>
              </w:rPr>
              <w:t>Minnesota Power &amp; Light Company)</w:t>
            </w:r>
          </w:p>
        </w:tc>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Automotive Services,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8600" w:type="dxa"/>
            <w:vAlign w:val="bottom"/>
          </w:tcPr>
          <w:p>
            <w:pPr>
              <w:ind w:left="280"/>
              <w:spacing w:after="0"/>
              <w:rPr>
                <w:sz w:val="20"/>
                <w:szCs w:val="20"/>
                <w:color w:val="auto"/>
              </w:rPr>
            </w:pPr>
            <w:r>
              <w:rPr>
                <w:rFonts w:ascii="Arial" w:cs="Arial" w:eastAsia="Arial" w:hAnsi="Arial"/>
                <w:sz w:val="18"/>
                <w:szCs w:val="18"/>
                <w:color w:val="auto"/>
              </w:rPr>
              <w:t>ALLETE Capital II</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Capital III</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280"/>
              <w:spacing w:after="0"/>
              <w:rPr>
                <w:sz w:val="20"/>
                <w:szCs w:val="20"/>
                <w:color w:val="auto"/>
              </w:rPr>
            </w:pPr>
            <w:r>
              <w:rPr>
                <w:rFonts w:ascii="Arial" w:cs="Arial" w:eastAsia="Arial" w:hAnsi="Arial"/>
                <w:sz w:val="18"/>
                <w:szCs w:val="18"/>
                <w:color w:val="auto"/>
              </w:rPr>
              <w:t>ALLETE Enterprises, Inc.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1"/>
              </w:rPr>
              <w:t>Minnesota</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Clean Energy,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8600" w:type="dxa"/>
            <w:vAlign w:val="bottom"/>
          </w:tcPr>
          <w:p>
            <w:pPr>
              <w:ind w:left="720"/>
              <w:spacing w:after="0"/>
              <w:rPr>
                <w:sz w:val="20"/>
                <w:szCs w:val="20"/>
                <w:color w:val="auto"/>
              </w:rPr>
            </w:pPr>
            <w:r>
              <w:rPr>
                <w:rFonts w:ascii="Arial" w:cs="Arial" w:eastAsia="Arial" w:hAnsi="Arial"/>
                <w:sz w:val="18"/>
                <w:szCs w:val="18"/>
                <w:color w:val="auto"/>
              </w:rPr>
              <w:t>ACE Wind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ACE Mid-West Holdings,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1140"/>
              <w:spacing w:after="0"/>
              <w:rPr>
                <w:sz w:val="20"/>
                <w:szCs w:val="20"/>
                <w:color w:val="auto"/>
              </w:rPr>
            </w:pPr>
            <w:r>
              <w:rPr>
                <w:rFonts w:ascii="Arial" w:cs="Arial" w:eastAsia="Arial" w:hAnsi="Arial"/>
                <w:sz w:val="18"/>
                <w:szCs w:val="18"/>
                <w:color w:val="auto"/>
              </w:rPr>
              <w:t>MWW Holdings,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Lake Benton Power Associates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1580"/>
              <w:spacing w:after="0"/>
              <w:rPr>
                <w:sz w:val="20"/>
                <w:szCs w:val="20"/>
                <w:color w:val="auto"/>
              </w:rPr>
            </w:pPr>
            <w:r>
              <w:rPr>
                <w:rFonts w:ascii="Arial" w:cs="Arial" w:eastAsia="Arial" w:hAnsi="Arial"/>
                <w:sz w:val="18"/>
                <w:szCs w:val="18"/>
                <w:color w:val="auto"/>
              </w:rPr>
              <w:t>Lake Benton Holdings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Lake Benton Power Partners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1360"/>
              <w:spacing w:after="0"/>
              <w:rPr>
                <w:sz w:val="20"/>
                <w:szCs w:val="20"/>
                <w:color w:val="auto"/>
              </w:rPr>
            </w:pPr>
            <w:r>
              <w:rPr>
                <w:rFonts w:ascii="Arial" w:cs="Arial" w:eastAsia="Arial" w:hAnsi="Arial"/>
                <w:sz w:val="18"/>
                <w:szCs w:val="18"/>
                <w:color w:val="auto"/>
              </w:rPr>
              <w:t>Storm Lake Power Partners I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Storm Lake II Power Associates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1580"/>
              <w:spacing w:after="0"/>
              <w:rPr>
                <w:sz w:val="20"/>
                <w:szCs w:val="20"/>
                <w:color w:val="auto"/>
              </w:rPr>
            </w:pPr>
            <w:r>
              <w:rPr>
                <w:rFonts w:ascii="Arial" w:cs="Arial" w:eastAsia="Arial" w:hAnsi="Arial"/>
                <w:sz w:val="18"/>
                <w:szCs w:val="18"/>
                <w:color w:val="auto"/>
              </w:rPr>
              <w:t>Storm Lake II Holdings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Storm Lake Power Partners II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1140"/>
              <w:spacing w:after="0"/>
              <w:rPr>
                <w:sz w:val="20"/>
                <w:szCs w:val="20"/>
                <w:color w:val="auto"/>
              </w:rPr>
            </w:pPr>
            <w:r>
              <w:rPr>
                <w:rFonts w:ascii="Arial" w:cs="Arial" w:eastAsia="Arial" w:hAnsi="Arial"/>
                <w:sz w:val="18"/>
                <w:szCs w:val="18"/>
                <w:color w:val="auto"/>
              </w:rPr>
              <w:t>Northern Wind Energy,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Chanarambie Power Partners,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1360"/>
              <w:spacing w:after="0"/>
              <w:rPr>
                <w:sz w:val="20"/>
                <w:szCs w:val="20"/>
                <w:color w:val="auto"/>
              </w:rPr>
            </w:pPr>
            <w:r>
              <w:rPr>
                <w:rFonts w:ascii="Arial" w:cs="Arial" w:eastAsia="Arial" w:hAnsi="Arial"/>
                <w:sz w:val="18"/>
                <w:szCs w:val="18"/>
                <w:color w:val="auto"/>
              </w:rPr>
              <w:t>Viking Wind Holdings,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ACE West Holdings,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1140"/>
              <w:spacing w:after="0"/>
              <w:rPr>
                <w:sz w:val="20"/>
                <w:szCs w:val="20"/>
                <w:color w:val="auto"/>
              </w:rPr>
            </w:pPr>
            <w:r>
              <w:rPr>
                <w:rFonts w:ascii="Arial" w:cs="Arial" w:eastAsia="Arial" w:hAnsi="Arial"/>
                <w:sz w:val="18"/>
                <w:szCs w:val="18"/>
                <w:color w:val="auto"/>
              </w:rPr>
              <w:t>Condon Wind Power,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Armenia Holdings,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1140"/>
              <w:spacing w:after="0"/>
              <w:rPr>
                <w:sz w:val="20"/>
                <w:szCs w:val="20"/>
                <w:color w:val="auto"/>
              </w:rPr>
            </w:pPr>
            <w:r>
              <w:rPr>
                <w:rFonts w:ascii="Arial" w:cs="Arial" w:eastAsia="Arial" w:hAnsi="Arial"/>
                <w:sz w:val="18"/>
                <w:szCs w:val="18"/>
                <w:color w:val="auto"/>
              </w:rPr>
              <w:t>AMW I Holding,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Armenia Mountain Wind,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1140"/>
              <w:spacing w:after="0"/>
              <w:rPr>
                <w:sz w:val="20"/>
                <w:szCs w:val="20"/>
                <w:color w:val="auto"/>
              </w:rPr>
            </w:pPr>
            <w:r>
              <w:rPr>
                <w:rFonts w:ascii="Arial" w:cs="Arial" w:eastAsia="Arial" w:hAnsi="Arial"/>
                <w:sz w:val="18"/>
                <w:szCs w:val="18"/>
                <w:color w:val="auto"/>
              </w:rPr>
              <w:t>Armenia Mountain Wind II,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Thunder Spirit Wind,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720"/>
              <w:spacing w:after="0"/>
              <w:rPr>
                <w:sz w:val="20"/>
                <w:szCs w:val="20"/>
                <w:color w:val="auto"/>
              </w:rPr>
            </w:pPr>
            <w:r>
              <w:rPr>
                <w:rFonts w:ascii="Arial" w:cs="Arial" w:eastAsia="Arial" w:hAnsi="Arial"/>
                <w:sz w:val="18"/>
                <w:szCs w:val="18"/>
                <w:color w:val="auto"/>
              </w:rPr>
              <w:t>ACE O&amp;M,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Renewable Resources,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4"/>
              </w:rPr>
              <w:t>North Dakota</w:t>
            </w:r>
          </w:p>
        </w:tc>
        <w:tc>
          <w:tcPr>
            <w:tcW w:w="20" w:type="dxa"/>
            <w:vAlign w:val="bottom"/>
          </w:tcPr>
          <w:p>
            <w:pPr>
              <w:spacing w:after="0"/>
              <w:rPr>
                <w:sz w:val="21"/>
                <w:szCs w:val="21"/>
                <w:color w:val="auto"/>
              </w:rPr>
            </w:pPr>
          </w:p>
        </w:tc>
      </w:tr>
      <w:tr>
        <w:trPr>
          <w:trHeight w:val="243"/>
        </w:trPr>
        <w:tc>
          <w:tcPr>
            <w:tcW w:w="8600" w:type="dxa"/>
            <w:vAlign w:val="bottom"/>
          </w:tcPr>
          <w:p>
            <w:pPr>
              <w:ind w:left="500"/>
              <w:spacing w:after="0"/>
              <w:rPr>
                <w:sz w:val="20"/>
                <w:szCs w:val="20"/>
                <w:color w:val="auto"/>
              </w:rPr>
            </w:pPr>
            <w:r>
              <w:rPr>
                <w:rFonts w:ascii="Arial" w:cs="Arial" w:eastAsia="Arial" w:hAnsi="Arial"/>
                <w:sz w:val="18"/>
                <w:szCs w:val="18"/>
                <w:color w:val="auto"/>
              </w:rPr>
              <w:t>ALLETE Transmission Holdings, Inc.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2"/>
              </w:rPr>
              <w:t>Wisconsin</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BNI Energy,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4"/>
              </w:rPr>
              <w:t>North Dakota</w:t>
            </w:r>
          </w:p>
        </w:tc>
        <w:tc>
          <w:tcPr>
            <w:tcW w:w="20" w:type="dxa"/>
            <w:vAlign w:val="bottom"/>
          </w:tcPr>
          <w:p>
            <w:pPr>
              <w:spacing w:after="0"/>
              <w:rPr>
                <w:sz w:val="21"/>
                <w:szCs w:val="21"/>
                <w:color w:val="auto"/>
              </w:rPr>
            </w:pPr>
          </w:p>
        </w:tc>
      </w:tr>
      <w:tr>
        <w:trPr>
          <w:trHeight w:val="243"/>
        </w:trPr>
        <w:tc>
          <w:tcPr>
            <w:tcW w:w="8600" w:type="dxa"/>
            <w:vAlign w:val="bottom"/>
          </w:tcPr>
          <w:p>
            <w:pPr>
              <w:ind w:left="720"/>
              <w:spacing w:after="0"/>
              <w:rPr>
                <w:sz w:val="20"/>
                <w:szCs w:val="20"/>
                <w:color w:val="auto"/>
              </w:rPr>
            </w:pPr>
            <w:r>
              <w:rPr>
                <w:rFonts w:ascii="Arial" w:cs="Arial" w:eastAsia="Arial" w:hAnsi="Arial"/>
                <w:sz w:val="18"/>
                <w:szCs w:val="18"/>
                <w:color w:val="auto"/>
              </w:rPr>
              <w:t>BNI Coal, Ltd.</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4"/>
              </w:rPr>
              <w:t>North Dakota</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Global Water Services Holding Company,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720"/>
              <w:spacing w:after="0"/>
              <w:rPr>
                <w:sz w:val="20"/>
                <w:szCs w:val="20"/>
                <w:color w:val="auto"/>
              </w:rPr>
            </w:pPr>
            <w:r>
              <w:rPr>
                <w:rFonts w:ascii="Arial" w:cs="Arial" w:eastAsia="Arial" w:hAnsi="Arial"/>
                <w:sz w:val="18"/>
                <w:szCs w:val="18"/>
                <w:color w:val="auto"/>
              </w:rPr>
              <w:t>Global Water Services Holdings, Inc.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Global Water Services,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1140"/>
              <w:spacing w:after="0"/>
              <w:rPr>
                <w:sz w:val="20"/>
                <w:szCs w:val="20"/>
                <w:color w:val="auto"/>
              </w:rPr>
            </w:pPr>
            <w:r>
              <w:rPr>
                <w:rFonts w:ascii="Arial" w:cs="Arial" w:eastAsia="Arial" w:hAnsi="Arial"/>
                <w:sz w:val="18"/>
                <w:szCs w:val="18"/>
                <w:color w:val="auto"/>
              </w:rPr>
              <w:t>U.S. Water Services Holding Company</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U.S. Water Energy Services,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1360"/>
              <w:spacing w:after="0"/>
              <w:rPr>
                <w:sz w:val="20"/>
                <w:szCs w:val="20"/>
                <w:color w:val="auto"/>
              </w:rPr>
            </w:pPr>
            <w:r>
              <w:rPr>
                <w:rFonts w:ascii="Arial" w:cs="Arial" w:eastAsia="Arial" w:hAnsi="Arial"/>
                <w:sz w:val="18"/>
                <w:szCs w:val="18"/>
                <w:color w:val="auto"/>
              </w:rPr>
              <w:t>U.S. Water Services – Canada, Inc.</w:t>
            </w:r>
          </w:p>
        </w:tc>
        <w:tc>
          <w:tcPr>
            <w:tcW w:w="2820" w:type="dxa"/>
            <w:vAlign w:val="bottom"/>
            <w:gridSpan w:val="2"/>
          </w:tcPr>
          <w:p>
            <w:pPr>
              <w:jc w:val="center"/>
              <w:ind w:left="990"/>
              <w:spacing w:after="0"/>
              <w:rPr>
                <w:sz w:val="20"/>
                <w:szCs w:val="20"/>
                <w:color w:val="auto"/>
              </w:rPr>
            </w:pPr>
            <w:r>
              <w:rPr>
                <w:rFonts w:ascii="Arial" w:cs="Arial" w:eastAsia="Arial" w:hAnsi="Arial"/>
                <w:sz w:val="18"/>
                <w:szCs w:val="18"/>
                <w:color w:val="auto"/>
                <w:w w:val="85"/>
              </w:rPr>
              <w:t>Canada</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U.S. Water Services,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8600" w:type="dxa"/>
            <w:vAlign w:val="bottom"/>
          </w:tcPr>
          <w:p>
            <w:pPr>
              <w:ind w:left="500"/>
              <w:spacing w:after="0"/>
              <w:rPr>
                <w:sz w:val="20"/>
                <w:szCs w:val="20"/>
                <w:color w:val="auto"/>
              </w:rPr>
            </w:pPr>
            <w:r>
              <w:rPr>
                <w:rFonts w:ascii="Arial" w:cs="Arial" w:eastAsia="Arial" w:hAnsi="Arial"/>
                <w:sz w:val="18"/>
                <w:szCs w:val="18"/>
                <w:color w:val="auto"/>
              </w:rPr>
              <w:t>MP Affiliate Resources, Inc.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1"/>
              </w:rPr>
              <w:t>Minnesota</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Rainy River Energy Corporation</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8600" w:type="dxa"/>
            <w:vAlign w:val="bottom"/>
          </w:tcPr>
          <w:p>
            <w:pPr>
              <w:ind w:left="500"/>
              <w:spacing w:after="0"/>
              <w:rPr>
                <w:sz w:val="20"/>
                <w:szCs w:val="20"/>
                <w:color w:val="auto"/>
              </w:rPr>
            </w:pPr>
            <w:r>
              <w:rPr>
                <w:rFonts w:ascii="Arial" w:cs="Arial" w:eastAsia="Arial" w:hAnsi="Arial"/>
                <w:sz w:val="18"/>
                <w:szCs w:val="18"/>
                <w:color w:val="auto"/>
              </w:rPr>
              <w:t>South Shore Energy,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2"/>
              </w:rPr>
              <w:t>Wisconsin</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Upper Minnesota Properties,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8600" w:type="dxa"/>
            <w:vAlign w:val="bottom"/>
          </w:tcPr>
          <w:p>
            <w:pPr>
              <w:ind w:left="720"/>
              <w:spacing w:after="0"/>
              <w:rPr>
                <w:sz w:val="20"/>
                <w:szCs w:val="20"/>
                <w:color w:val="auto"/>
              </w:rPr>
            </w:pPr>
            <w:r>
              <w:rPr>
                <w:rFonts w:ascii="Arial" w:cs="Arial" w:eastAsia="Arial" w:hAnsi="Arial"/>
                <w:sz w:val="18"/>
                <w:szCs w:val="18"/>
                <w:color w:val="auto"/>
              </w:rPr>
              <w:t>Upper Minnesota Properties - Development, Inc.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1"/>
              </w:rPr>
              <w:t>Minnesota</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ALLETE Properties, LLC </w:t>
            </w:r>
            <w:r>
              <w:rPr>
                <w:rFonts w:ascii="Arial" w:cs="Arial" w:eastAsia="Arial" w:hAnsi="Arial"/>
                <w:sz w:val="18"/>
                <w:szCs w:val="18"/>
                <w:i w:val="1"/>
                <w:iCs w:val="1"/>
                <w:color w:val="auto"/>
              </w:rPr>
              <w:t>(d/b/a ALLETE Properties)</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8600" w:type="dxa"/>
            <w:vAlign w:val="bottom"/>
          </w:tcPr>
          <w:p>
            <w:pPr>
              <w:ind w:left="500"/>
              <w:spacing w:after="0"/>
              <w:rPr>
                <w:sz w:val="20"/>
                <w:szCs w:val="20"/>
                <w:color w:val="auto"/>
              </w:rPr>
            </w:pPr>
            <w:r>
              <w:rPr>
                <w:rFonts w:ascii="Arial" w:cs="Arial" w:eastAsia="Arial" w:hAnsi="Arial"/>
                <w:sz w:val="18"/>
                <w:szCs w:val="18"/>
                <w:color w:val="auto"/>
              </w:rPr>
              <w:t>ALLETE Commercial,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4"/>
              </w:rPr>
              <w:t>Florida</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Lehigh Acquisition,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8600" w:type="dxa"/>
            <w:vAlign w:val="bottom"/>
          </w:tcPr>
          <w:p>
            <w:pPr>
              <w:ind w:left="720"/>
              <w:spacing w:after="0"/>
              <w:rPr>
                <w:sz w:val="20"/>
                <w:szCs w:val="20"/>
                <w:color w:val="auto"/>
              </w:rPr>
            </w:pPr>
            <w:r>
              <w:rPr>
                <w:rFonts w:ascii="Arial" w:cs="Arial" w:eastAsia="Arial" w:hAnsi="Arial"/>
                <w:sz w:val="18"/>
                <w:szCs w:val="18"/>
                <w:color w:val="auto"/>
              </w:rPr>
              <w:t>Florida Landmark Communities,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4"/>
              </w:rPr>
              <w:t>Florida</w:t>
            </w: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Lehigh Corporation</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r>
      <w:tr>
        <w:trPr>
          <w:trHeight w:val="243"/>
        </w:trPr>
        <w:tc>
          <w:tcPr>
            <w:tcW w:w="8600" w:type="dxa"/>
            <w:vAlign w:val="bottom"/>
          </w:tcPr>
          <w:p>
            <w:pPr>
              <w:ind w:left="920"/>
              <w:spacing w:after="0"/>
              <w:rPr>
                <w:sz w:val="20"/>
                <w:szCs w:val="20"/>
                <w:color w:val="auto"/>
              </w:rPr>
            </w:pPr>
            <w:r>
              <w:rPr>
                <w:rFonts w:ascii="Arial" w:cs="Arial" w:eastAsia="Arial" w:hAnsi="Arial"/>
                <w:sz w:val="18"/>
                <w:szCs w:val="18"/>
                <w:color w:val="auto"/>
              </w:rPr>
              <w:t>Mardem,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4"/>
              </w:rPr>
              <w:t>Florida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21" w:right="239" w:bottom="1050" w:gutter="0" w:footer="0" w:header="0"/>
        </w:sectPr>
      </w:pPr>
    </w:p>
    <w:p>
      <w:pPr>
        <w:spacing w:after="0" w:line="3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5"/>
          <w:szCs w:val="15"/>
          <w:i w:val="1"/>
          <w:iCs w:val="1"/>
          <w:color w:val="auto"/>
        </w:rPr>
        <w:t>Certain insignificant subsidiaries are omitted.</w:t>
      </w:r>
    </w:p>
    <w:p>
      <w:pPr>
        <w:sectPr>
          <w:pgSz w:w="11900" w:h="16838" w:orient="portrait"/>
          <w:cols w:equalWidth="0" w:num="1">
            <w:col w:w="11420"/>
          </w:cols>
          <w:pgMar w:left="240" w:top="121" w:right="239" w:bottom="1050" w:gutter="0" w:footer="0" w:header="0"/>
          <w:type w:val="continuous"/>
        </w:sectPr>
      </w:pPr>
    </w:p>
    <w:bookmarkStart w:id="164" w:name="page165"/>
    <w:bookmarkEnd w:id="164"/>
    <w:tbl>
      <w:tblPr>
        <w:tblLayout w:type="fixed"/>
        <w:tblInd w:w="4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4760" w:type="dxa"/>
            <w:vAlign w:val="bottom"/>
            <w:gridSpan w:val="2"/>
          </w:tcPr>
          <w:p>
            <w:pPr>
              <w:ind w:left="3960"/>
              <w:spacing w:after="0"/>
              <w:rPr>
                <w:sz w:val="20"/>
                <w:szCs w:val="20"/>
                <w:color w:val="auto"/>
              </w:rPr>
            </w:pPr>
            <w:r>
              <w:rPr>
                <w:rFonts w:ascii="Arial" w:cs="Arial" w:eastAsia="Arial" w:hAnsi="Arial"/>
                <w:sz w:val="18"/>
                <w:szCs w:val="18"/>
                <w:b w:val="1"/>
                <w:bCs w:val="1"/>
                <w:color w:val="auto"/>
                <w:w w:val="91"/>
              </w:rPr>
              <w:t>Exhibit 21</w:t>
            </w:r>
          </w:p>
        </w:tc>
      </w:tr>
      <w:tr>
        <w:trPr>
          <w:trHeight w:val="446"/>
        </w:trPr>
        <w:tc>
          <w:tcPr>
            <w:tcW w:w="66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 xml:space="preserve">Name of Organization </w:t>
            </w:r>
            <w:r>
              <w:rPr>
                <w:rFonts w:ascii="Arial" w:cs="Arial" w:eastAsia="Arial" w:hAnsi="Arial"/>
                <w:sz w:val="18"/>
                <w:szCs w:val="18"/>
                <w:i w:val="1"/>
                <w:iCs w:val="1"/>
                <w:color w:val="auto"/>
              </w:rPr>
              <w:t>(a)</w:t>
            </w:r>
          </w:p>
        </w:tc>
        <w:tc>
          <w:tcPr>
            <w:tcW w:w="4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92"/>
              </w:rPr>
              <w:t>State or Country</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44"/>
        </w:trPr>
        <w:tc>
          <w:tcPr>
            <w:tcW w:w="662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Palm Coast Holdings, Inc.</w:t>
            </w:r>
          </w:p>
        </w:tc>
        <w:tc>
          <w:tcPr>
            <w:tcW w:w="4740" w:type="dxa"/>
            <w:vAlign w:val="bottom"/>
            <w:tcBorders>
              <w:top w:val="single" w:sz="8" w:color="auto"/>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r>
      <w:tr>
        <w:trPr>
          <w:trHeight w:val="243"/>
        </w:trPr>
        <w:tc>
          <w:tcPr>
            <w:tcW w:w="6620" w:type="dxa"/>
            <w:vAlign w:val="bottom"/>
          </w:tcPr>
          <w:p>
            <w:pPr>
              <w:ind w:left="920"/>
              <w:spacing w:after="0"/>
              <w:rPr>
                <w:sz w:val="20"/>
                <w:szCs w:val="20"/>
                <w:color w:val="auto"/>
              </w:rPr>
            </w:pPr>
            <w:r>
              <w:rPr>
                <w:rFonts w:ascii="Arial" w:cs="Arial" w:eastAsia="Arial" w:hAnsi="Arial"/>
                <w:sz w:val="18"/>
                <w:szCs w:val="18"/>
                <w:color w:val="auto"/>
              </w:rPr>
              <w:t>Port Orange Holdings, LLC</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4"/>
              </w:rPr>
              <w:t>Florida</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Interlachen Lakes Estates, LLC</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r>
      <w:tr>
        <w:trPr>
          <w:trHeight w:val="243"/>
        </w:trPr>
        <w:tc>
          <w:tcPr>
            <w:tcW w:w="6620" w:type="dxa"/>
            <w:vAlign w:val="bottom"/>
          </w:tcPr>
          <w:p>
            <w:pPr>
              <w:ind w:left="480"/>
              <w:spacing w:after="0"/>
              <w:rPr>
                <w:sz w:val="20"/>
                <w:szCs w:val="20"/>
                <w:color w:val="auto"/>
              </w:rPr>
            </w:pPr>
            <w:r>
              <w:rPr>
                <w:rFonts w:ascii="Arial" w:cs="Arial" w:eastAsia="Arial" w:hAnsi="Arial"/>
                <w:sz w:val="18"/>
                <w:szCs w:val="18"/>
                <w:color w:val="auto"/>
              </w:rPr>
              <w:t>Palm Coast Land, LLC</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4"/>
              </w:rPr>
              <w:t>Florida</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Water Services, Inc.</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6620" w:type="dxa"/>
            <w:vAlign w:val="bottom"/>
          </w:tcPr>
          <w:p>
            <w:pPr>
              <w:ind w:left="480"/>
              <w:spacing w:after="0"/>
              <w:rPr>
                <w:sz w:val="20"/>
                <w:szCs w:val="20"/>
                <w:color w:val="auto"/>
              </w:rPr>
            </w:pPr>
            <w:r>
              <w:rPr>
                <w:rFonts w:ascii="Arial" w:cs="Arial" w:eastAsia="Arial" w:hAnsi="Arial"/>
                <w:sz w:val="18"/>
                <w:szCs w:val="18"/>
                <w:color w:val="auto"/>
              </w:rPr>
              <w:t>Florida Water Services Corporation</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4"/>
              </w:rPr>
              <w:t>Florida</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Energy Replacement Property, LLC</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Energy Land, Incorporated</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2"/>
              </w:rPr>
              <w:t>Wisconsin</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Lakeview Financial Corporation I</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Lakeview Financial Corporation II</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1"/>
              </w:rPr>
              <w:t>Minnesota</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MP Investments, Inc.</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RendField Land Company, Inc.</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1"/>
              </w:rPr>
              <w:t>Minnesota</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Superior Water, Light and Power Company</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2"/>
              </w:rPr>
              <w:t>Wisconsin</w:t>
            </w:r>
          </w:p>
        </w:tc>
        <w:tc>
          <w:tcPr>
            <w:tcW w:w="20" w:type="dxa"/>
            <w:vAlign w:val="bottom"/>
          </w:tcPr>
          <w:p>
            <w:pPr>
              <w:spacing w:after="0"/>
              <w:rPr>
                <w:sz w:val="21"/>
                <w:szCs w:val="21"/>
                <w:color w:val="auto"/>
              </w:rPr>
            </w:pPr>
          </w:p>
        </w:tc>
      </w:tr>
      <w:tr>
        <w:trPr>
          <w:trHeight w:val="20"/>
        </w:trPr>
        <w:tc>
          <w:tcPr>
            <w:tcW w:w="6620" w:type="dxa"/>
            <w:vAlign w:val="bottom"/>
            <w:shd w:val="clear" w:color="auto" w:fill="000000"/>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5"/>
          <w:szCs w:val="15"/>
          <w:i w:val="1"/>
          <w:iCs w:val="1"/>
          <w:color w:val="auto"/>
        </w:rPr>
        <w:t>Certain insignificant subsidiaries are omitted.</w:t>
      </w:r>
    </w:p>
    <w:p>
      <w:pPr>
        <w:sectPr>
          <w:pgSz w:w="11900" w:h="16838" w:orient="portrait"/>
          <w:cols w:equalWidth="0" w:num="1">
            <w:col w:w="11420"/>
          </w:cols>
          <w:pgMar w:left="240" w:top="121"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333-212794, 333-211075) and Form S-8 (Nos. 333-162890, 333-183051, 333-190336, 333-207846) of ALLETE, Inc. of our report dated February 15, 2017, relating to the financial statements, financial statement schedule and the effectiveness of internal control over financial reporting, which appears in this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2017</w:t>
      </w:r>
    </w:p>
    <w:p>
      <w:pPr>
        <w:sectPr>
          <w:pgSz w:w="11900" w:h="16838" w:orient="portrait"/>
          <w:cols w:equalWidth="0" w:num="1">
            <w:col w:w="11420"/>
          </w:cols>
          <w:pgMar w:left="240" w:top="121"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Alan R. Hodnik, certify that:</w:t>
      </w:r>
    </w:p>
    <w:p>
      <w:pPr>
        <w:spacing w:after="0" w:line="225"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2016,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Date: February 15, 2017</w:t>
      </w:r>
      <w:r>
        <w:rPr>
          <w:sz w:val="20"/>
          <w:szCs w:val="20"/>
          <w:color w:val="auto"/>
        </w:rPr>
        <w:tab/>
      </w:r>
      <w:r>
        <w:rPr>
          <w:rFonts w:ascii="Arial" w:cs="Arial" w:eastAsia="Arial" w:hAnsi="Arial"/>
          <w:sz w:val="16"/>
          <w:szCs w:val="16"/>
          <w:u w:val="single" w:color="auto"/>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31750</wp:posOffset>
            </wp:positionV>
            <wp:extent cx="39789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Steven Q. DeVinck, certify that:</w:t>
      </w:r>
    </w:p>
    <w:p>
      <w:pPr>
        <w:spacing w:after="0" w:line="225"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2016,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3680" w:val="left"/>
        </w:tabs>
        <w:rPr>
          <w:sz w:val="20"/>
          <w:szCs w:val="20"/>
          <w:color w:val="auto"/>
        </w:rPr>
      </w:pPr>
      <w:r>
        <w:rPr>
          <w:rFonts w:ascii="Arial" w:cs="Arial" w:eastAsia="Arial" w:hAnsi="Arial"/>
          <w:sz w:val="18"/>
          <w:szCs w:val="18"/>
          <w:color w:val="auto"/>
        </w:rPr>
        <w:t>Date:</w:t>
        <w:tab/>
        <w:t>February 15, 2017</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31750</wp:posOffset>
            </wp:positionV>
            <wp:extent cx="49225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1"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340" w:hanging="170"/>
        <w:spacing w:after="0" w:line="277"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Annual Report on Form 10-K of ALLETE for the fiscal year ended December 31, 2016, (Report) fully complies with the requirements of Section 13(a) of the Securities Exchange Act of 1934 (15 U.S.C. 78m); and</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15, 2017</w:t>
      </w:r>
      <w:r>
        <w:rPr>
          <w:sz w:val="20"/>
          <w:szCs w:val="20"/>
          <w:color w:val="auto"/>
        </w:rPr>
        <w:tab/>
      </w:r>
      <w:r>
        <w:rPr>
          <w:rFonts w:ascii="Arial" w:cs="Arial" w:eastAsia="Arial" w:hAnsi="Arial"/>
          <w:sz w:val="16"/>
          <w:szCs w:val="16"/>
          <w:u w:val="single" w:color="auto"/>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31750</wp:posOffset>
            </wp:positionV>
            <wp:extent cx="40906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5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15, 2017</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31750</wp:posOffset>
            </wp:positionV>
            <wp:extent cx="40906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5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581"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Mine Safety Disclosure</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year ended December 31, 2016, BNI Energy, owner of Center Mine, received no significant and substantial (S&amp;S) citations under Section 104(a) of the Mine Safety Act. For the year ended December 31, 2016,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170" w:name="page171"/>
    <w:bookmarkEnd w:id="170"/>
    <w:p>
      <w:pPr>
        <w:jc w:val="right"/>
        <w:spacing w:after="0"/>
        <w:rPr>
          <w:sz w:val="20"/>
          <w:szCs w:val="20"/>
          <w:color w:val="auto"/>
        </w:rPr>
      </w:pPr>
      <w:r>
        <w:rPr>
          <w:rFonts w:ascii="Arial" w:cs="Arial" w:eastAsia="Arial" w:hAnsi="Arial"/>
          <w:sz w:val="17"/>
          <w:szCs w:val="17"/>
          <w:color w:val="auto"/>
        </w:rPr>
        <w:t>Exhibit 99</w:t>
      </w:r>
    </w:p>
    <w:p>
      <w:pPr>
        <w:sectPr>
          <w:pgSz w:w="11900" w:h="16838" w:orient="portrait"/>
          <w:cols w:equalWidth="0" w:num="1">
            <w:col w:w="11400"/>
          </w:cols>
          <w:pgMar w:left="240" w:top="1260" w:right="259" w:bottom="1440" w:gutter="0" w:footer="0" w:header="0"/>
        </w:sectPr>
      </w:pPr>
    </w:p>
    <w:p>
      <w:pPr>
        <w:spacing w:after="0" w:line="75"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-74295</wp:posOffset>
            </wp:positionV>
            <wp:extent cx="1372235" cy="6261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2235"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2017</w:t>
      </w:r>
    </w:p>
    <w:p>
      <w:pPr>
        <w:spacing w:after="0" w:line="86" w:lineRule="exact"/>
        <w:rPr>
          <w:sz w:val="20"/>
          <w:szCs w:val="20"/>
          <w:color w:val="auto"/>
        </w:rPr>
      </w:pPr>
    </w:p>
    <w:p>
      <w:pPr>
        <w:sectPr>
          <w:pgSz w:w="11900" w:h="16838" w:orient="portrait"/>
          <w:cols w:equalWidth="0" w:num="2">
            <w:col w:w="8000" w:space="720"/>
            <w:col w:w="2680"/>
          </w:cols>
          <w:pgMar w:left="240" w:top="1260" w:right="259" w:bottom="1440" w:gutter="0" w:footer="0" w:header="0"/>
          <w:type w:val="continuous"/>
        </w:sectPr>
      </w:pPr>
    </w:p>
    <w:p>
      <w:pPr>
        <w:ind w:left="6900"/>
        <w:spacing w:after="0"/>
        <w:rPr>
          <w:sz w:val="20"/>
          <w:szCs w:val="20"/>
          <w:color w:val="auto"/>
        </w:rPr>
      </w:pPr>
      <w:r>
        <w:rPr>
          <w:rFonts w:ascii="Arial" w:cs="Arial" w:eastAsia="Arial" w:hAnsi="Arial"/>
          <w:sz w:val="16"/>
          <w:szCs w:val="16"/>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Vince Meyer</w:t>
      </w:r>
    </w:p>
    <w:p>
      <w:pPr>
        <w:spacing w:after="0" w:line="86" w:lineRule="exact"/>
        <w:rPr>
          <w:sz w:val="20"/>
          <w:szCs w:val="20"/>
          <w:color w:val="auto"/>
        </w:rPr>
      </w:pPr>
    </w:p>
    <w:p>
      <w:pPr>
        <w:sectPr>
          <w:pgSz w:w="11900" w:h="16838" w:orient="portrait"/>
          <w:cols w:equalWidth="0" w:num="2">
            <w:col w:w="8160" w:space="560"/>
            <w:col w:w="2680"/>
          </w:cols>
          <w:pgMar w:left="240" w:top="1260" w:right="259" w:bottom="1440" w:gutter="0" w:footer="0" w:header="0"/>
          <w:type w:val="continuous"/>
        </w:sectPr>
      </w:pPr>
    </w:p>
    <w:p>
      <w:pPr>
        <w:ind w:left="8720"/>
        <w:spacing w:after="0"/>
        <w:rPr>
          <w:sz w:val="20"/>
          <w:szCs w:val="20"/>
          <w:color w:val="auto"/>
        </w:rPr>
      </w:pPr>
      <w:r>
        <w:rPr>
          <w:rFonts w:ascii="Arial" w:cs="Arial" w:eastAsia="Arial" w:hAnsi="Arial"/>
          <w:sz w:val="18"/>
          <w:szCs w:val="18"/>
          <w:color w:val="auto"/>
        </w:rPr>
        <w:t>218-723-3952</w:t>
      </w:r>
    </w:p>
    <w:p>
      <w:pPr>
        <w:spacing w:after="0" w:line="63" w:lineRule="exact"/>
        <w:rPr>
          <w:sz w:val="20"/>
          <w:szCs w:val="20"/>
          <w:color w:val="auto"/>
        </w:rPr>
      </w:pPr>
    </w:p>
    <w:p>
      <w:pPr>
        <w:ind w:left="8720"/>
        <w:spacing w:after="0"/>
        <w:rPr>
          <w:sz w:val="20"/>
          <w:szCs w:val="20"/>
          <w:color w:val="auto"/>
        </w:rPr>
      </w:pPr>
      <w:r>
        <w:rPr>
          <w:rFonts w:ascii="Arial" w:cs="Arial" w:eastAsia="Arial" w:hAnsi="Arial"/>
          <w:sz w:val="16"/>
          <w:szCs w:val="16"/>
          <w:color w:val="auto"/>
        </w:rPr>
        <w:t>vmeyer@allete.com</w:t>
      </w:r>
    </w:p>
    <w:p>
      <w:pPr>
        <w:sectPr>
          <w:pgSz w:w="11900" w:h="16838" w:orient="portrait"/>
          <w:cols w:equalWidth="0" w:num="1">
            <w:col w:w="11400"/>
          </w:cols>
          <w:pgMar w:left="240" w:top="1260" w:right="259" w:bottom="1440" w:gutter="0" w:footer="0" w:header="0"/>
          <w:type w:val="continuous"/>
        </w:sect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40"/>
          <w:szCs w:val="40"/>
          <w:b w:val="1"/>
          <w:bCs w:val="1"/>
          <w:i w:val="1"/>
          <w:iCs w:val="1"/>
          <w:color w:val="auto"/>
        </w:rPr>
        <w:t>NEWS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2016 earnings of $3.14 per share</w:t>
      </w:r>
    </w:p>
    <w:p>
      <w:pPr>
        <w:spacing w:after="0" w:line="26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DULUTH, Minn. - ALLETE, Inc. (NYSE: ALE) today reported 2016 earnings of $3.14 per share on net income of $155.3 million and operating revenue of $1.34 billion. Results from 2015 were $2.92 per share on net income of $141.1 million and operating revenue of $1.49 billion. Operating revenue in 2015 included $197.7 million for ALLETE Clean Energy’s construction of a wind energy facility which was sold to Montana-Dakota Utilities in 2015.</w:t>
      </w:r>
    </w:p>
    <w:p>
      <w:pPr>
        <w:spacing w:after="0" w:line="166"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Net income for 2016 was impacted by a gain related to the change in fair value of the U.S. Water Services contingent consideration liability, offset by the impact of an adverse November 2016 Minnesota Public Utilities Commission (MPUC) order on the allocation of North Dakota investment tax credits, a goodwill impairment charge related to ALLETE Clean Energy and expense related to the repayment of long-term debt.</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Net income for 2015 was impacted by a non-cash impairment charge related to the real estate assets of ALLETE Properties, the recognition of profit for the construction of a wind energy facility sold to Montana-Dakota Utilities and acquisition costs related to U.S. Water Services and ALLETE Clean Energy.</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 am pleased with the Company’s position and outlook as we move into 2017,” said ALLETE Chairman, President and CEO Al Hodnik, “Minnesota Power’s industrial customers start the year on a strong note, and our energy infrastructure and related services businesses are well positioned to capitalize on renewed growth and investment initiatives.”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ALLETE’s Regulated Operations segment, which includes Minnesota Power, Superior Water, Light and Power, and the Company’s investment in the American Transmission Co. (ATC), recorded net income of $135.5 million, an increase of $3.9 million compared to 2015. Net income increased at Minnesota Power due to higher cost recovery revenue, production tax credits and FERC formula-based rates, as well as lower operating and maintenance expenses. These increases were partially offset by higher depreciation expense, lower industrial sales and demand revenue, and restoration costs associated with a severe storm in July 2016. Our equity earnings in ATC increased $1.3 million after-tax in 2016, primarily due to additional investments in ATC and period over period changes in ATC’s estimate of a refund liability related to the MISO return on equity complaints.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ALLETE’s Energy Infrastructure and Related Services businesses, which include ALLETE Clean Energy and U.S. Water Services, recorded net income of</w:t>
      </w:r>
    </w:p>
    <w:p>
      <w:pPr>
        <w:spacing w:after="0" w:line="4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$13.4 million and $1.5 million, respectively. </w:t>
      </w:r>
      <w:r>
        <w:rPr>
          <w:rFonts w:ascii="Arial" w:cs="Arial" w:eastAsia="Arial" w:hAnsi="Arial"/>
          <w:sz w:val="17"/>
          <w:szCs w:val="17"/>
          <w:color w:val="333333"/>
        </w:rPr>
        <w:t>Results for 2015</w:t>
      </w:r>
      <w:r>
        <w:rPr>
          <w:rFonts w:ascii="Arial" w:cs="Arial" w:eastAsia="Arial" w:hAnsi="Arial"/>
          <w:sz w:val="17"/>
          <w:szCs w:val="17"/>
          <w:color w:val="auto"/>
        </w:rPr>
        <w:t xml:space="preserve"> at ALLETE Clean Energy included profit recognition of $20.4 million after-tax, or 42 cents per share, for the construction and sale of a wind energy facility to Montana-Dakota Utilities; 2015 also included $1.8 million after-tax, or 4 cents per share, in acquisition costs. Net income for 2016 at ALLETE Clean Energy included a $3.3 million after-tax, or 7 cents per share, goodwill impairment charge and a $0.9 million after-tax expense, or 2 cents per share, related to the prepayment of long-term debt. Earnings in 2016 at ALLETE Clean Energy were positively impacted by income generated from the operations of wind energy facilities acquired in April and July 2015. Earnings at U.S. Water Services increased $0.6 million reflecting lower amortization expense related to purchase accounting adjustments from the 2015 acquisition. 2016 also reflects increased investments in back office systems and support at U.S. Water Services as we create a platform for future growth.</w:t>
      </w:r>
    </w:p>
    <w:p>
      <w:pPr>
        <w:sectPr>
          <w:pgSz w:w="11900" w:h="16838" w:orient="portrait"/>
          <w:cols w:equalWidth="0" w:num="1">
            <w:col w:w="11400"/>
          </w:cols>
          <w:pgMar w:left="240" w:top="1260" w:right="259" w:bottom="1440" w:gutter="0" w:footer="0" w:header="0"/>
          <w:type w:val="continuous"/>
        </w:sectPr>
      </w:pPr>
    </w:p>
    <w:bookmarkStart w:id="171" w:name="page172"/>
    <w:bookmarkEnd w:id="171"/>
    <w:p>
      <w:pPr>
        <w:ind w:right="100"/>
        <w:spacing w:after="0" w:line="255" w:lineRule="auto"/>
        <w:rPr>
          <w:sz w:val="20"/>
          <w:szCs w:val="20"/>
          <w:color w:val="auto"/>
        </w:rPr>
      </w:pPr>
      <w:r>
        <w:rPr>
          <w:rFonts w:ascii="Arial" w:cs="Arial" w:eastAsia="Arial" w:hAnsi="Arial"/>
          <w:sz w:val="18"/>
          <w:szCs w:val="18"/>
          <w:color w:val="auto"/>
        </w:rPr>
        <w:t>The Corporate and Other segment, which includes BNI Energy and ALLETE Properties, recorded net income of $4.9 million for the year, compared to a net loss of $21.3 million in 2015. Net income in 2016 included an after-tax gain of $13.6 million, or 28 cents per share, related to the change in fair value of the U.S. Water Services contingent consideration liability, partially offset by an $8.8 million after-tax, or 18 cents per share, adverse impact for the regulatory outcome of a November 2016 MPUC order on the allocation of North Dakota investment tax credits. In 2015, the net loss included a $22.3 million after-tax, or 46 cents per share, non-cash impairment charge related to the real estate assets of ALLETE Properties and $3.0 million after-tax, or 6 cents per share, in acquisition costs related to U.S. Water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Earnings were diluted by 7 cents in 2016, due to additional shares of common stock outstanding as of December 31, 2016.</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ALLETE will host a conference call and webcast at 10 a.m. Eastern Time this morning to discuss details of its financial performance and earnings guidance. Interested parties may listen live by calling (877) 303-5852, or by accessing the webcast at www.allete.com. A replay of the call will be available through February 19, 2017 by calling (855) 859-2056, pass code 49223856. The webcast will be accessible for one year at </w:t>
      </w:r>
      <w:r>
        <w:rPr>
          <w:rFonts w:ascii="Arial" w:cs="Arial" w:eastAsia="Arial" w:hAnsi="Arial"/>
          <w:sz w:val="17"/>
          <w:szCs w:val="17"/>
          <w:u w:val="single" w:color="auto"/>
          <w:color w:val="0000FF"/>
        </w:rPr>
        <w:t>www.allete.com</w:t>
      </w:r>
      <w:r>
        <w:rPr>
          <w:rFonts w:ascii="Arial" w:cs="Arial" w:eastAsia="Arial" w:hAnsi="Arial"/>
          <w:sz w:val="17"/>
          <w:szCs w:val="17"/>
          <w:color w:val="auto"/>
        </w:rPr>
        <w:t>.</w:t>
      </w:r>
    </w:p>
    <w:p>
      <w:pPr>
        <w:spacing w:after="0" w:line="166"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 xml:space="preserve">ALLETE is an energy company headquartered in Duluth, Minn. In addition to its electric utilities, Minnesota Power and Superior Water, Light and Power of Wisconsin, ALLETE owns ALLETE Clean Energy, based in Duluth, U.S. Water Services headquartered in St. Michael, Minn., BNI Energy in Center, N.D., and has an eight percent equity interest in the American Transmission Co. More information about ALLETE is available at </w:t>
      </w:r>
      <w:r>
        <w:rPr>
          <w:rFonts w:ascii="Arial" w:cs="Arial" w:eastAsia="Arial" w:hAnsi="Arial"/>
          <w:sz w:val="16"/>
          <w:szCs w:val="16"/>
          <w:u w:val="single" w:color="auto"/>
          <w:color w:val="0000FF"/>
        </w:rPr>
        <w:t>www.allete.com</w:t>
      </w:r>
      <w:r>
        <w:rPr>
          <w:rFonts w:ascii="Arial" w:cs="Arial" w:eastAsia="Arial" w:hAnsi="Arial"/>
          <w:sz w:val="16"/>
          <w:szCs w:val="16"/>
          <w:color w:val="auto"/>
        </w:rPr>
        <w:t xml:space="preserve">. </w:t>
      </w:r>
      <w:r>
        <w:rPr>
          <w:rFonts w:ascii="Arial" w:cs="Arial" w:eastAsia="Arial" w:hAnsi="Arial"/>
          <w:sz w:val="16"/>
          <w:szCs w:val="16"/>
          <w:i w:val="1"/>
          <w:iCs w:val="1"/>
          <w:color w:val="auto"/>
        </w:rPr>
        <w:t>ALE-CORP</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881" w:right="27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Ended December 31, 2016 and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8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540" w:type="dxa"/>
            <w:vAlign w:val="bottom"/>
          </w:tcPr>
          <w:p>
            <w:pPr>
              <w:spacing w:after="0"/>
              <w:rPr>
                <w:sz w:val="23"/>
                <w:szCs w:val="23"/>
                <w:color w:val="auto"/>
              </w:rPr>
            </w:pPr>
          </w:p>
        </w:tc>
        <w:tc>
          <w:tcPr>
            <w:tcW w:w="26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$341.5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$380.6</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$1,339.7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$1,486.4</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2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86.9</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85.2</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332.9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w:t>
            </w: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2660" w:type="dxa"/>
            <w:vAlign w:val="bottom"/>
          </w:tcPr>
          <w:p>
            <w:pPr>
              <w:jc w:val="right"/>
              <w:ind w:right="210"/>
              <w:spacing w:after="0"/>
              <w:rPr>
                <w:sz w:val="20"/>
                <w:szCs w:val="20"/>
                <w:color w:val="auto"/>
              </w:rPr>
            </w:pPr>
            <w:r>
              <w:rPr>
                <w:rFonts w:ascii="Arial" w:cs="Arial" w:eastAsia="Arial" w:hAnsi="Arial"/>
                <w:sz w:val="18"/>
                <w:szCs w:val="18"/>
                <w:color w:val="auto"/>
              </w:rPr>
              <w:t>15.7</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14.0</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65.2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54.1</w:t>
            </w: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31.6</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69.0</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144.7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302.3</w:t>
            </w: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660" w:type="dxa"/>
            <w:vAlign w:val="bottom"/>
          </w:tcPr>
          <w:p>
            <w:pPr>
              <w:jc w:val="right"/>
              <w:ind w:right="210"/>
              <w:spacing w:after="0"/>
              <w:rPr>
                <w:sz w:val="20"/>
                <w:szCs w:val="20"/>
                <w:color w:val="auto"/>
              </w:rPr>
            </w:pPr>
            <w:r>
              <w:rPr>
                <w:rFonts w:ascii="Arial" w:cs="Arial" w:eastAsia="Arial" w:hAnsi="Arial"/>
                <w:sz w:val="18"/>
                <w:szCs w:val="18"/>
                <w:color w:val="auto"/>
              </w:rPr>
              <w:t>93.2</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87.1</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334.1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333.5</w:t>
            </w: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50.1</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46.5</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195.8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660" w:type="dxa"/>
            <w:vAlign w:val="bottom"/>
          </w:tcPr>
          <w:p>
            <w:pPr>
              <w:jc w:val="right"/>
              <w:ind w:right="210"/>
              <w:spacing w:after="0"/>
              <w:rPr>
                <w:sz w:val="20"/>
                <w:szCs w:val="20"/>
                <w:color w:val="auto"/>
              </w:rPr>
            </w:pPr>
            <w:r>
              <w:rPr>
                <w:rFonts w:ascii="Arial" w:cs="Arial" w:eastAsia="Arial" w:hAnsi="Arial"/>
                <w:sz w:val="18"/>
                <w:szCs w:val="18"/>
                <w:color w:val="auto"/>
              </w:rPr>
              <w:t>13.2</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12.9</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53.8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(10.3)</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36.3</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37"/>
        </w:trPr>
        <w:tc>
          <w:tcPr>
            <w:tcW w:w="55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6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280.4</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351.0</w:t>
            </w: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1,116.2</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1,275.7</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61.1</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29.6</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223.5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(17.3)</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(15.9)</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2660" w:type="dxa"/>
            <w:vAlign w:val="bottom"/>
          </w:tcPr>
          <w:p>
            <w:pPr>
              <w:jc w:val="right"/>
              <w:ind w:right="210"/>
              <w:spacing w:after="0"/>
              <w:rPr>
                <w:sz w:val="20"/>
                <w:szCs w:val="20"/>
                <w:color w:val="auto"/>
              </w:rPr>
            </w:pPr>
            <w:r>
              <w:rPr>
                <w:rFonts w:ascii="Arial" w:cs="Arial" w:eastAsia="Arial" w:hAnsi="Arial"/>
                <w:sz w:val="18"/>
                <w:szCs w:val="18"/>
                <w:color w:val="auto"/>
              </w:rPr>
              <w:t>3.5</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18.5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37"/>
        </w:trPr>
        <w:tc>
          <w:tcPr>
            <w:tcW w:w="55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(12.7)</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(12.5)</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(47.9)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48.4</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17.1</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175.6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26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19.8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44.3</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18.8</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155.8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w:t>
            </w:r>
          </w:p>
        </w:tc>
      </w:tr>
      <w:tr>
        <w:trPr>
          <w:trHeight w:val="237"/>
        </w:trPr>
        <w:tc>
          <w:tcPr>
            <w:tcW w:w="55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6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0.5</w:t>
            </w: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0.5</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$44.3</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$18.3</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$155.3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49.5</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49.0</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49.3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60" w:type="dxa"/>
            <w:vAlign w:val="bottom"/>
          </w:tcPr>
          <w:p>
            <w:pPr>
              <w:jc w:val="right"/>
              <w:ind w:right="210"/>
              <w:spacing w:after="0"/>
              <w:rPr>
                <w:sz w:val="20"/>
                <w:szCs w:val="20"/>
                <w:color w:val="auto"/>
              </w:rPr>
            </w:pPr>
            <w:r>
              <w:rPr>
                <w:rFonts w:ascii="Arial" w:cs="Arial" w:eastAsia="Arial" w:hAnsi="Arial"/>
                <w:sz w:val="18"/>
                <w:szCs w:val="18"/>
                <w:color w:val="auto"/>
              </w:rPr>
              <w:t>49.7</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49.1</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49.5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48.4</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$0.37</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660" w:type="dxa"/>
            <w:vAlign w:val="bottom"/>
          </w:tcPr>
          <w:p>
            <w:pPr>
              <w:jc w:val="right"/>
              <w:ind w:right="130"/>
              <w:spacing w:after="0"/>
              <w:rPr>
                <w:sz w:val="20"/>
                <w:szCs w:val="20"/>
                <w:color w:val="auto"/>
              </w:rPr>
            </w:pPr>
            <w:r>
              <w:rPr>
                <w:rFonts w:ascii="Arial" w:cs="Arial" w:eastAsia="Arial" w:hAnsi="Arial"/>
                <w:sz w:val="18"/>
                <w:szCs w:val="18"/>
                <w:color w:val="auto"/>
              </w:rPr>
              <w:t>$0.89</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$0.37</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$3.14</w:t>
            </w:r>
          </w:p>
        </w:tc>
        <w:tc>
          <w:tcPr>
            <w:tcW w:w="96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$0.52</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$0.505</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554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 31,</w:t>
            </w:r>
          </w:p>
        </w:tc>
        <w:tc>
          <w:tcPr>
            <w:tcW w:w="438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 31,</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4380" w:type="dxa"/>
            <w:vAlign w:val="bottom"/>
          </w:tcPr>
          <w:p>
            <w:pPr>
              <w:spacing w:after="0"/>
              <w:rPr>
                <w:sz w:val="23"/>
                <w:szCs w:val="23"/>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8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267.0</w:t>
            </w:r>
          </w:p>
        </w:tc>
        <w:tc>
          <w:tcPr>
            <w:tcW w:w="1000" w:type="dxa"/>
            <w:vAlign w:val="bottom"/>
          </w:tcPr>
          <w:p>
            <w:pPr>
              <w:jc w:val="right"/>
              <w:spacing w:after="0"/>
              <w:rPr>
                <w:sz w:val="20"/>
                <w:szCs w:val="20"/>
                <w:color w:val="auto"/>
              </w:rPr>
            </w:pPr>
            <w:r>
              <w:rPr>
                <w:rFonts w:ascii="Arial" w:cs="Arial" w:eastAsia="Arial" w:hAnsi="Arial"/>
                <w:sz w:val="18"/>
                <w:szCs w:val="18"/>
                <w:color w:val="auto"/>
              </w:rPr>
              <w:t>274.0</w:t>
            </w:r>
          </w:p>
        </w:tc>
        <w:tc>
          <w:tcPr>
            <w:tcW w:w="438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1,370.4</w:t>
            </w:r>
          </w:p>
        </w:tc>
        <w:tc>
          <w:tcPr>
            <w:tcW w:w="940" w:type="dxa"/>
            <w:vAlign w:val="bottom"/>
          </w:tcPr>
          <w:p>
            <w:pPr>
              <w:jc w:val="right"/>
              <w:spacing w:after="0"/>
              <w:rPr>
                <w:sz w:val="20"/>
                <w:szCs w:val="20"/>
                <w:color w:val="auto"/>
              </w:rPr>
            </w:pPr>
            <w:r>
              <w:rPr>
                <w:rFonts w:ascii="Arial" w:cs="Arial" w:eastAsia="Arial" w:hAnsi="Arial"/>
                <w:sz w:val="18"/>
                <w:szCs w:val="18"/>
                <w:color w:val="auto"/>
              </w:rPr>
              <w:t>1,556.7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Property, Plant and Equipment - Net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3,669.1</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359.6</w:t>
            </w:r>
          </w:p>
        </w:tc>
        <w:tc>
          <w:tcPr>
            <w:tcW w:w="1000" w:type="dxa"/>
            <w:vAlign w:val="bottom"/>
          </w:tcPr>
          <w:p>
            <w:pPr>
              <w:jc w:val="right"/>
              <w:spacing w:after="0"/>
              <w:rPr>
                <w:sz w:val="20"/>
                <w:szCs w:val="20"/>
                <w:color w:val="auto"/>
              </w:rPr>
            </w:pPr>
            <w:r>
              <w:rPr>
                <w:rFonts w:ascii="Arial" w:cs="Arial" w:eastAsia="Arial" w:hAnsi="Arial"/>
                <w:sz w:val="18"/>
                <w:szCs w:val="18"/>
                <w:color w:val="auto"/>
              </w:rPr>
              <w:t>372.0</w:t>
            </w:r>
          </w:p>
        </w:tc>
        <w:tc>
          <w:tcPr>
            <w:tcW w:w="438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125.8</w:t>
            </w:r>
          </w:p>
        </w:tc>
        <w:tc>
          <w:tcPr>
            <w:tcW w:w="94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Defined Benefit Pension &amp; Other Postretirement Benefit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210.9</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vMerge w:val="continue"/>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Plans</w:t>
            </w: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9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000" w:type="dxa"/>
            <w:vAlign w:val="bottom"/>
          </w:tcPr>
          <w:p>
            <w:pPr>
              <w:jc w:val="right"/>
              <w:spacing w:after="0"/>
              <w:rPr>
                <w:sz w:val="20"/>
                <w:szCs w:val="20"/>
                <w:color w:val="auto"/>
              </w:rPr>
            </w:pPr>
            <w:r>
              <w:rPr>
                <w:rFonts w:ascii="Arial" w:cs="Arial" w:eastAsia="Arial" w:hAnsi="Arial"/>
                <w:sz w:val="18"/>
                <w:szCs w:val="18"/>
                <w:color w:val="auto"/>
              </w:rPr>
              <w:t>74.6</w:t>
            </w:r>
          </w:p>
        </w:tc>
        <w:tc>
          <w:tcPr>
            <w:tcW w:w="438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322.7</w:t>
            </w:r>
          </w:p>
        </w:tc>
        <w:tc>
          <w:tcPr>
            <w:tcW w:w="940" w:type="dxa"/>
            <w:vAlign w:val="bottom"/>
          </w:tcPr>
          <w:p>
            <w:pPr>
              <w:jc w:val="right"/>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Intangibles - Net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1,822.4</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1000" w:type="dxa"/>
            <w:vAlign w:val="bottom"/>
          </w:tcPr>
          <w:p>
            <w:pPr>
              <w:jc w:val="right"/>
              <w:spacing w:after="0"/>
              <w:rPr>
                <w:sz w:val="20"/>
                <w:szCs w:val="20"/>
                <w:color w:val="auto"/>
              </w:rPr>
            </w:pPr>
            <w:r>
              <w:rPr>
                <w:rFonts w:ascii="Arial" w:cs="Arial" w:eastAsia="Arial" w:hAnsi="Arial"/>
                <w:sz w:val="18"/>
                <w:szCs w:val="18"/>
                <w:color w:val="auto"/>
              </w:rPr>
              <w:t>68.1</w:t>
            </w:r>
          </w:p>
        </w:tc>
        <w:tc>
          <w:tcPr>
            <w:tcW w:w="4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$4,906.4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$4,894.5</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$4,906.4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$4,894.5</w:t>
            </w:r>
          </w:p>
        </w:tc>
        <w:tc>
          <w:tcPr>
            <w:tcW w:w="0" w:type="dxa"/>
            <w:vAlign w:val="bottom"/>
          </w:tcPr>
          <w:p>
            <w:pPr>
              <w:spacing w:after="0"/>
              <w:rPr>
                <w:sz w:val="1"/>
                <w:szCs w:val="1"/>
                <w:color w:val="auto"/>
              </w:rPr>
            </w:pPr>
          </w:p>
        </w:tc>
      </w:tr>
      <w:tr>
        <w:trPr>
          <w:trHeight w:val="20"/>
        </w:trPr>
        <w:tc>
          <w:tcPr>
            <w:tcW w:w="28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878" w:right="2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40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02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20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8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$23.5</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$135.5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16"/>
        </w:trPr>
        <w:tc>
          <w:tcPr>
            <w:tcW w:w="5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2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11.2</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13.4</w:t>
            </w:r>
          </w:p>
        </w:tc>
        <w:tc>
          <w:tcPr>
            <w:tcW w:w="96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2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5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5"/>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15.6</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(15.8)</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7"/>
        </w:trPr>
        <w:tc>
          <w:tcPr>
            <w:tcW w:w="53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ALLETE</w:t>
            </w:r>
          </w:p>
        </w:tc>
        <w:tc>
          <w:tcPr>
            <w:tcW w:w="2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$44.3</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$18.3</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$155.3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$0.37</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588"/>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28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600"/>
              <w:spacing w:after="0"/>
              <w:rPr>
                <w:sz w:val="20"/>
                <w:szCs w:val="20"/>
                <w:color w:val="auto"/>
              </w:rPr>
            </w:pPr>
            <w:r>
              <w:rPr>
                <w:rFonts w:ascii="Arial" w:cs="Arial" w:eastAsia="Arial" w:hAnsi="Arial"/>
                <w:sz w:val="18"/>
                <w:szCs w:val="18"/>
                <w:color w:val="auto"/>
              </w:rPr>
              <w:t>High</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$66.92</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$52.90</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$66.92</w:t>
            </w:r>
          </w:p>
        </w:tc>
        <w:tc>
          <w:tcPr>
            <w:tcW w:w="960" w:type="dxa"/>
            <w:vAlign w:val="bottom"/>
          </w:tcPr>
          <w:p>
            <w:pPr>
              <w:jc w:val="right"/>
              <w:spacing w:after="0"/>
              <w:rPr>
                <w:sz w:val="20"/>
                <w:szCs w:val="20"/>
                <w:color w:val="auto"/>
              </w:rPr>
            </w:pPr>
            <w:r>
              <w:rPr>
                <w:rFonts w:ascii="Arial" w:cs="Arial" w:eastAsia="Arial" w:hAnsi="Arial"/>
                <w:sz w:val="18"/>
                <w:szCs w:val="18"/>
                <w:color w:val="auto"/>
              </w:rPr>
              <w:t>$59.73</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$56.48</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$47.93</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$48.26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$45.29</w:t>
            </w:r>
          </w:p>
        </w:tc>
      </w:tr>
      <w:tr>
        <w:trPr>
          <w:trHeight w:val="243"/>
        </w:trPr>
        <w:tc>
          <w:tcPr>
            <w:tcW w:w="5320" w:type="dxa"/>
            <w:vAlign w:val="bottom"/>
          </w:tcPr>
          <w:p>
            <w:pPr>
              <w:ind w:left="600"/>
              <w:spacing w:after="0"/>
              <w:rPr>
                <w:sz w:val="20"/>
                <w:szCs w:val="20"/>
                <w:color w:val="auto"/>
              </w:rPr>
            </w:pPr>
            <w:r>
              <w:rPr>
                <w:rFonts w:ascii="Arial" w:cs="Arial" w:eastAsia="Arial" w:hAnsi="Arial"/>
                <w:sz w:val="18"/>
                <w:szCs w:val="18"/>
                <w:color w:val="auto"/>
              </w:rPr>
              <w:t>Close</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$64.19</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$50.83</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$64.19</w:t>
            </w:r>
          </w:p>
        </w:tc>
        <w:tc>
          <w:tcPr>
            <w:tcW w:w="960" w:type="dxa"/>
            <w:vAlign w:val="bottom"/>
          </w:tcPr>
          <w:p>
            <w:pPr>
              <w:jc w:val="right"/>
              <w:spacing w:after="0"/>
              <w:rPr>
                <w:sz w:val="20"/>
                <w:szCs w:val="20"/>
                <w:color w:val="auto"/>
              </w:rPr>
            </w:pPr>
            <w:r>
              <w:rPr>
                <w:rFonts w:ascii="Arial" w:cs="Arial" w:eastAsia="Arial" w:hAnsi="Arial"/>
                <w:sz w:val="18"/>
                <w:szCs w:val="18"/>
                <w:color w:val="auto"/>
              </w:rPr>
              <w:t>$50.83</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$38.17</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$37.18</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$38.17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r>
      <w:tr>
        <w:trPr>
          <w:trHeight w:val="594"/>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286</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280</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1,102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43"/>
        </w:trPr>
        <w:tc>
          <w:tcPr>
            <w:tcW w:w="532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352</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356</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1,442</w:t>
            </w:r>
          </w:p>
        </w:tc>
        <w:tc>
          <w:tcPr>
            <w:tcW w:w="960" w:type="dxa"/>
            <w:vAlign w:val="bottom"/>
          </w:tcPr>
          <w:p>
            <w:pPr>
              <w:jc w:val="right"/>
              <w:spacing w:after="0"/>
              <w:rPr>
                <w:sz w:val="20"/>
                <w:szCs w:val="20"/>
                <w:color w:val="auto"/>
              </w:rPr>
            </w:pPr>
            <w:r>
              <w:rPr>
                <w:rFonts w:ascii="Arial" w:cs="Arial" w:eastAsia="Arial" w:hAnsi="Arial"/>
                <w:sz w:val="18"/>
                <w:szCs w:val="18"/>
                <w:color w:val="auto"/>
              </w:rPr>
              <w:t>1,462</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204</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43"/>
        </w:trPr>
        <w:tc>
          <w:tcPr>
            <w:tcW w:w="532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1,716</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1,572</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6,456</w:t>
            </w:r>
          </w:p>
        </w:tc>
        <w:tc>
          <w:tcPr>
            <w:tcW w:w="960" w:type="dxa"/>
            <w:vAlign w:val="bottom"/>
          </w:tcPr>
          <w:p>
            <w:pPr>
              <w:jc w:val="right"/>
              <w:spacing w:after="0"/>
              <w:rPr>
                <w:sz w:val="20"/>
                <w:szCs w:val="20"/>
                <w:color w:val="auto"/>
              </w:rPr>
            </w:pPr>
            <w:r>
              <w:rPr>
                <w:rFonts w:ascii="Arial" w:cs="Arial" w:eastAsia="Arial" w:hAnsi="Arial"/>
                <w:sz w:val="18"/>
                <w:szCs w:val="18"/>
                <w:color w:val="auto"/>
              </w:rPr>
              <w:t>6,635</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2,559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2,412</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9,816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10,043</w:t>
            </w:r>
          </w:p>
        </w:tc>
      </w:tr>
      <w:tr>
        <w:trPr>
          <w:trHeight w:val="243"/>
        </w:trPr>
        <w:tc>
          <w:tcPr>
            <w:tcW w:w="532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860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1,254</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4,316</w:t>
            </w:r>
          </w:p>
        </w:tc>
        <w:tc>
          <w:tcPr>
            <w:tcW w:w="960" w:type="dxa"/>
            <w:vAlign w:val="bottom"/>
          </w:tcPr>
          <w:p>
            <w:pPr>
              <w:jc w:val="right"/>
              <w:spacing w:after="0"/>
              <w:rPr>
                <w:sz w:val="20"/>
                <w:szCs w:val="20"/>
                <w:color w:val="auto"/>
              </w:rPr>
            </w:pPr>
            <w:r>
              <w:rPr>
                <w:rFonts w:ascii="Arial" w:cs="Arial" w:eastAsia="Arial" w:hAnsi="Arial"/>
                <w:sz w:val="18"/>
                <w:szCs w:val="18"/>
                <w:color w:val="auto"/>
              </w:rPr>
              <w:t>4,310</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3,419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3,666</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14,132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14,353</w:t>
            </w:r>
          </w:p>
        </w:tc>
      </w:tr>
      <w:tr>
        <w:trPr>
          <w:trHeight w:val="588"/>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8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Operations</w:t>
            </w:r>
          </w:p>
        </w:tc>
        <w:tc>
          <w:tcPr>
            <w:tcW w:w="2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Retail and Municipal</w:t>
            </w:r>
          </w:p>
        </w:tc>
        <w:tc>
          <w:tcPr>
            <w:tcW w:w="2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$30.6</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$28.9</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$115.8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Commercial</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33.6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33.1</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133.7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132.9</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17.2</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15.0</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Industrial</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110.0</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103.7</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412.5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424.4</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Retail and Municipal</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191.4</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180.7</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729.6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734.4</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Other Power Suppliers</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41.9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43.9</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175.1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154.7</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26.9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96.0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r>
      <w:tr>
        <w:trPr>
          <w:trHeight w:val="237"/>
        </w:trPr>
        <w:tc>
          <w:tcPr>
            <w:tcW w:w="5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Regulated Utility Revenue</w:t>
            </w:r>
          </w:p>
        </w:tc>
        <w:tc>
          <w:tcPr>
            <w:tcW w:w="28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$260.2</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$248.2</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$1,000.7</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$991.2</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10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T"/>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x"/>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1)"/>
      <w:numFmt w:val="lowerLetter"/>
      <w:start w:val="1"/>
    </w:lvl>
  </w:abstractNum>
  <w:abstractNum w:abstractNumId="5">
    <w:nsid w:val="6A2342EC"/>
    <w:multiLevelType w:val="hybridMultilevel"/>
    <w:lvl w:ilvl="0">
      <w:lvlJc w:val="left"/>
      <w:lvlText w:val="(%1)"/>
      <w:numFmt w:val="lowerLetter"/>
      <w:start w:val="1"/>
    </w:lvl>
  </w:abstractNum>
  <w:abstractNum w:abstractNumId="6">
    <w:nsid w:val="2A487CB0"/>
    <w:multiLevelType w:val="hybridMultilevel"/>
    <w:lvl w:ilvl="0">
      <w:lvlJc w:val="left"/>
      <w:lvlText w:val="(%1)"/>
      <w:numFmt w:val="lowerLetter"/>
      <w:start w:val="1"/>
    </w:lvl>
  </w:abstractNum>
  <w:abstractNum w:abstractNumId="7">
    <w:nsid w:val="1D4ED43B"/>
    <w:multiLevelType w:val="hybridMultilevel"/>
    <w:lvl w:ilvl="0">
      <w:lvlJc w:val="left"/>
      <w:lvlText w:val="(%1)"/>
      <w:numFmt w:val="lowerLetter"/>
      <w:start w:val="1"/>
    </w:lvl>
  </w:abstractNum>
  <w:abstractNum w:abstractNumId="8">
    <w:nsid w:val="725A06FB"/>
    <w:multiLevelType w:val="hybridMultilevel"/>
    <w:lvl w:ilvl="0">
      <w:lvlJc w:val="left"/>
      <w:lvlText w:val="(%1)"/>
      <w:numFmt w:val="lowerLetter"/>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1)"/>
      <w:numFmt w:val="lowerLetter"/>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1)"/>
      <w:numFmt w:val="lowerLetter"/>
      <w:start w:val="1"/>
    </w:lvl>
  </w:abstractNum>
  <w:abstractNum w:abstractNumId="14">
    <w:nsid w:val="6DE91B18"/>
    <w:multiLevelType w:val="hybridMultilevel"/>
    <w:lvl w:ilvl="0">
      <w:lvlJc w:val="left"/>
      <w:lvlText w:val="(%1)"/>
      <w:numFmt w:val="lowerLetter"/>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1)"/>
      <w:numFmt w:val="lowerLetter"/>
      <w:start w:val="1"/>
    </w:lvl>
  </w:abstractNum>
  <w:abstractNum w:abstractNumId="18">
    <w:nsid w:val="684A481A"/>
    <w:multiLevelType w:val="hybridMultilevel"/>
    <w:lvl w:ilvl="0">
      <w:lvlJc w:val="left"/>
      <w:lvlText w:val="(%1)"/>
      <w:numFmt w:val="lowerLetter"/>
      <w:start w:val="1"/>
    </w:lvl>
  </w:abstractNum>
  <w:abstractNum w:abstractNumId="19">
    <w:nsid w:val="579478FE"/>
    <w:multiLevelType w:val="hybridMultilevel"/>
    <w:lvl w:ilvl="0">
      <w:lvlJc w:val="left"/>
      <w:lvlText w:val="(%1)"/>
      <w:numFmt w:val="decimal"/>
      <w:start w:val="3"/>
    </w:lvl>
  </w:abstractNum>
  <w:abstractNum w:abstractNumId="20">
    <w:nsid w:val="749ABB43"/>
    <w:multiLevelType w:val="hybridMultilevel"/>
    <w:lvl w:ilvl="0">
      <w:lvlJc w:val="left"/>
      <w:lvlText w:val="\emdash "/>
      <w:numFmt w:val="bullet"/>
      <w:start w:val="1"/>
    </w:lvl>
  </w:abstractNum>
  <w:abstractNum w:abstractNumId="21">
    <w:nsid w:val="3DC240FB"/>
    <w:multiLevelType w:val="hybridMultilevel"/>
    <w:lvl w:ilvl="0">
      <w:lvlJc w:val="left"/>
      <w:lvlText w:val="%1"/>
      <w:numFmt w:val="decimal"/>
      <w:start w:val="32"/>
    </w:lvl>
  </w:abstractNum>
  <w:abstractNum w:abstractNumId="22">
    <w:nsid w:val="1BA026FA"/>
    <w:multiLevelType w:val="hybridMultilevel"/>
    <w:lvl w:ilvl="0">
      <w:lvlJc w:val="left"/>
      <w:lvlText w:val="%1"/>
      <w:numFmt w:val="decimal"/>
      <w:start w:val="99"/>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1)"/>
      <w:numFmt w:val="lowerLetter"/>
      <w:start w:val="1"/>
    </w:lvl>
  </w:abstractNum>
  <w:abstractNum w:abstractNumId="27">
    <w:nsid w:val="520EEDD1"/>
    <w:multiLevelType w:val="hybridMultilevel"/>
    <w:lvl w:ilvl="0">
      <w:lvlJc w:val="left"/>
      <w:lvlText w:val="(%1)"/>
      <w:numFmt w:val="lowerLetter"/>
      <w:start w:val="1"/>
    </w:lvl>
  </w:abstractNum>
  <w:abstractNum w:abstractNumId="28">
    <w:nsid w:val="374A3FE6"/>
    <w:multiLevelType w:val="hybridMultilevel"/>
    <w:lvl w:ilvl="0">
      <w:lvlJc w:val="left"/>
      <w:lvlText w:val="(%1)"/>
      <w:numFmt w:val="lowerLetter"/>
      <w:start w:val="1"/>
    </w:lvl>
  </w:abstractNum>
  <w:abstractNum w:abstractNumId="29">
    <w:nsid w:val="4F4EF005"/>
    <w:multiLevelType w:val="hybridMultilevel"/>
    <w:lvl w:ilvl="0">
      <w:lvlJc w:val="left"/>
      <w:lvlText w:val="(%1)"/>
      <w:numFmt w:val="decimal"/>
      <w:start w:val="2"/>
    </w:lvl>
  </w:abstractNum>
  <w:abstractNum w:abstractNumId="30">
    <w:nsid w:val="23F9C13C"/>
    <w:multiLevelType w:val="hybridMultilevel"/>
    <w:lvl w:ilvl="0">
      <w:lvlJc w:val="left"/>
      <w:lvlText w:val="(%1)"/>
      <w:numFmt w:val="lowerLetter"/>
      <w:start w:val="1"/>
    </w:lvl>
  </w:abstractNum>
  <w:abstractNum w:abstractNumId="31">
    <w:nsid w:val="649BB77C"/>
    <w:multiLevelType w:val="hybridMultilevel"/>
    <w:lvl w:ilvl="0">
      <w:lvlJc w:val="left"/>
      <w:lvlText w:val="(%1)"/>
      <w:numFmt w:val="lowerLetter"/>
      <w:start w:val="1"/>
    </w:lvl>
  </w:abstractNum>
  <w:abstractNum w:abstractNumId="32">
    <w:nsid w:val="275AC794"/>
    <w:multiLevelType w:val="hybridMultilevel"/>
    <w:lvl w:ilvl="0">
      <w:lvlJc w:val="left"/>
      <w:lvlText w:val="(%1)"/>
      <w:numFmt w:val="lowerLetter"/>
      <w:start w:val="1"/>
    </w:lvl>
  </w:abstractNum>
  <w:abstractNum w:abstractNumId="33">
    <w:nsid w:val="39386575"/>
    <w:multiLevelType w:val="hybridMultilevel"/>
    <w:lvl w:ilvl="0">
      <w:lvlJc w:val="left"/>
      <w:lvlText w:val="(%1)"/>
      <w:numFmt w:val="lowerLetter"/>
      <w:start w:val="1"/>
    </w:lvl>
  </w:abstractNum>
  <w:abstractNum w:abstractNumId="34">
    <w:nsid w:val="1CF10FD8"/>
    <w:multiLevelType w:val="hybridMultilevel"/>
    <w:lvl w:ilvl="0">
      <w:lvlJc w:val="left"/>
      <w:lvlText w:val="(%1)"/>
      <w:numFmt w:val="lowerLetter"/>
      <w:start w:val="1"/>
    </w:lvl>
  </w:abstractNum>
  <w:abstractNum w:abstractNumId="35">
    <w:nsid w:val="180115BE"/>
    <w:multiLevelType w:val="hybridMultilevel"/>
    <w:lvl w:ilvl="0">
      <w:lvlJc w:val="left"/>
      <w:lvlText w:val="(%1)"/>
      <w:numFmt w:val="lowerLetter"/>
      <w:start w:val="1"/>
    </w:lvl>
  </w:abstractNum>
  <w:abstractNum w:abstractNumId="36">
    <w:nsid w:val="235BA861"/>
    <w:multiLevelType w:val="hybridMultilevel"/>
    <w:lvl w:ilvl="0">
      <w:lvlJc w:val="left"/>
      <w:lvlText w:val="(%1)"/>
      <w:numFmt w:val="lowerLetter"/>
      <w:start w:val="1"/>
    </w:lvl>
  </w:abstractNum>
  <w:abstractNum w:abstractNumId="37">
    <w:nsid w:val="47398C89"/>
    <w:multiLevelType w:val="hybridMultilevel"/>
    <w:lvl w:ilvl="0">
      <w:lvlJc w:val="left"/>
      <w:lvlText w:val="(%1)"/>
      <w:numFmt w:val="lowerLetter"/>
      <w:start w:val="1"/>
    </w:lvl>
  </w:abstractNum>
  <w:abstractNum w:abstractNumId="38">
    <w:nsid w:val="354FE9F9"/>
    <w:multiLevelType w:val="hybridMultilevel"/>
    <w:lvl w:ilvl="0">
      <w:lvlJc w:val="left"/>
      <w:lvlText w:val="(%1)"/>
      <w:numFmt w:val="lowerLetter"/>
      <w:start w:val="1"/>
    </w:lvl>
  </w:abstractNum>
  <w:abstractNum w:abstractNumId="39">
    <w:nsid w:val="15B5AF5C"/>
    <w:multiLevelType w:val="hybridMultilevel"/>
    <w:lvl w:ilvl="0">
      <w:lvlJc w:val="left"/>
      <w:lvlText w:val="(%1)"/>
      <w:numFmt w:val="lowerLetter"/>
      <w:start w:val="1"/>
    </w:lvl>
  </w:abstractNum>
  <w:abstractNum w:abstractNumId="40">
    <w:nsid w:val="741226BB"/>
    <w:multiLevelType w:val="hybridMultilevel"/>
    <w:lvl w:ilvl="0">
      <w:lvlJc w:val="left"/>
      <w:lvlText w:val="(%1)"/>
      <w:numFmt w:val="lowerLetter"/>
      <w:start w:val="1"/>
    </w:lvl>
  </w:abstractNum>
  <w:abstractNum w:abstractNumId="41">
    <w:nsid w:val="D34B6A8"/>
    <w:multiLevelType w:val="hybridMultilevel"/>
    <w:lvl w:ilvl="0">
      <w:lvlJc w:val="left"/>
      <w:lvlText w:val="(%1)"/>
      <w:numFmt w:val="lowerLetter"/>
      <w:start w:val="1"/>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1)"/>
      <w:numFmt w:val="lowerLetter"/>
      <w:start w:val="1"/>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1)"/>
      <w:numFmt w:val="lowerLetter"/>
      <w:start w:val="1"/>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lowerLetter"/>
      <w:start w:val="1"/>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1)"/>
      <w:numFmt w:val="lowerLetter"/>
      <w:start w:val="1"/>
    </w:lvl>
  </w:abstractNum>
  <w:abstractNum w:abstractNumId="52">
    <w:nsid w:val="1DBABF00"/>
    <w:multiLevelType w:val="hybridMultilevel"/>
    <w:lvl w:ilvl="0">
      <w:lvlJc w:val="left"/>
      <w:lvlText w:val="(%1)"/>
      <w:numFmt w:val="lowerLetter"/>
      <w:start w:val="1"/>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1"/>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1."/>
      <w:numFmt w:val="decimal"/>
      <w:start w:val="4"/>
    </w:lvl>
  </w:abstractNum>
  <w:abstractNum w:abstractNumId="57">
    <w:nsid w:val="100F8FCA"/>
    <w:multiLevelType w:val="hybridMultilevel"/>
    <w:lvl w:ilvl="0">
      <w:lvlJc w:val="left"/>
      <w:lvlText w:val="%1."/>
      <w:numFmt w:val="decimal"/>
      <w:start w:val="6"/>
    </w:lvl>
  </w:abstractNum>
  <w:abstractNum w:abstractNumId="58">
    <w:nsid w:val="6590700B"/>
    <w:multiLevelType w:val="hybridMultilevel"/>
    <w:lvl w:ilvl="0">
      <w:lvlJc w:val="left"/>
      <w:lvlText w:val="%1)"/>
      <w:numFmt w:val="lowerLetter"/>
      <w:start w:val="1"/>
    </w:lvl>
  </w:abstractNum>
  <w:abstractNum w:abstractNumId="59">
    <w:nsid w:val="15014ACB"/>
    <w:multiLevelType w:val="hybridMultilevel"/>
    <w:lvl w:ilvl="0">
      <w:lvlJc w:val="left"/>
      <w:lvlText w:val="%1)"/>
      <w:numFmt w:val="lowerLetter"/>
      <w:start w:val="4"/>
    </w:lvl>
    <w:lvl w:ilvl="1">
      <w:lvlJc w:val="left"/>
      <w:lvlText w:val="%2."/>
      <w:numFmt w:val="lowerRoman"/>
      <w:start w:val="1"/>
    </w:lvl>
  </w:abstractNum>
  <w:abstractNum w:abstractNumId="60">
    <w:nsid w:val="5F5E7FD0"/>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abstractNum>
  <w:abstractNum w:abstractNumId="61">
    <w:nsid w:val="98A3148"/>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62">
    <w:nsid w:val="799D0247"/>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63">
    <w:nsid w:val="6B94764"/>
    <w:multiLevelType w:val="hybridMultilevel"/>
    <w:lvl w:ilvl="0">
      <w:lvlJc w:val="left"/>
      <w:lvlText w:val="%1."/>
      <w:numFmt w:val="decimal"/>
      <w:start w:val="11"/>
    </w:lvl>
  </w:abstractNum>
  <w:abstractNum w:abstractNumId="64">
    <w:nsid w:val="42C296BD"/>
    <w:multiLevelType w:val="hybridMultilevel"/>
    <w:lvl w:ilvl="0">
      <w:lvlJc w:val="left"/>
      <w:lvlText w:val="(%1)"/>
      <w:numFmt w:val="lowerRoman"/>
      <w:start w:val="1"/>
    </w:lvl>
  </w:abstractNum>
  <w:abstractNum w:abstractNumId="65">
    <w:nsid w:val="168E121F"/>
    <w:multiLevelType w:val="hybridMultilevel"/>
    <w:lvl w:ilvl="0">
      <w:lvlJc w:val="left"/>
      <w:lvlText w:val="(%1)"/>
      <w:numFmt w:val="lowerRoman"/>
      <w:start w:val="1"/>
    </w:lvl>
  </w:abstractNum>
  <w:abstractNum w:abstractNumId="66">
    <w:nsid w:val="1EBA5D23"/>
    <w:multiLevelType w:val="hybridMultilevel"/>
    <w:lvl w:ilvl="0">
      <w:lvlJc w:val="left"/>
      <w:lvlText w:val="(%1)"/>
      <w:numFmt w:val="decimal"/>
      <w:start w:val="6"/>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1."/>
      <w:numFmt w:val="decimal"/>
      <w:start w:val="5"/>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1)"/>
      <w:numFmt w:val="lowerLetter"/>
      <w:start w:val="6"/>
    </w:lvl>
    <w:lvl w:ilvl="1">
      <w:lvlJc w:val="left"/>
      <w:lvlText w:val="%2."/>
      <w:numFmt w:val="lowerRoman"/>
      <w:start w:val="1"/>
    </w:lvl>
  </w:abstractNum>
  <w:abstractNum w:abstractNumId="71">
    <w:nsid w:val="51D9C564"/>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5"/>
    </w:lvl>
  </w:abstractNum>
  <w:abstractNum w:abstractNumId="72">
    <w:nsid w:val="613EFDC5"/>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73">
    <w:nsid w:val="BF72B14"/>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2019-12-29T08:04:37Z</dcterms:created>
  <dcterms:modified xsi:type="dcterms:W3CDTF">2019-12-29T08:04:37Z</dcterms:modified>
</cp:coreProperties>
</file>