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right="4140" w:firstLine="35"/>
        <w:spacing w:after="0" w:line="360" w:lineRule="auto"/>
        <w:tabs>
          <w:tab w:leader="none" w:pos="70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2020</w:t>
      </w: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720" w:right="410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ind w:left="2360"/>
        <w:spacing w:after="0"/>
        <w:tabs>
          <w:tab w:leader="none" w:pos="8040" w:val="left"/>
        </w:tabs>
        <w:rPr>
          <w:sz w:val="20"/>
          <w:szCs w:val="20"/>
          <w:color w:val="auto"/>
        </w:rPr>
      </w:pPr>
      <w:r>
        <w:rPr>
          <w:rFonts w:ascii="Arial" w:cs="Arial" w:eastAsia="Arial" w:hAnsi="Arial"/>
          <w:sz w:val="18"/>
          <w:szCs w:val="18"/>
          <w:b w:val="1"/>
          <w:bCs w:val="1"/>
          <w:color w:val="auto"/>
        </w:rPr>
        <w:t>Minnesota</w:t>
      </w:r>
      <w:r>
        <w:rPr>
          <w:sz w:val="20"/>
          <w:szCs w:val="20"/>
          <w:color w:val="auto"/>
        </w:rPr>
        <w:tab/>
      </w:r>
      <w:r>
        <w:rPr>
          <w:rFonts w:ascii="Arial" w:cs="Arial" w:eastAsia="Arial" w:hAnsi="Arial"/>
          <w:sz w:val="18"/>
          <w:szCs w:val="18"/>
          <w:b w:val="1"/>
          <w:bCs w:val="1"/>
          <w:color w:val="auto"/>
        </w:rPr>
        <w:t>41-0418150</w:t>
      </w:r>
    </w:p>
    <w:p>
      <w:pPr>
        <w:spacing w:after="0" w:line="67" w:lineRule="exact"/>
        <w:rPr>
          <w:sz w:val="24"/>
          <w:szCs w:val="24"/>
          <w:color w:val="auto"/>
        </w:rPr>
      </w:pPr>
    </w:p>
    <w:p>
      <w:pPr>
        <w:ind w:left="620"/>
        <w:spacing w:after="0"/>
        <w:tabs>
          <w:tab w:leader="none" w:pos="724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7"/>
          <w:szCs w:val="17"/>
          <w:color w:val="auto"/>
        </w:rPr>
        <w:t>(IRS Employer Identification No.)</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p>
      <w:pPr>
        <w:ind w:left="1560"/>
        <w:spacing w:after="0"/>
        <w:tabs>
          <w:tab w:leader="none" w:pos="5040" w:val="left"/>
          <w:tab w:leader="none" w:pos="744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w:t>
      </w:r>
      <w:r>
        <w:rPr>
          <w:sz w:val="20"/>
          <w:szCs w:val="20"/>
          <w:color w:val="auto"/>
        </w:rPr>
        <w:tab/>
      </w:r>
      <w:r>
        <w:rPr>
          <w:rFonts w:ascii="Arial" w:cs="Arial" w:eastAsia="Arial" w:hAnsi="Arial"/>
          <w:sz w:val="16"/>
          <w:szCs w:val="16"/>
          <w:color w:val="auto"/>
        </w:rPr>
        <w:t>Name of each exchange on which registered</w:t>
      </w:r>
    </w:p>
    <w:p>
      <w:pPr>
        <w:spacing w:after="0" w:line="59" w:lineRule="exact"/>
        <w:rPr>
          <w:sz w:val="24"/>
          <w:szCs w:val="24"/>
          <w:color w:val="auto"/>
        </w:rPr>
      </w:pPr>
    </w:p>
    <w:p>
      <w:pPr>
        <w:ind w:left="880"/>
        <w:spacing w:after="0"/>
        <w:tabs>
          <w:tab w:leader="none" w:pos="5420" w:val="left"/>
          <w:tab w:leader="none" w:pos="8020" w:val="left"/>
        </w:tabs>
        <w:rPr>
          <w:sz w:val="20"/>
          <w:szCs w:val="20"/>
          <w:color w:val="auto"/>
        </w:rPr>
      </w:pPr>
      <w:r>
        <w:rPr>
          <w:rFonts w:ascii="Arial" w:cs="Arial" w:eastAsia="Arial" w:hAnsi="Arial"/>
          <w:sz w:val="18"/>
          <w:szCs w:val="18"/>
          <w:b w:val="1"/>
          <w:bCs w:val="1"/>
          <w:color w:val="auto"/>
        </w:rPr>
        <w:t>Common Stock, without par value</w:t>
      </w:r>
      <w:r>
        <w:rPr>
          <w:sz w:val="20"/>
          <w:szCs w:val="20"/>
          <w:color w:val="auto"/>
        </w:rPr>
        <w:tab/>
      </w:r>
      <w:r>
        <w:rPr>
          <w:rFonts w:ascii="Arial" w:cs="Arial" w:eastAsia="Arial" w:hAnsi="Arial"/>
          <w:sz w:val="18"/>
          <w:szCs w:val="18"/>
          <w:b w:val="1"/>
          <w:bCs w:val="1"/>
          <w:color w:val="auto"/>
        </w:rPr>
        <w:t>ALE</w:t>
      </w:r>
      <w:r>
        <w:rPr>
          <w:sz w:val="20"/>
          <w:szCs w:val="20"/>
          <w:color w:val="auto"/>
        </w:rPr>
        <w:tab/>
      </w:r>
      <w:r>
        <w:rPr>
          <w:rFonts w:ascii="Arial" w:cs="Arial" w:eastAsia="Arial" w:hAnsi="Arial"/>
          <w:sz w:val="16"/>
          <w:szCs w:val="16"/>
          <w:b w:val="1"/>
          <w:bCs w:val="1"/>
          <w:color w:val="auto"/>
        </w:rPr>
        <w:t>New York Stock Exchange</w:t>
      </w:r>
    </w:p>
    <w:p>
      <w:pPr>
        <w:spacing w:after="0" w:line="4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p>
      <w:pPr>
        <w:ind w:left="1300"/>
        <w:spacing w:after="0" w:line="207" w:lineRule="exact"/>
        <w:tabs>
          <w:tab w:leader="none" w:pos="3160" w:val="left"/>
          <w:tab w:leader="none" w:pos="3920" w:val="left"/>
          <w:tab w:leader="none" w:pos="53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ind w:left="1300"/>
        <w:spacing w:after="0" w:line="207" w:lineRule="exact"/>
        <w:tabs>
          <w:tab w:leader="none" w:pos="3080" w:val="left"/>
          <w:tab w:leader="none" w:pos="3640" w:val="left"/>
          <w:tab w:leader="none" w:pos="59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ind w:left="4540"/>
        <w:spacing w:after="0" w:line="207" w:lineRule="exact"/>
        <w:tabs>
          <w:tab w:leader="none" w:pos="67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51,787,412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March 31, 2020</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ALLETE, Inc. First Quarter 2020 Form 10-Q</w:t>
      </w:r>
    </w:p>
    <w:p>
      <w:pPr>
        <w:sectPr>
          <w:pgSz w:w="11900" w:h="16838" w:orient="portrait"/>
          <w:cols w:equalWidth="0" w:num="1">
            <w:col w:w="11240"/>
          </w:cols>
          <w:pgMar w:left="320" w:top="1120" w:right="339" w:bottom="1440" w:gutter="0" w:footer="0" w:header="0"/>
        </w:sectPr>
      </w:pPr>
    </w:p>
    <w:p>
      <w:pPr>
        <w:spacing w:after="0" w:line="13" w:lineRule="exact"/>
        <w:rPr>
          <w:sz w:val="24"/>
          <w:szCs w:val="24"/>
          <w:color w:val="auto"/>
        </w:rPr>
      </w:pPr>
    </w:p>
    <w:p>
      <w:pPr>
        <w:ind w:left="11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12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0" w:type="dxa"/>
            <w:vAlign w:val="bottom"/>
          </w:tcPr>
          <w:p>
            <w:pPr>
              <w:ind w:left="3740"/>
              <w:spacing w:after="0"/>
              <w:rPr>
                <w:sz w:val="20"/>
                <w:szCs w:val="20"/>
                <w:color w:val="auto"/>
              </w:rPr>
            </w:pPr>
            <w:r>
              <w:rPr>
                <w:rFonts w:ascii="Arial" w:cs="Arial" w:eastAsia="Arial" w:hAnsi="Arial"/>
                <w:sz w:val="18"/>
                <w:szCs w:val="18"/>
                <w:b w:val="1"/>
                <w:bCs w:val="1"/>
                <w:color w:val="auto"/>
              </w:rPr>
              <w:t>Index</w:t>
            </w:r>
          </w:p>
        </w:tc>
        <w:tc>
          <w:tcPr>
            <w:tcW w:w="1580" w:type="dxa"/>
            <w:vAlign w:val="bottom"/>
          </w:tcPr>
          <w:p>
            <w:pPr>
              <w:spacing w:after="0"/>
              <w:rPr>
                <w:sz w:val="20"/>
                <w:szCs w:val="20"/>
                <w:color w:val="auto"/>
              </w:rPr>
            </w:pPr>
          </w:p>
        </w:tc>
      </w:tr>
      <w:tr>
        <w:trPr>
          <w:trHeight w:val="648"/>
        </w:trPr>
        <w:tc>
          <w:tcPr>
            <w:tcW w:w="1660" w:type="dxa"/>
            <w:vAlign w:val="bottom"/>
            <w:gridSpan w:val="2"/>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Definitions</w:t>
              </w:r>
            </w:hyperlink>
          </w:p>
        </w:tc>
        <w:tc>
          <w:tcPr>
            <w:tcW w:w="8000" w:type="dxa"/>
            <w:vAlign w:val="bottom"/>
          </w:tcPr>
          <w:p>
            <w:pPr>
              <w:spacing w:after="0"/>
              <w:rPr>
                <w:sz w:val="24"/>
                <w:szCs w:val="24"/>
                <w:color w:val="auto"/>
              </w:rPr>
            </w:pPr>
          </w:p>
        </w:tc>
        <w:tc>
          <w:tcPr>
            <w:tcW w:w="158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
        </w:trPr>
        <w:tc>
          <w:tcPr>
            <w:tcW w:w="9660" w:type="dxa"/>
            <w:vAlign w:val="bottom"/>
            <w:gridSpan w:val="3"/>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660" w:type="dxa"/>
            <w:vAlign w:val="bottom"/>
            <w:tcBorders>
              <w:bottom w:val="single" w:sz="8" w:color="CCEEFF"/>
            </w:tcBorders>
            <w:gridSpan w:val="3"/>
            <w:shd w:val="clear" w:color="auto" w:fill="CCEEFF"/>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Forward-Looking Statements</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43"/>
        </w:trPr>
        <w:tc>
          <w:tcPr>
            <w:tcW w:w="820" w:type="dxa"/>
            <w:vAlign w:val="bottom"/>
          </w:tcPr>
          <w:p>
            <w:pPr>
              <w:ind w:left="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tc>
        <w:tc>
          <w:tcPr>
            <w:tcW w:w="8840" w:type="dxa"/>
            <w:vAlign w:val="bottom"/>
            <w:gridSpan w:val="2"/>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Information</w:t>
              </w:r>
            </w:hyperlink>
          </w:p>
        </w:tc>
        <w:tc>
          <w:tcPr>
            <w:tcW w:w="1580" w:type="dxa"/>
            <w:vAlign w:val="bottom"/>
          </w:tcPr>
          <w:p>
            <w:pPr>
              <w:spacing w:after="0"/>
              <w:rPr>
                <w:sz w:val="21"/>
                <w:szCs w:val="21"/>
                <w:color w:val="auto"/>
              </w:rPr>
            </w:pPr>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w:t>
              </w:r>
            </w:hyperlink>
          </w:p>
        </w:tc>
        <w:tc>
          <w:tcPr>
            <w:tcW w:w="800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Financial Statements - Unaudited</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43"/>
        </w:trPr>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0" w:type="dxa"/>
            <w:vAlign w:val="bottom"/>
          </w:tcPr>
          <w:p>
            <w:pPr>
              <w:ind w:left="4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Balance Sheet</w:t>
              </w:r>
            </w:hyperlink>
          </w:p>
        </w:tc>
        <w:tc>
          <w:tcPr>
            <w:tcW w:w="158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ind w:left="4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 of Income</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43"/>
        </w:trPr>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0" w:type="dxa"/>
            <w:vAlign w:val="bottom"/>
          </w:tcPr>
          <w:p>
            <w:pPr>
              <w:ind w:left="4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 of Comprehensive Income</w:t>
              </w:r>
            </w:hyperlink>
          </w:p>
        </w:tc>
        <w:tc>
          <w:tcPr>
            <w:tcW w:w="158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ind w:left="4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Consolidated Statement of Cash Flows</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w:t>
              </w:r>
            </w:hyperlink>
          </w:p>
        </w:tc>
      </w:tr>
      <w:tr>
        <w:trPr>
          <w:trHeight w:val="243"/>
        </w:trPr>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0" w:type="dxa"/>
            <w:vAlign w:val="bottom"/>
          </w:tcPr>
          <w:p>
            <w:pPr>
              <w:ind w:left="4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Consolidated Statement of Equity</w:t>
              </w:r>
            </w:hyperlink>
          </w:p>
        </w:tc>
        <w:tc>
          <w:tcPr>
            <w:tcW w:w="158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10</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ind w:left="4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Consolidated Financial Statements</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11</w:t>
              </w:r>
            </w:hyperlink>
          </w:p>
        </w:tc>
      </w:tr>
      <w:tr>
        <w:trPr>
          <w:trHeight w:val="243"/>
        </w:trPr>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0" w:type="dxa"/>
            <w:vAlign w:val="bottom"/>
          </w:tcPr>
          <w:p>
            <w:pPr>
              <w:ind w:left="6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 1. Operations and Significant Accounting Policies</w:t>
              </w:r>
            </w:hyperlink>
          </w:p>
        </w:tc>
        <w:tc>
          <w:tcPr>
            <w:tcW w:w="158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11</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ind w:left="6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Note 2. Regulatory Matters</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13</w:t>
              </w:r>
            </w:hyperlink>
          </w:p>
        </w:tc>
      </w:tr>
      <w:tr>
        <w:trPr>
          <w:trHeight w:val="243"/>
        </w:trPr>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0" w:type="dxa"/>
            <w:vAlign w:val="bottom"/>
          </w:tcPr>
          <w:p>
            <w:pPr>
              <w:ind w:left="6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Note 3. Equity Investments</w:t>
              </w:r>
            </w:hyperlink>
          </w:p>
        </w:tc>
        <w:tc>
          <w:tcPr>
            <w:tcW w:w="158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16</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ind w:left="6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Note 4. Fair Value</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16</w:t>
              </w:r>
            </w:hyperlink>
          </w:p>
        </w:tc>
      </w:tr>
      <w:tr>
        <w:trPr>
          <w:trHeight w:val="243"/>
        </w:trPr>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0" w:type="dxa"/>
            <w:vAlign w:val="bottom"/>
          </w:tcPr>
          <w:p>
            <w:pPr>
              <w:ind w:left="6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Note 5. Short-Term and Long-Term Debt</w:t>
              </w:r>
            </w:hyperlink>
          </w:p>
        </w:tc>
        <w:tc>
          <w:tcPr>
            <w:tcW w:w="1580" w:type="dxa"/>
            <w:vAlign w:val="bottom"/>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18</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ind w:left="6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Note 6. Commitments, Guarantees and Contingencies</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19</w:t>
              </w:r>
            </w:hyperlink>
          </w:p>
        </w:tc>
      </w:tr>
      <w:tr>
        <w:trPr>
          <w:trHeight w:val="243"/>
        </w:trPr>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0" w:type="dxa"/>
            <w:vAlign w:val="bottom"/>
          </w:tcPr>
          <w:p>
            <w:pPr>
              <w:ind w:left="6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Note 7. Earnings Per Share and Common Stock</w:t>
              </w:r>
            </w:hyperlink>
          </w:p>
        </w:tc>
        <w:tc>
          <w:tcPr>
            <w:tcW w:w="158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23</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ind w:left="6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Note 8. Income Tax Expense</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24</w:t>
              </w:r>
            </w:hyperlink>
          </w:p>
        </w:tc>
      </w:tr>
      <w:tr>
        <w:trPr>
          <w:trHeight w:val="243"/>
        </w:trPr>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0" w:type="dxa"/>
            <w:vAlign w:val="bottom"/>
          </w:tcPr>
          <w:p>
            <w:pPr>
              <w:ind w:left="6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Note 9. Pension and Other Postretirement Benefit Plans</w:t>
              </w:r>
            </w:hyperlink>
          </w:p>
        </w:tc>
        <w:tc>
          <w:tcPr>
            <w:tcW w:w="158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25</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ind w:left="6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Note 10. Business Segments</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25</w:t>
              </w:r>
            </w:hyperlink>
          </w:p>
        </w:tc>
      </w:tr>
      <w:tr>
        <w:trPr>
          <w:trHeight w:val="243"/>
        </w:trPr>
        <w:tc>
          <w:tcPr>
            <w:tcW w:w="820" w:type="dxa"/>
            <w:vAlign w:val="bottom"/>
          </w:tcPr>
          <w:p>
            <w:pPr>
              <w:spacing w:after="0"/>
              <w:rPr>
                <w:sz w:val="21"/>
                <w:szCs w:val="21"/>
                <w:color w:val="auto"/>
              </w:rPr>
            </w:pPr>
          </w:p>
        </w:tc>
        <w:tc>
          <w:tcPr>
            <w:tcW w:w="84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2.</w:t>
              </w:r>
            </w:hyperlink>
          </w:p>
        </w:tc>
        <w:tc>
          <w:tcPr>
            <w:tcW w:w="8000" w:type="dxa"/>
            <w:vAlign w:val="bottom"/>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p>
        </w:tc>
        <w:tc>
          <w:tcPr>
            <w:tcW w:w="158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27</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ind w:left="4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Comparison of the Three Months Ended</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29</w:t>
              </w:r>
            </w:hyperlink>
          </w:p>
        </w:tc>
      </w:tr>
      <w:tr>
        <w:trPr>
          <w:trHeight w:val="243"/>
        </w:trPr>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0" w:type="dxa"/>
            <w:vAlign w:val="bottom"/>
          </w:tcPr>
          <w:p>
            <w:pPr>
              <w:ind w:left="4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Critical Accounting Policies</w:t>
              </w:r>
            </w:hyperlink>
          </w:p>
        </w:tc>
        <w:tc>
          <w:tcPr>
            <w:tcW w:w="158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32</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ind w:left="4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Outlook</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32</w:t>
              </w:r>
            </w:hyperlink>
          </w:p>
        </w:tc>
      </w:tr>
      <w:tr>
        <w:trPr>
          <w:trHeight w:val="243"/>
        </w:trPr>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0" w:type="dxa"/>
            <w:vAlign w:val="bottom"/>
          </w:tcPr>
          <w:p>
            <w:pPr>
              <w:ind w:left="4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Liquidity and Capital Resources</w:t>
              </w:r>
            </w:hyperlink>
          </w:p>
        </w:tc>
        <w:tc>
          <w:tcPr>
            <w:tcW w:w="1580" w:type="dxa"/>
            <w:vAlign w:val="bottom"/>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39</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shd w:val="clear" w:color="auto" w:fill="CCEEFF"/>
          </w:tcPr>
          <w:p>
            <w:pPr>
              <w:ind w:left="4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Other</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41</w:t>
              </w:r>
            </w:hyperlink>
          </w:p>
        </w:tc>
      </w:tr>
      <w:tr>
        <w:trPr>
          <w:trHeight w:val="243"/>
        </w:trPr>
        <w:tc>
          <w:tcPr>
            <w:tcW w:w="820" w:type="dxa"/>
            <w:vAlign w:val="bottom"/>
          </w:tcPr>
          <w:p>
            <w:pPr>
              <w:spacing w:after="0"/>
              <w:rPr>
                <w:sz w:val="21"/>
                <w:szCs w:val="21"/>
                <w:color w:val="auto"/>
              </w:rPr>
            </w:pPr>
          </w:p>
        </w:tc>
        <w:tc>
          <w:tcPr>
            <w:tcW w:w="840" w:type="dxa"/>
            <w:vAlign w:val="bottom"/>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3.</w:t>
              </w:r>
            </w:hyperlink>
          </w:p>
        </w:tc>
        <w:tc>
          <w:tcPr>
            <w:tcW w:w="8000" w:type="dxa"/>
            <w:vAlign w:val="bottom"/>
          </w:tcPr>
          <w:p>
            <w:pPr>
              <w:ind w:left="1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Quantitative and Qualitative Disclosures about Market Risk</w:t>
              </w:r>
            </w:hyperlink>
          </w:p>
        </w:tc>
        <w:tc>
          <w:tcPr>
            <w:tcW w:w="158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42</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4.</w:t>
              </w:r>
            </w:hyperlink>
          </w:p>
        </w:tc>
        <w:tc>
          <w:tcPr>
            <w:tcW w:w="800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Controls and Procedures</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42</w:t>
              </w:r>
            </w:hyperlink>
          </w:p>
        </w:tc>
      </w:tr>
      <w:tr>
        <w:trPr>
          <w:trHeight w:val="243"/>
        </w:trPr>
        <w:tc>
          <w:tcPr>
            <w:tcW w:w="820" w:type="dxa"/>
            <w:vAlign w:val="bottom"/>
          </w:tcPr>
          <w:p>
            <w:pPr>
              <w:ind w:left="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Part II.</w:t>
              </w:r>
            </w:hyperlink>
          </w:p>
        </w:tc>
        <w:tc>
          <w:tcPr>
            <w:tcW w:w="8840" w:type="dxa"/>
            <w:vAlign w:val="bottom"/>
            <w:gridSpan w:val="2"/>
          </w:tcPr>
          <w:p>
            <w:pPr>
              <w:ind w:left="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Other Information</w:t>
              </w:r>
            </w:hyperlink>
          </w:p>
        </w:tc>
        <w:tc>
          <w:tcPr>
            <w:tcW w:w="1580" w:type="dxa"/>
            <w:vAlign w:val="bottom"/>
          </w:tcPr>
          <w:p>
            <w:pPr>
              <w:spacing w:after="0"/>
              <w:rPr>
                <w:sz w:val="21"/>
                <w:szCs w:val="21"/>
                <w:color w:val="auto"/>
              </w:rPr>
            </w:pPr>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w:t>
              </w:r>
            </w:hyperlink>
          </w:p>
        </w:tc>
        <w:tc>
          <w:tcPr>
            <w:tcW w:w="800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Proceedings</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43</w:t>
              </w:r>
            </w:hyperlink>
          </w:p>
        </w:tc>
      </w:tr>
      <w:tr>
        <w:trPr>
          <w:trHeight w:val="243"/>
        </w:trPr>
        <w:tc>
          <w:tcPr>
            <w:tcW w:w="820" w:type="dxa"/>
            <w:vAlign w:val="bottom"/>
          </w:tcPr>
          <w:p>
            <w:pPr>
              <w:spacing w:after="0"/>
              <w:rPr>
                <w:sz w:val="21"/>
                <w:szCs w:val="21"/>
                <w:color w:val="auto"/>
              </w:rPr>
            </w:pPr>
          </w:p>
        </w:tc>
        <w:tc>
          <w:tcPr>
            <w:tcW w:w="840" w:type="dxa"/>
            <w:vAlign w:val="bottom"/>
          </w:tcPr>
          <w:p>
            <w:pPr>
              <w:ind w:left="20"/>
              <w:spacing w:after="0"/>
              <w:rPr>
                <w:rFonts w:ascii="Arial" w:cs="Arial" w:eastAsia="Arial" w:hAnsi="Arial"/>
                <w:sz w:val="18"/>
                <w:szCs w:val="18"/>
                <w:color w:val="0000EE"/>
              </w:rPr>
            </w:pPr>
            <w:hyperlink w:anchor="page44">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000" w:type="dxa"/>
            <w:vAlign w:val="bottom"/>
          </w:tcPr>
          <w:p>
            <w:pPr>
              <w:ind w:left="1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158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43</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2.</w:t>
              </w:r>
            </w:hyperlink>
          </w:p>
        </w:tc>
        <w:tc>
          <w:tcPr>
            <w:tcW w:w="800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Unregistered Sales of Equity Securities and Use of Proceeds</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44</w:t>
              </w:r>
            </w:hyperlink>
          </w:p>
        </w:tc>
      </w:tr>
      <w:tr>
        <w:trPr>
          <w:trHeight w:val="243"/>
        </w:trPr>
        <w:tc>
          <w:tcPr>
            <w:tcW w:w="820" w:type="dxa"/>
            <w:vAlign w:val="bottom"/>
          </w:tcPr>
          <w:p>
            <w:pPr>
              <w:spacing w:after="0"/>
              <w:rPr>
                <w:sz w:val="21"/>
                <w:szCs w:val="21"/>
                <w:color w:val="auto"/>
              </w:rPr>
            </w:pPr>
          </w:p>
        </w:tc>
        <w:tc>
          <w:tcPr>
            <w:tcW w:w="840" w:type="dxa"/>
            <w:vAlign w:val="bottom"/>
          </w:tcPr>
          <w:p>
            <w:pPr>
              <w:ind w:left="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3.</w:t>
              </w:r>
            </w:hyperlink>
          </w:p>
        </w:tc>
        <w:tc>
          <w:tcPr>
            <w:tcW w:w="8000" w:type="dxa"/>
            <w:vAlign w:val="bottom"/>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Defaults Upon Senior Securities</w:t>
              </w:r>
            </w:hyperlink>
          </w:p>
        </w:tc>
        <w:tc>
          <w:tcPr>
            <w:tcW w:w="158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44</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4.</w:t>
              </w:r>
            </w:hyperlink>
          </w:p>
        </w:tc>
        <w:tc>
          <w:tcPr>
            <w:tcW w:w="800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Mine Safety Disclosures</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44</w:t>
              </w:r>
            </w:hyperlink>
          </w:p>
        </w:tc>
      </w:tr>
      <w:tr>
        <w:trPr>
          <w:trHeight w:val="243"/>
        </w:trPr>
        <w:tc>
          <w:tcPr>
            <w:tcW w:w="820" w:type="dxa"/>
            <w:vAlign w:val="bottom"/>
          </w:tcPr>
          <w:p>
            <w:pPr>
              <w:spacing w:after="0"/>
              <w:rPr>
                <w:sz w:val="21"/>
                <w:szCs w:val="21"/>
                <w:color w:val="auto"/>
              </w:rPr>
            </w:pPr>
          </w:p>
        </w:tc>
        <w:tc>
          <w:tcPr>
            <w:tcW w:w="840" w:type="dxa"/>
            <w:vAlign w:val="bottom"/>
          </w:tcPr>
          <w:p>
            <w:pPr>
              <w:ind w:left="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5.</w:t>
              </w:r>
            </w:hyperlink>
          </w:p>
        </w:tc>
        <w:tc>
          <w:tcPr>
            <w:tcW w:w="8000" w:type="dxa"/>
            <w:vAlign w:val="bottom"/>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Other Information</w:t>
              </w:r>
            </w:hyperlink>
          </w:p>
        </w:tc>
        <w:tc>
          <w:tcPr>
            <w:tcW w:w="158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44</w:t>
              </w:r>
            </w:hyperlink>
          </w:p>
        </w:tc>
      </w:tr>
      <w:tr>
        <w:trPr>
          <w:trHeight w:val="27"/>
        </w:trPr>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6.</w:t>
              </w:r>
            </w:hyperlink>
          </w:p>
        </w:tc>
        <w:tc>
          <w:tcPr>
            <w:tcW w:w="800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Exhibits</w:t>
              </w:r>
            </w:hyperlink>
          </w:p>
        </w:tc>
        <w:tc>
          <w:tcPr>
            <w:tcW w:w="15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45</w:t>
              </w:r>
            </w:hyperlink>
          </w:p>
        </w:tc>
      </w:tr>
      <w:tr>
        <w:trPr>
          <w:trHeight w:val="243"/>
        </w:trPr>
        <w:tc>
          <w:tcPr>
            <w:tcW w:w="820" w:type="dxa"/>
            <w:vAlign w:val="bottom"/>
          </w:tcPr>
          <w:p>
            <w:pPr>
              <w:ind w:left="40"/>
              <w:spacing w:after="0"/>
              <w:rPr>
                <w:rFonts w:ascii="Arial" w:cs="Arial" w:eastAsia="Arial" w:hAnsi="Arial"/>
                <w:sz w:val="18"/>
                <w:szCs w:val="18"/>
                <w:u w:val="single" w:color="auto"/>
                <w:color w:val="0000EE"/>
                <w:w w:val="88"/>
              </w:rPr>
            </w:pPr>
            <w:hyperlink w:anchor="page47">
              <w:r>
                <w:rPr>
                  <w:rFonts w:ascii="Arial" w:cs="Arial" w:eastAsia="Arial" w:hAnsi="Arial"/>
                  <w:sz w:val="18"/>
                  <w:szCs w:val="18"/>
                  <w:u w:val="single" w:color="auto"/>
                  <w:color w:val="0000EE"/>
                  <w:w w:val="88"/>
                </w:rPr>
                <w:t>Signatures</w:t>
              </w:r>
            </w:hyperlink>
          </w:p>
        </w:tc>
        <w:tc>
          <w:tcPr>
            <w:tcW w:w="8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158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46</w:t>
              </w:r>
            </w:hyperlink>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01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440" w:type="dxa"/>
            <w:vAlign w:val="bottom"/>
            <w:gridSpan w:val="3"/>
          </w:tcPr>
          <w:p>
            <w:pPr>
              <w:ind w:left="380"/>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7640" w:type="dxa"/>
            <w:vAlign w:val="bottom"/>
          </w:tcPr>
          <w:p>
            <w:pPr>
              <w:spacing w:after="0"/>
              <w:rPr>
                <w:sz w:val="4"/>
                <w:szCs w:val="4"/>
                <w:color w:val="auto"/>
              </w:rPr>
            </w:pPr>
          </w:p>
        </w:tc>
      </w:tr>
      <w:tr>
        <w:trPr>
          <w:trHeight w:val="229"/>
        </w:trPr>
        <w:tc>
          <w:tcPr>
            <w:tcW w:w="4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AFUDC</w:t>
            </w:r>
          </w:p>
        </w:tc>
        <w:tc>
          <w:tcPr>
            <w:tcW w:w="84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7"/>
              </w:rPr>
              <w:t>Allowance for Funds Used During Construction – the cost of both debt and equity funds used to finance</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regulated utility plant additions during construction periods</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ALLETE</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ALLETE Properties</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ArcelorMittal</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ArcelorMittal S.A.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ATC</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Bison</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Bison Wind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Energy</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BNI Energy, Inc. and its subsidiary</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Boswell</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Camp Ripley</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Camp Ripley Solar Array</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Cliffs</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Cleveland-Cliffs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COVID-19</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2019 novel coronavirus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CSAPR</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Cross-State Air Pollution Rule</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DC</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Direct Current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EIS</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Environmental Impact Statement</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EPA</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United States 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ESOP</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FASB</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FERC</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Form 10-K</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Form 10-Q</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GAAP</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GHG</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Greenhouse Gases</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GNTL</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Hibbing Taconite</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Hibbing Taconite Co.</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Husky Energy</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Husky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 Direct</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IRP</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Integrated Resource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Item ___ of this Form 10-Q</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kV</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kW / kWh</w:t>
            </w:r>
          </w:p>
        </w:tc>
        <w:tc>
          <w:tcPr>
            <w:tcW w:w="84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Kilowatt(s) / Kilowatt-hour(s)</w:t>
            </w:r>
          </w:p>
        </w:tc>
      </w:tr>
      <w:tr>
        <w:trPr>
          <w:trHeight w:val="202"/>
        </w:trPr>
        <w:tc>
          <w:tcPr>
            <w:tcW w:w="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40" w:type="dxa"/>
            <w:vAlign w:val="bottom"/>
            <w:shd w:val="clear" w:color="auto" w:fill="CCEEFF"/>
          </w:tcPr>
          <w:p>
            <w:pPr>
              <w:spacing w:after="0"/>
              <w:rPr>
                <w:sz w:val="17"/>
                <w:szCs w:val="17"/>
                <w:color w:val="auto"/>
              </w:rPr>
            </w:pP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Laskin</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Lampert Capital Markets</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Lampert Capital Markets, Inc.</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Manitoba Hydro</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Manitoba Hydro-Electric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Minnkota Power</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MISO</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4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MMTP</w:t>
            </w:r>
          </w:p>
        </w:tc>
        <w:tc>
          <w:tcPr>
            <w:tcW w:w="8440" w:type="dxa"/>
            <w:vAlign w:val="bottom"/>
            <w:gridSpan w:val="3"/>
          </w:tcPr>
          <w:p>
            <w:pPr>
              <w:ind w:left="380"/>
              <w:spacing w:after="0"/>
              <w:rPr>
                <w:sz w:val="20"/>
                <w:szCs w:val="20"/>
                <w:color w:val="auto"/>
              </w:rPr>
            </w:pPr>
            <w:r>
              <w:rPr>
                <w:rFonts w:ascii="Arial" w:cs="Arial" w:eastAsia="Arial" w:hAnsi="Arial"/>
                <w:sz w:val="18"/>
                <w:szCs w:val="18"/>
                <w:color w:val="auto"/>
              </w:rPr>
              <w:t>Manitoba-Minnesota Transmission Project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Moody’s</w:t>
            </w:r>
          </w:p>
        </w:tc>
        <w:tc>
          <w:tcPr>
            <w:tcW w:w="8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Moody’s Investors Service, Inc.</w:t>
            </w:r>
          </w:p>
        </w:tc>
      </w:tr>
      <w:tr>
        <w:trPr>
          <w:trHeight w:val="37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40" w:type="dxa"/>
            <w:vAlign w:val="bottom"/>
          </w:tcPr>
          <w:p>
            <w:pPr>
              <w:ind w:left="720"/>
              <w:spacing w:after="0"/>
              <w:rPr>
                <w:sz w:val="20"/>
                <w:szCs w:val="20"/>
                <w:color w:val="auto"/>
              </w:rPr>
            </w:pPr>
            <w:r>
              <w:rPr>
                <w:rFonts w:ascii="Arial" w:cs="Arial" w:eastAsia="Arial" w:hAnsi="Arial"/>
                <w:sz w:val="14"/>
                <w:szCs w:val="14"/>
                <w:color w:val="auto"/>
              </w:rPr>
              <w:t>ALLETE, Inc. First Quarter 2020 Form 10-Q</w:t>
            </w:r>
          </w:p>
        </w:tc>
      </w:tr>
    </w:tbl>
    <w:p>
      <w:pPr>
        <w:spacing w:after="0" w:line="1" w:lineRule="exact"/>
        <w:rPr>
          <w:sz w:val="20"/>
          <w:szCs w:val="20"/>
          <w:color w:val="auto"/>
        </w:rPr>
      </w:pPr>
    </w:p>
    <w:p>
      <w:pPr>
        <w:sectPr>
          <w:pgSz w:w="11900" w:h="16838" w:orient="portrait"/>
          <w:cols w:equalWidth="0" w:num="1">
            <w:col w:w="11240"/>
          </w:cols>
          <w:pgMar w:left="320" w:top="1012" w:right="339" w:bottom="1440" w:gutter="0" w:footer="0" w:header="0"/>
        </w:sectPr>
      </w:pPr>
    </w:p>
    <w:p>
      <w:pPr>
        <w:ind w:left="11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012"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640" w:type="dxa"/>
            <w:vAlign w:val="bottom"/>
            <w:gridSpan w:val="3"/>
          </w:tcPr>
          <w:p>
            <w:pPr>
              <w:ind w:left="580"/>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76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MPCA</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Minnesota Pollution Control Agency</w:t>
            </w:r>
          </w:p>
        </w:tc>
      </w:tr>
      <w:tr>
        <w:trPr>
          <w:trHeight w:val="243"/>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MPUC</w:t>
            </w:r>
          </w:p>
        </w:tc>
        <w:tc>
          <w:tcPr>
            <w:tcW w:w="8640" w:type="dxa"/>
            <w:vAlign w:val="bottom"/>
            <w:gridSpan w:val="3"/>
          </w:tcPr>
          <w:p>
            <w:pPr>
              <w:ind w:left="580"/>
              <w:spacing w:after="0"/>
              <w:rPr>
                <w:sz w:val="20"/>
                <w:szCs w:val="20"/>
                <w:color w:val="auto"/>
              </w:rPr>
            </w:pPr>
            <w:r>
              <w:rPr>
                <w:rFonts w:ascii="Arial" w:cs="Arial" w:eastAsia="Arial" w:hAnsi="Arial"/>
                <w:sz w:val="18"/>
                <w:szCs w:val="18"/>
                <w:color w:val="auto"/>
              </w:rPr>
              <w:t>Minnesota Public Utilities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MW / MWh</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Megawatt(s) / Megawatt-hour(s)</w:t>
            </w:r>
          </w:p>
        </w:tc>
      </w:tr>
      <w:tr>
        <w:trPr>
          <w:trHeight w:val="243"/>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NAAQS</w:t>
            </w:r>
          </w:p>
        </w:tc>
        <w:tc>
          <w:tcPr>
            <w:tcW w:w="8640" w:type="dxa"/>
            <w:vAlign w:val="bottom"/>
            <w:gridSpan w:val="3"/>
          </w:tcPr>
          <w:p>
            <w:pPr>
              <w:ind w:left="580"/>
              <w:spacing w:after="0"/>
              <w:rPr>
                <w:sz w:val="20"/>
                <w:szCs w:val="20"/>
                <w:color w:val="auto"/>
              </w:rPr>
            </w:pPr>
            <w:r>
              <w:rPr>
                <w:rFonts w:ascii="Arial" w:cs="Arial" w:eastAsia="Arial" w:hAnsi="Arial"/>
                <w:sz w:val="18"/>
                <w:szCs w:val="18"/>
                <w:color w:val="auto"/>
              </w:rPr>
              <w:t>National Ambient Air Quality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NDPSC</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North Dakota Public Service Commission</w:t>
            </w:r>
          </w:p>
        </w:tc>
      </w:tr>
      <w:tr>
        <w:trPr>
          <w:trHeight w:val="243"/>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Nobles 2</w:t>
            </w:r>
          </w:p>
        </w:tc>
        <w:tc>
          <w:tcPr>
            <w:tcW w:w="8640" w:type="dxa"/>
            <w:vAlign w:val="bottom"/>
            <w:gridSpan w:val="3"/>
          </w:tcPr>
          <w:p>
            <w:pPr>
              <w:ind w:left="580"/>
              <w:spacing w:after="0"/>
              <w:rPr>
                <w:sz w:val="20"/>
                <w:szCs w:val="20"/>
                <w:color w:val="auto"/>
              </w:rPr>
            </w:pPr>
            <w:r>
              <w:rPr>
                <w:rFonts w:ascii="Arial" w:cs="Arial" w:eastAsia="Arial" w:hAnsi="Arial"/>
                <w:sz w:val="18"/>
                <w:szCs w:val="18"/>
                <w:color w:val="auto"/>
              </w:rPr>
              <w:t>Nobles 2 Power Partners,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NOL</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Net Operating Loss</w:t>
            </w:r>
          </w:p>
        </w:tc>
      </w:tr>
      <w:tr>
        <w:trPr>
          <w:trHeight w:val="243"/>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640" w:type="dxa"/>
            <w:vAlign w:val="bottom"/>
            <w:gridSpan w:val="3"/>
          </w:tcPr>
          <w:p>
            <w:pPr>
              <w:ind w:left="580"/>
              <w:spacing w:after="0"/>
              <w:rPr>
                <w:sz w:val="20"/>
                <w:szCs w:val="20"/>
                <w:color w:val="auto"/>
              </w:rPr>
            </w:pPr>
            <w:r>
              <w:rPr>
                <w:rFonts w:ascii="Arial" w:cs="Arial" w:eastAsia="Arial" w:hAnsi="Arial"/>
                <w:sz w:val="18"/>
                <w:szCs w:val="18"/>
                <w:color w:val="auto"/>
              </w:rPr>
              <w:t>Nitrogen Oxides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Northshore Mining</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43"/>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Note ___</w:t>
            </w:r>
          </w:p>
        </w:tc>
        <w:tc>
          <w:tcPr>
            <w:tcW w:w="8640" w:type="dxa"/>
            <w:vAlign w:val="bottom"/>
            <w:gridSpan w:val="3"/>
          </w:tcPr>
          <w:p>
            <w:pPr>
              <w:ind w:left="580"/>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NPDES</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NTEC</w:t>
            </w:r>
          </w:p>
        </w:tc>
        <w:tc>
          <w:tcPr>
            <w:tcW w:w="8640" w:type="dxa"/>
            <w:vAlign w:val="bottom"/>
            <w:gridSpan w:val="3"/>
          </w:tcPr>
          <w:p>
            <w:pPr>
              <w:ind w:left="580"/>
              <w:spacing w:after="0"/>
              <w:rPr>
                <w:sz w:val="20"/>
                <w:szCs w:val="20"/>
                <w:color w:val="auto"/>
              </w:rPr>
            </w:pPr>
            <w:r>
              <w:rPr>
                <w:rFonts w:ascii="Arial" w:cs="Arial" w:eastAsia="Arial" w:hAnsi="Arial"/>
                <w:sz w:val="18"/>
                <w:szCs w:val="18"/>
                <w:color w:val="auto"/>
              </w:rPr>
              <w:t>Nemadji Trail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Oliver Wind I Energy Center</w:t>
            </w:r>
          </w:p>
        </w:tc>
      </w:tr>
      <w:tr>
        <w:trPr>
          <w:trHeight w:val="243"/>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Oliver Wind II</w:t>
            </w:r>
          </w:p>
        </w:tc>
        <w:tc>
          <w:tcPr>
            <w:tcW w:w="8640" w:type="dxa"/>
            <w:vAlign w:val="bottom"/>
            <w:gridSpan w:val="3"/>
          </w:tcPr>
          <w:p>
            <w:pPr>
              <w:ind w:left="580"/>
              <w:spacing w:after="0"/>
              <w:rPr>
                <w:sz w:val="20"/>
                <w:szCs w:val="20"/>
                <w:color w:val="auto"/>
              </w:rPr>
            </w:pPr>
            <w:r>
              <w:rPr>
                <w:rFonts w:ascii="Arial" w:cs="Arial" w:eastAsia="Arial" w:hAnsi="Arial"/>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PolyMet Mining Corp.</w:t>
            </w:r>
          </w:p>
        </w:tc>
      </w:tr>
      <w:tr>
        <w:trPr>
          <w:trHeight w:val="243"/>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PPA / PSA</w:t>
            </w:r>
          </w:p>
        </w:tc>
        <w:tc>
          <w:tcPr>
            <w:tcW w:w="8640" w:type="dxa"/>
            <w:vAlign w:val="bottom"/>
            <w:gridSpan w:val="3"/>
          </w:tcPr>
          <w:p>
            <w:pPr>
              <w:ind w:left="580"/>
              <w:spacing w:after="0"/>
              <w:rPr>
                <w:sz w:val="20"/>
                <w:szCs w:val="20"/>
                <w:color w:val="auto"/>
              </w:rPr>
            </w:pPr>
            <w:r>
              <w:rPr>
                <w:rFonts w:ascii="Arial" w:cs="Arial" w:eastAsia="Arial" w:hAnsi="Arial"/>
                <w:sz w:val="18"/>
                <w:szCs w:val="18"/>
                <w:color w:val="auto"/>
              </w:rPr>
              <w:t>Power Purchase Agreement / Power Sales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PPACA</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PSCW</w:t>
            </w:r>
          </w:p>
        </w:tc>
        <w:tc>
          <w:tcPr>
            <w:tcW w:w="8640" w:type="dxa"/>
            <w:vAlign w:val="bottom"/>
            <w:gridSpan w:val="3"/>
          </w:tcPr>
          <w:p>
            <w:pPr>
              <w:ind w:left="580"/>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Silver Bay Power</w:t>
            </w:r>
          </w:p>
        </w:tc>
        <w:tc>
          <w:tcPr>
            <w:tcW w:w="8640" w:type="dxa"/>
            <w:vAlign w:val="bottom"/>
            <w:gridSpan w:val="3"/>
          </w:tcPr>
          <w:p>
            <w:pPr>
              <w:ind w:left="580"/>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Sulfur Dioxide</w:t>
            </w:r>
          </w:p>
        </w:tc>
      </w:tr>
      <w:tr>
        <w:trPr>
          <w:trHeight w:val="243"/>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Square Butte</w:t>
            </w:r>
          </w:p>
        </w:tc>
        <w:tc>
          <w:tcPr>
            <w:tcW w:w="8640" w:type="dxa"/>
            <w:vAlign w:val="bottom"/>
            <w:gridSpan w:val="3"/>
          </w:tcPr>
          <w:p>
            <w:pPr>
              <w:ind w:left="580"/>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SWL&amp;P</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Taconite Harbor</w:t>
            </w:r>
          </w:p>
        </w:tc>
        <w:tc>
          <w:tcPr>
            <w:tcW w:w="8640" w:type="dxa"/>
            <w:vAlign w:val="bottom"/>
            <w:gridSpan w:val="3"/>
          </w:tcPr>
          <w:p>
            <w:pPr>
              <w:ind w:left="580"/>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District</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43"/>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U.S.</w:t>
            </w:r>
          </w:p>
        </w:tc>
        <w:tc>
          <w:tcPr>
            <w:tcW w:w="8640" w:type="dxa"/>
            <w:vAlign w:val="bottom"/>
            <w:gridSpan w:val="3"/>
          </w:tcPr>
          <w:p>
            <w:pPr>
              <w:ind w:left="580"/>
              <w:spacing w:after="0"/>
              <w:rPr>
                <w:sz w:val="20"/>
                <w:szCs w:val="20"/>
                <w:color w:val="auto"/>
              </w:rPr>
            </w:pPr>
            <w:r>
              <w:rPr>
                <w:rFonts w:ascii="Arial" w:cs="Arial" w:eastAsia="Arial" w:hAnsi="Arial"/>
                <w:sz w:val="18"/>
                <w:szCs w:val="18"/>
                <w:color w:val="auto"/>
              </w:rPr>
              <w:t>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Water Services</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43"/>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USS Corporation</w:t>
            </w:r>
          </w:p>
        </w:tc>
        <w:tc>
          <w:tcPr>
            <w:tcW w:w="8640" w:type="dxa"/>
            <w:vAlign w:val="bottom"/>
            <w:gridSpan w:val="3"/>
          </w:tcPr>
          <w:p>
            <w:pPr>
              <w:ind w:left="580"/>
              <w:spacing w:after="0"/>
              <w:rPr>
                <w:sz w:val="20"/>
                <w:szCs w:val="20"/>
                <w:color w:val="auto"/>
              </w:rPr>
            </w:pPr>
            <w:r>
              <w:rPr>
                <w:rFonts w:ascii="Arial" w:cs="Arial" w:eastAsia="Arial" w:hAnsi="Arial"/>
                <w:sz w:val="18"/>
                <w:szCs w:val="18"/>
                <w:color w:val="auto"/>
              </w:rPr>
              <w:t>United States Steel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WTG</w:t>
            </w:r>
          </w:p>
        </w:tc>
        <w:tc>
          <w:tcPr>
            <w:tcW w:w="86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Wind Turbine Generator</w:t>
            </w:r>
          </w:p>
        </w:tc>
      </w:tr>
      <w:tr>
        <w:trPr>
          <w:trHeight w:val="803"/>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40" w:type="dxa"/>
            <w:vAlign w:val="bottom"/>
          </w:tcPr>
          <w:p>
            <w:pPr>
              <w:ind w:left="720"/>
              <w:spacing w:after="0"/>
              <w:rPr>
                <w:sz w:val="20"/>
                <w:szCs w:val="20"/>
                <w:color w:val="auto"/>
              </w:rPr>
            </w:pPr>
            <w:r>
              <w:rPr>
                <w:rFonts w:ascii="Arial" w:cs="Arial" w:eastAsia="Arial" w:hAnsi="Arial"/>
                <w:sz w:val="14"/>
                <w:szCs w:val="14"/>
                <w:color w:val="auto"/>
              </w:rPr>
              <w:t>ALLETE, Inc. First Quarter 2020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1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9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 including the ongoing COVID-19 pandemic;</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bank financing and other financing 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businesses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efforts to realize value from, invest in, and develop new opportunities.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Part I, Item 1A. Risk Factors of ALLETE’s 2019 Form 10-K and Part II, Item 1A. Risk Factors of this Form 10-Q.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01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26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4"/>
        </w:trPr>
        <w:tc>
          <w:tcPr>
            <w:tcW w:w="8260" w:type="dxa"/>
            <w:vAlign w:val="bottom"/>
          </w:tcPr>
          <w:p>
            <w:pPr>
              <w:jc w:val="center"/>
              <w:ind w:left="2890"/>
              <w:spacing w:after="0"/>
              <w:rPr>
                <w:sz w:val="20"/>
                <w:szCs w:val="20"/>
                <w:color w:val="auto"/>
              </w:rPr>
            </w:pPr>
            <w:r>
              <w:rPr>
                <w:rFonts w:ascii="Arial" w:cs="Arial" w:eastAsia="Arial" w:hAnsi="Arial"/>
                <w:sz w:val="18"/>
                <w:szCs w:val="18"/>
                <w:b w:val="1"/>
                <w:bCs w:val="1"/>
                <w:color w:val="auto"/>
              </w:rPr>
              <w:t>ALLETE</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8260" w:type="dxa"/>
            <w:vAlign w:val="bottom"/>
          </w:tcPr>
          <w:p>
            <w:pPr>
              <w:jc w:val="center"/>
              <w:ind w:left="2910"/>
              <w:spacing w:after="0"/>
              <w:rPr>
                <w:sz w:val="20"/>
                <w:szCs w:val="20"/>
                <w:color w:val="auto"/>
              </w:rPr>
            </w:pPr>
            <w:r>
              <w:rPr>
                <w:rFonts w:ascii="Arial" w:cs="Arial" w:eastAsia="Arial" w:hAnsi="Arial"/>
                <w:sz w:val="18"/>
                <w:szCs w:val="18"/>
                <w:b w:val="1"/>
                <w:bCs w:val="1"/>
                <w:color w:val="auto"/>
                <w:w w:val="99"/>
              </w:rPr>
              <w:t>CONSOLIDATED BALANCE SHEET</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8260" w:type="dxa"/>
            <w:vAlign w:val="bottom"/>
          </w:tcPr>
          <w:p>
            <w:pPr>
              <w:jc w:val="center"/>
              <w:ind w:left="2890"/>
              <w:spacing w:after="0"/>
              <w:rPr>
                <w:sz w:val="20"/>
                <w:szCs w:val="20"/>
                <w:color w:val="auto"/>
              </w:rPr>
            </w:pPr>
            <w:r>
              <w:rPr>
                <w:rFonts w:ascii="Arial" w:cs="Arial" w:eastAsia="Arial" w:hAnsi="Arial"/>
                <w:sz w:val="18"/>
                <w:szCs w:val="18"/>
                <w:b w:val="1"/>
                <w:bCs w:val="1"/>
                <w:color w:val="auto"/>
                <w:w w:val="90"/>
              </w:rPr>
              <w:t>Unaudited</w:t>
            </w: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41"/>
        </w:trPr>
        <w:tc>
          <w:tcPr>
            <w:tcW w:w="8260" w:type="dxa"/>
            <w:vAlign w:val="bottom"/>
          </w:tcPr>
          <w:p>
            <w:pPr>
              <w:spacing w:after="0"/>
              <w:rPr>
                <w:sz w:val="24"/>
                <w:szCs w:val="24"/>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6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r>
      <w:tr>
        <w:trPr>
          <w:trHeight w:val="27"/>
        </w:trPr>
        <w:tc>
          <w:tcPr>
            <w:tcW w:w="8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8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$67.0</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r>
      <w:tr>
        <w:trPr>
          <w:trHeight w:val="243"/>
        </w:trPr>
        <w:tc>
          <w:tcPr>
            <w:tcW w:w="826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$1.2 and $0.9)</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99.4</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96.4</w:t>
            </w:r>
          </w:p>
        </w:tc>
      </w:tr>
      <w:tr>
        <w:trPr>
          <w:trHeight w:val="27"/>
        </w:trPr>
        <w:tc>
          <w:tcPr>
            <w:tcW w:w="8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 Net</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79.0</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w:t>
            </w:r>
          </w:p>
        </w:tc>
      </w:tr>
      <w:tr>
        <w:trPr>
          <w:trHeight w:val="243"/>
        </w:trPr>
        <w:tc>
          <w:tcPr>
            <w:tcW w:w="826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29.4</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31.0</w:t>
            </w:r>
          </w:p>
        </w:tc>
      </w:tr>
      <w:tr>
        <w:trPr>
          <w:trHeight w:val="27"/>
        </w:trPr>
        <w:tc>
          <w:tcPr>
            <w:tcW w:w="8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274.8</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269.5</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4,496.3</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4,377.0</w:t>
            </w:r>
          </w:p>
        </w:tc>
      </w:tr>
      <w:tr>
        <w:trPr>
          <w:trHeight w:val="27"/>
        </w:trPr>
        <w:tc>
          <w:tcPr>
            <w:tcW w:w="8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423.8</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420.5</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225.7</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197.6</w:t>
            </w:r>
          </w:p>
        </w:tc>
      </w:tr>
      <w:tr>
        <w:trPr>
          <w:trHeight w:val="27"/>
        </w:trPr>
        <w:tc>
          <w:tcPr>
            <w:tcW w:w="8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198.9</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218.2</w:t>
            </w:r>
          </w:p>
        </w:tc>
      </w:tr>
      <w:tr>
        <w:trPr>
          <w:trHeight w:val="237"/>
        </w:trPr>
        <w:tc>
          <w:tcPr>
            <w:tcW w:w="8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$5,619.5</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$5,482.8</w:t>
            </w:r>
          </w:p>
        </w:tc>
      </w:tr>
      <w:tr>
        <w:trPr>
          <w:trHeight w:val="27"/>
        </w:trPr>
        <w:tc>
          <w:tcPr>
            <w:tcW w:w="8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$164.4</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$165.2</w:t>
            </w:r>
          </w:p>
        </w:tc>
      </w:tr>
      <w:tr>
        <w:trPr>
          <w:trHeight w:val="27"/>
        </w:trPr>
        <w:tc>
          <w:tcPr>
            <w:tcW w:w="8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63.0</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r>
      <w:tr>
        <w:trPr>
          <w:trHeight w:val="243"/>
        </w:trPr>
        <w:tc>
          <w:tcPr>
            <w:tcW w:w="826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15.1</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18.1</w:t>
            </w:r>
          </w:p>
        </w:tc>
      </w:tr>
      <w:tr>
        <w:trPr>
          <w:trHeight w:val="27"/>
        </w:trPr>
        <w:tc>
          <w:tcPr>
            <w:tcW w:w="8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323.0</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212.9</w:t>
            </w:r>
          </w:p>
        </w:tc>
      </w:tr>
      <w:tr>
        <w:trPr>
          <w:trHeight w:val="243"/>
        </w:trPr>
        <w:tc>
          <w:tcPr>
            <w:tcW w:w="8260" w:type="dxa"/>
            <w:vAlign w:val="bottom"/>
          </w:tcPr>
          <w:p>
            <w:pPr>
              <w:ind w:left="280"/>
              <w:spacing w:after="0"/>
              <w:rPr>
                <w:sz w:val="20"/>
                <w:szCs w:val="20"/>
                <w:color w:val="auto"/>
              </w:rPr>
            </w:pPr>
            <w:r>
              <w:rPr>
                <w:rFonts w:ascii="Arial" w:cs="Arial" w:eastAsia="Arial" w:hAnsi="Arial"/>
                <w:sz w:val="18"/>
                <w:szCs w:val="18"/>
                <w:color w:val="auto"/>
              </w:rPr>
              <w:t>Other</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57.6</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60.4</w:t>
            </w:r>
          </w:p>
        </w:tc>
      </w:tr>
      <w:tr>
        <w:trPr>
          <w:trHeight w:val="27"/>
        </w:trPr>
        <w:tc>
          <w:tcPr>
            <w:tcW w:w="8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623.1</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507.4</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1,399.9</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1,400.9</w:t>
            </w:r>
          </w:p>
        </w:tc>
      </w:tr>
      <w:tr>
        <w:trPr>
          <w:trHeight w:val="27"/>
        </w:trPr>
        <w:tc>
          <w:tcPr>
            <w:tcW w:w="8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207.0</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212.8</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566.4</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560.3</w:t>
            </w:r>
          </w:p>
        </w:tc>
      </w:tr>
      <w:tr>
        <w:trPr>
          <w:trHeight w:val="27"/>
        </w:trPr>
        <w:tc>
          <w:tcPr>
            <w:tcW w:w="8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161.4</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172.8</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288.7</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293.0</w:t>
            </w:r>
          </w:p>
        </w:tc>
      </w:tr>
      <w:tr>
        <w:trPr>
          <w:trHeight w:val="27"/>
        </w:trPr>
        <w:tc>
          <w:tcPr>
            <w:tcW w:w="8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8"/>
        </w:trPr>
        <w:tc>
          <w:tcPr>
            <w:tcW w:w="8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3,246.5</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3,147.2</w:t>
            </w:r>
          </w:p>
        </w:tc>
      </w:tr>
      <w:tr>
        <w:trPr>
          <w:trHeight w:val="237"/>
        </w:trPr>
        <w:tc>
          <w:tcPr>
            <w:tcW w:w="8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Guarantees and Contingencies (Note 6)</w:t>
            </w:r>
          </w:p>
        </w:tc>
        <w:tc>
          <w:tcPr>
            <w:tcW w:w="1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ALLETE Equity</w:t>
            </w:r>
          </w:p>
        </w:tc>
        <w:tc>
          <w:tcPr>
            <w:tcW w:w="14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Common Stock Without Par Value, 80.0 Shares Authorized, 51.8 and 51.7 Shares Issued and Outstanding</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1,441.7</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1,436.7</w:t>
            </w:r>
          </w:p>
        </w:tc>
      </w:tr>
      <w:tr>
        <w:trPr>
          <w:trHeight w:val="243"/>
        </w:trPr>
        <w:tc>
          <w:tcPr>
            <w:tcW w:w="826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(23.8)</w:t>
            </w:r>
          </w:p>
        </w:tc>
        <w:tc>
          <w:tcPr>
            <w:tcW w:w="14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8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853.2</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818.8</w:t>
            </w:r>
          </w:p>
        </w:tc>
      </w:tr>
      <w:tr>
        <w:trPr>
          <w:trHeight w:val="236"/>
        </w:trPr>
        <w:tc>
          <w:tcPr>
            <w:tcW w:w="82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ALLETE Equity</w:t>
            </w:r>
          </w:p>
        </w:tc>
        <w:tc>
          <w:tcPr>
            <w:tcW w:w="14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2,271.1</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2,231.9</w:t>
            </w:r>
          </w:p>
        </w:tc>
      </w:tr>
      <w:tr>
        <w:trPr>
          <w:trHeight w:val="27"/>
        </w:trPr>
        <w:tc>
          <w:tcPr>
            <w:tcW w:w="8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101.9</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w:t>
            </w:r>
          </w:p>
        </w:tc>
      </w:tr>
      <w:tr>
        <w:trPr>
          <w:trHeight w:val="236"/>
        </w:trPr>
        <w:tc>
          <w:tcPr>
            <w:tcW w:w="82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Equity</w:t>
            </w:r>
          </w:p>
        </w:tc>
        <w:tc>
          <w:tcPr>
            <w:tcW w:w="14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2,373.0</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2,335.6</w:t>
            </w:r>
          </w:p>
        </w:tc>
      </w:tr>
      <w:tr>
        <w:trPr>
          <w:trHeight w:val="27"/>
        </w:trPr>
        <w:tc>
          <w:tcPr>
            <w:tcW w:w="8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$5,619.5</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$5,482.8</w:t>
            </w:r>
          </w:p>
        </w:tc>
      </w:tr>
      <w:tr>
        <w:trPr>
          <w:trHeight w:val="263"/>
        </w:trPr>
        <w:tc>
          <w:tcPr>
            <w:tcW w:w="8260" w:type="dxa"/>
            <w:vAlign w:val="bottom"/>
            <w:tcBorders>
              <w:top w:val="single" w:sz="8" w:color="auto"/>
            </w:tcBorders>
          </w:tcPr>
          <w:p>
            <w:pPr>
              <w:jc w:val="center"/>
              <w:ind w:left="291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4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ectPr>
          <w:pgSz w:w="11900" w:h="16838" w:orient="portrait"/>
          <w:cols w:equalWidth="0" w:num="1">
            <w:col w:w="11240"/>
          </w:cols>
          <w:pgMar w:left="320" w:top="1012" w:right="339" w:bottom="1440" w:gutter="0" w:footer="0" w:header="0"/>
        </w:sectPr>
      </w:pPr>
    </w:p>
    <w:p>
      <w:pPr>
        <w:spacing w:after="0" w:line="1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012"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5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700" w:type="dxa"/>
            <w:vAlign w:val="bottom"/>
          </w:tcPr>
          <w:p>
            <w:pPr>
              <w:spacing w:after="0"/>
              <w:rPr>
                <w:sz w:val="23"/>
                <w:szCs w:val="23"/>
                <w:color w:val="auto"/>
              </w:rPr>
            </w:pPr>
          </w:p>
        </w:tc>
        <w:tc>
          <w:tcPr>
            <w:tcW w:w="25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700" w:type="dxa"/>
            <w:vAlign w:val="bottom"/>
          </w:tcPr>
          <w:p>
            <w:pPr>
              <w:spacing w:after="0"/>
              <w:rPr>
                <w:sz w:val="23"/>
                <w:szCs w:val="23"/>
                <w:color w:val="auto"/>
              </w:rPr>
            </w:pPr>
          </w:p>
        </w:tc>
        <w:tc>
          <w:tcPr>
            <w:tcW w:w="16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27"/>
        </w:trPr>
        <w:tc>
          <w:tcPr>
            <w:tcW w:w="8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6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16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Contracts with Customers – Utility</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$265.3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$282.2</w:t>
            </w:r>
          </w:p>
        </w:tc>
      </w:tr>
      <w:tr>
        <w:trPr>
          <w:trHeight w:val="27"/>
        </w:trPr>
        <w:tc>
          <w:tcPr>
            <w:tcW w:w="8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with Customers – Non-utility</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Other – Non-utility</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8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Revenue</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311.6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357.2</w:t>
            </w:r>
          </w:p>
        </w:tc>
      </w:tr>
      <w:tr>
        <w:trPr>
          <w:trHeight w:val="236"/>
        </w:trPr>
        <w:tc>
          <w:tcPr>
            <w:tcW w:w="8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Purchased Power and Gas – Utility</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Transmission Services – Utility</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18.5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8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 Non-utility</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61.0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76.2</w:t>
            </w:r>
          </w:p>
        </w:tc>
      </w:tr>
      <w:tr>
        <w:trPr>
          <w:trHeight w:val="27"/>
        </w:trPr>
        <w:tc>
          <w:tcPr>
            <w:tcW w:w="8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53.4</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12.6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8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8"/>
        </w:trPr>
        <w:tc>
          <w:tcPr>
            <w:tcW w:w="8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251.4</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300.4</w:t>
            </w:r>
          </w:p>
        </w:tc>
      </w:tr>
      <w:tr>
        <w:trPr>
          <w:trHeight w:val="236"/>
        </w:trPr>
        <w:tc>
          <w:tcPr>
            <w:tcW w:w="8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1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60.2</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56.8</w:t>
            </w:r>
          </w:p>
        </w:tc>
      </w:tr>
      <w:tr>
        <w:trPr>
          <w:trHeight w:val="27"/>
        </w:trPr>
        <w:tc>
          <w:tcPr>
            <w:tcW w:w="8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6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(15.7)</w:t>
            </w: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8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Gain on Sale of U.S. Water Services</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8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37"/>
        </w:trPr>
        <w:tc>
          <w:tcPr>
            <w:tcW w:w="87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Total Other Income (Expense)</w:t>
            </w:r>
          </w:p>
        </w:tc>
        <w:tc>
          <w:tcPr>
            <w:tcW w:w="1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(9.5)</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8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(13.8)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8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8"/>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64.5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r>
      <w:tr>
        <w:trPr>
          <w:trHeight w:val="237"/>
        </w:trPr>
        <w:tc>
          <w:tcPr>
            <w:tcW w:w="87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1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r>
      <w:tr>
        <w:trPr>
          <w:trHeight w:val="237"/>
        </w:trPr>
        <w:tc>
          <w:tcPr>
            <w:tcW w:w="8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16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51.8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51.7</w:t>
            </w:r>
          </w:p>
        </w:tc>
      </w:tr>
      <w:tr>
        <w:trPr>
          <w:trHeight w:val="27"/>
        </w:trPr>
        <w:tc>
          <w:tcPr>
            <w:tcW w:w="8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$1.28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8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700" w:type="dxa"/>
            <w:vAlign w:val="bottom"/>
          </w:tcPr>
          <w:p>
            <w:pPr>
              <w:ind w:left="330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8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01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25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660" w:type="dxa"/>
            <w:vAlign w:val="bottom"/>
          </w:tcPr>
          <w:p>
            <w:pPr>
              <w:spacing w:after="0"/>
              <w:rPr>
                <w:sz w:val="23"/>
                <w:szCs w:val="23"/>
                <w:color w:val="auto"/>
              </w:rPr>
            </w:pPr>
          </w:p>
        </w:tc>
        <w:tc>
          <w:tcPr>
            <w:tcW w:w="25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660" w:type="dxa"/>
            <w:vAlign w:val="bottom"/>
          </w:tcPr>
          <w:p>
            <w:pPr>
              <w:spacing w:after="0"/>
              <w:rPr>
                <w:sz w:val="23"/>
                <w:szCs w:val="23"/>
                <w:color w:val="auto"/>
              </w:rPr>
            </w:pPr>
          </w:p>
        </w:tc>
        <w:tc>
          <w:tcPr>
            <w:tcW w:w="16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27"/>
        </w:trPr>
        <w:tc>
          <w:tcPr>
            <w:tcW w:w="8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8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$64.5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r>
      <w:tr>
        <w:trPr>
          <w:trHeight w:val="237"/>
        </w:trPr>
        <w:tc>
          <w:tcPr>
            <w:tcW w:w="8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6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8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1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Net of Income Tax Expense (Benefit) of $(0.1) and $–</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1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Net of Income Tax Expense of $0.1 and $0.1</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0.2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8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6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64.3</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70.6</w:t>
            </w:r>
          </w:p>
        </w:tc>
      </w:tr>
      <w:tr>
        <w:trPr>
          <w:trHeight w:val="27"/>
        </w:trPr>
        <w:tc>
          <w:tcPr>
            <w:tcW w:w="8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16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$66.1</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$70.6</w:t>
            </w:r>
          </w:p>
        </w:tc>
      </w:tr>
      <w:tr>
        <w:trPr>
          <w:trHeight w:val="27"/>
        </w:trPr>
        <w:tc>
          <w:tcPr>
            <w:tcW w:w="8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8660" w:type="dxa"/>
            <w:vAlign w:val="bottom"/>
          </w:tcPr>
          <w:p>
            <w:pPr>
              <w:ind w:left="330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6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01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80" w:type="dxa"/>
            <w:vAlign w:val="bottom"/>
          </w:tcPr>
          <w:p>
            <w:pPr>
              <w:spacing w:after="0"/>
              <w:rPr>
                <w:sz w:val="19"/>
                <w:szCs w:val="19"/>
                <w:color w:val="auto"/>
              </w:rPr>
            </w:pPr>
          </w:p>
        </w:tc>
        <w:tc>
          <w:tcPr>
            <w:tcW w:w="256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Three Months Ended</w:t>
            </w:r>
          </w:p>
        </w:tc>
      </w:tr>
      <w:tr>
        <w:trPr>
          <w:trHeight w:val="270"/>
        </w:trPr>
        <w:tc>
          <w:tcPr>
            <w:tcW w:w="86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7"/>
                <w:szCs w:val="17"/>
                <w:b w:val="1"/>
                <w:bCs w:val="1"/>
                <w:color w:val="auto"/>
              </w:rPr>
              <w:t>March 31,</w:t>
            </w:r>
          </w:p>
        </w:tc>
        <w:tc>
          <w:tcPr>
            <w:tcW w:w="680" w:type="dxa"/>
            <w:vAlign w:val="bottom"/>
          </w:tcPr>
          <w:p>
            <w:pPr>
              <w:spacing w:after="0"/>
              <w:rPr>
                <w:sz w:val="23"/>
                <w:szCs w:val="23"/>
                <w:color w:val="auto"/>
              </w:rPr>
            </w:pPr>
          </w:p>
        </w:tc>
      </w:tr>
      <w:tr>
        <w:trPr>
          <w:trHeight w:val="270"/>
        </w:trPr>
        <w:tc>
          <w:tcPr>
            <w:tcW w:w="8680" w:type="dxa"/>
            <w:vAlign w:val="bottom"/>
          </w:tcPr>
          <w:p>
            <w:pPr>
              <w:spacing w:after="0"/>
              <w:rPr>
                <w:sz w:val="23"/>
                <w:szCs w:val="23"/>
                <w:color w:val="auto"/>
              </w:rPr>
            </w:pPr>
          </w:p>
        </w:tc>
        <w:tc>
          <w:tcPr>
            <w:tcW w:w="1880" w:type="dxa"/>
            <w:vAlign w:val="bottom"/>
          </w:tcPr>
          <w:p>
            <w:pPr>
              <w:jc w:val="right"/>
              <w:ind w:right="675"/>
              <w:spacing w:after="0"/>
              <w:rPr>
                <w:sz w:val="20"/>
                <w:szCs w:val="20"/>
                <w:color w:val="auto"/>
              </w:rPr>
            </w:pPr>
            <w:r>
              <w:rPr>
                <w:rFonts w:ascii="Arial" w:cs="Arial" w:eastAsia="Arial" w:hAnsi="Arial"/>
                <w:sz w:val="17"/>
                <w:szCs w:val="17"/>
                <w:b w:val="1"/>
                <w:bCs w:val="1"/>
                <w:color w:val="auto"/>
              </w:rPr>
              <w:t>2020</w:t>
            </w:r>
          </w:p>
        </w:tc>
        <w:tc>
          <w:tcPr>
            <w:tcW w:w="680" w:type="dxa"/>
            <w:vAlign w:val="bottom"/>
          </w:tcPr>
          <w:p>
            <w:pPr>
              <w:jc w:val="right"/>
              <w:ind w:right="235"/>
              <w:spacing w:after="0"/>
              <w:rPr>
                <w:sz w:val="20"/>
                <w:szCs w:val="20"/>
                <w:color w:val="auto"/>
              </w:rPr>
            </w:pPr>
            <w:r>
              <w:rPr>
                <w:rFonts w:ascii="Arial" w:cs="Arial" w:eastAsia="Arial" w:hAnsi="Arial"/>
                <w:sz w:val="17"/>
                <w:szCs w:val="17"/>
                <w:b w:val="1"/>
                <w:bCs w:val="1"/>
                <w:color w:val="auto"/>
                <w:w w:val="89"/>
              </w:rPr>
              <w:t>2019</w:t>
            </w:r>
          </w:p>
        </w:tc>
      </w:tr>
      <w:tr>
        <w:trPr>
          <w:trHeight w:val="31"/>
        </w:trPr>
        <w:tc>
          <w:tcPr>
            <w:tcW w:w="8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3"/>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Millions</w:t>
            </w:r>
          </w:p>
        </w:tc>
        <w:tc>
          <w:tcPr>
            <w:tcW w:w="18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880" w:type="dxa"/>
            <w:vAlign w:val="bottom"/>
          </w:tcPr>
          <w:p>
            <w:pPr>
              <w:jc w:val="right"/>
              <w:ind w:right="455"/>
              <w:spacing w:after="0"/>
              <w:rPr>
                <w:sz w:val="20"/>
                <w:szCs w:val="20"/>
                <w:color w:val="auto"/>
              </w:rPr>
            </w:pPr>
            <w:r>
              <w:rPr>
                <w:rFonts w:ascii="Arial" w:cs="Arial" w:eastAsia="Arial" w:hAnsi="Arial"/>
                <w:sz w:val="17"/>
                <w:szCs w:val="17"/>
                <w:color w:val="auto"/>
              </w:rPr>
              <w:t>$64.5</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$70.5</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AFUDC – Equity</w:t>
            </w:r>
          </w:p>
        </w:tc>
        <w:tc>
          <w:tcPr>
            <w:tcW w:w="18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7"/>
                <w:szCs w:val="17"/>
                <w:color w:val="auto"/>
              </w:rPr>
              <w:t>(0.5)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Income from Equity Investments – Net of Dividends</w:t>
            </w:r>
          </w:p>
        </w:tc>
        <w:tc>
          <w:tcPr>
            <w:tcW w:w="188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Realized and Unrealized (Gain) Loss on Investments and Property, Plant and Equipment</w:t>
            </w:r>
          </w:p>
        </w:tc>
        <w:tc>
          <w:tcPr>
            <w:tcW w:w="188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3.1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Depreciation Expense</w:t>
            </w:r>
          </w:p>
        </w:tc>
        <w:tc>
          <w:tcPr>
            <w:tcW w:w="1880" w:type="dxa"/>
            <w:vAlign w:val="bottom"/>
          </w:tcPr>
          <w:p>
            <w:pPr>
              <w:jc w:val="right"/>
              <w:ind w:right="455"/>
              <w:spacing w:after="0"/>
              <w:rPr>
                <w:sz w:val="20"/>
                <w:szCs w:val="20"/>
                <w:color w:val="auto"/>
              </w:rPr>
            </w:pPr>
            <w:r>
              <w:rPr>
                <w:rFonts w:ascii="Arial" w:cs="Arial" w:eastAsia="Arial" w:hAnsi="Arial"/>
                <w:sz w:val="17"/>
                <w:szCs w:val="17"/>
                <w:color w:val="auto"/>
              </w:rPr>
              <w:t>53.4</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50.7</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PSAs</w:t>
            </w:r>
          </w:p>
        </w:tc>
        <w:tc>
          <w:tcPr>
            <w:tcW w:w="18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7"/>
                <w:szCs w:val="17"/>
                <w:color w:val="auto"/>
              </w:rPr>
              <w:t>(2.8)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Amortization of Other Intangible Assets and Other Assets</w:t>
            </w:r>
          </w:p>
        </w:tc>
        <w:tc>
          <w:tcPr>
            <w:tcW w:w="1880" w:type="dxa"/>
            <w:vAlign w:val="bottom"/>
          </w:tcPr>
          <w:p>
            <w:pPr>
              <w:jc w:val="right"/>
              <w:ind w:right="455"/>
              <w:spacing w:after="0"/>
              <w:rPr>
                <w:sz w:val="20"/>
                <w:szCs w:val="20"/>
                <w:color w:val="auto"/>
              </w:rPr>
            </w:pPr>
            <w:r>
              <w:rPr>
                <w:rFonts w:ascii="Arial" w:cs="Arial" w:eastAsia="Arial" w:hAnsi="Arial"/>
                <w:sz w:val="17"/>
                <w:szCs w:val="17"/>
                <w:color w:val="auto"/>
              </w:rPr>
              <w:t>2.6</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3.8</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 Expense (Benefit)</w:t>
            </w:r>
          </w:p>
        </w:tc>
        <w:tc>
          <w:tcPr>
            <w:tcW w:w="18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7"/>
                <w:szCs w:val="17"/>
                <w:color w:val="auto"/>
              </w:rPr>
              <w:t>(13.8)</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Share-Based and ESOP Compensation Expense</w:t>
            </w:r>
          </w:p>
        </w:tc>
        <w:tc>
          <w:tcPr>
            <w:tcW w:w="1880" w:type="dxa"/>
            <w:vAlign w:val="bottom"/>
          </w:tcPr>
          <w:p>
            <w:pPr>
              <w:jc w:val="right"/>
              <w:ind w:right="455"/>
              <w:spacing w:after="0"/>
              <w:rPr>
                <w:sz w:val="20"/>
                <w:szCs w:val="20"/>
                <w:color w:val="auto"/>
              </w:rPr>
            </w:pPr>
            <w:r>
              <w:rPr>
                <w:rFonts w:ascii="Arial" w:cs="Arial" w:eastAsia="Arial" w:hAnsi="Arial"/>
                <w:sz w:val="17"/>
                <w:szCs w:val="17"/>
                <w:color w:val="auto"/>
              </w:rPr>
              <w:t>1.7</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1.8</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88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Provision for Interim Rate Refund</w:t>
            </w:r>
          </w:p>
        </w:tc>
        <w:tc>
          <w:tcPr>
            <w:tcW w:w="188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0.6</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for Tax Reform Refund</w:t>
            </w:r>
          </w:p>
        </w:tc>
        <w:tc>
          <w:tcPr>
            <w:tcW w:w="188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Bad Debt Expense</w:t>
            </w:r>
          </w:p>
        </w:tc>
        <w:tc>
          <w:tcPr>
            <w:tcW w:w="1880" w:type="dxa"/>
            <w:vAlign w:val="bottom"/>
          </w:tcPr>
          <w:p>
            <w:pPr>
              <w:jc w:val="right"/>
              <w:ind w:right="455"/>
              <w:spacing w:after="0"/>
              <w:rPr>
                <w:sz w:val="20"/>
                <w:szCs w:val="20"/>
                <w:color w:val="auto"/>
              </w:rPr>
            </w:pPr>
            <w:r>
              <w:rPr>
                <w:rFonts w:ascii="Arial" w:cs="Arial" w:eastAsia="Arial" w:hAnsi="Arial"/>
                <w:sz w:val="17"/>
                <w:szCs w:val="17"/>
                <w:color w:val="auto"/>
              </w:rPr>
              <w:t>0.4</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0.4</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Gain on Sale of U.S. Water Services</w:t>
            </w:r>
          </w:p>
        </w:tc>
        <w:tc>
          <w:tcPr>
            <w:tcW w:w="188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w:t>
            </w: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8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Receivable</w:t>
            </w:r>
          </w:p>
        </w:tc>
        <w:tc>
          <w:tcPr>
            <w:tcW w:w="18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7"/>
                <w:szCs w:val="17"/>
                <w:color w:val="auto"/>
              </w:rPr>
              <w:t>(3.4)</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20.9</w:t>
            </w:r>
          </w:p>
        </w:tc>
      </w:tr>
      <w:tr>
        <w:trPr>
          <w:trHeight w:val="239"/>
        </w:trPr>
        <w:tc>
          <w:tcPr>
            <w:tcW w:w="8680" w:type="dxa"/>
            <w:vAlign w:val="bottom"/>
          </w:tcPr>
          <w:p>
            <w:pPr>
              <w:ind w:left="500"/>
              <w:spacing w:after="0"/>
              <w:rPr>
                <w:sz w:val="20"/>
                <w:szCs w:val="20"/>
                <w:color w:val="auto"/>
              </w:rPr>
            </w:pPr>
            <w:r>
              <w:rPr>
                <w:rFonts w:ascii="Arial" w:cs="Arial" w:eastAsia="Arial" w:hAnsi="Arial"/>
                <w:sz w:val="17"/>
                <w:szCs w:val="17"/>
                <w:color w:val="auto"/>
              </w:rPr>
              <w:t>Inventories</w:t>
            </w:r>
          </w:p>
        </w:tc>
        <w:tc>
          <w:tcPr>
            <w:tcW w:w="1880" w:type="dxa"/>
            <w:vAlign w:val="bottom"/>
          </w:tcPr>
          <w:p>
            <w:pPr>
              <w:jc w:val="right"/>
              <w:ind w:right="395"/>
              <w:spacing w:after="0"/>
              <w:rPr>
                <w:sz w:val="20"/>
                <w:szCs w:val="20"/>
                <w:color w:val="auto"/>
              </w:rPr>
            </w:pPr>
            <w:r>
              <w:rPr>
                <w:rFonts w:ascii="Arial" w:cs="Arial" w:eastAsia="Arial" w:hAnsi="Arial"/>
                <w:sz w:val="17"/>
                <w:szCs w:val="17"/>
                <w:color w:val="auto"/>
              </w:rPr>
              <w:t>(6.2)</w:t>
            </w:r>
          </w:p>
        </w:tc>
        <w:tc>
          <w:tcPr>
            <w:tcW w:w="6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Prepayments and Other</w:t>
            </w:r>
          </w:p>
        </w:tc>
        <w:tc>
          <w:tcPr>
            <w:tcW w:w="188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4.0</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w:t>
            </w:r>
          </w:p>
        </w:tc>
      </w:tr>
      <w:tr>
        <w:trPr>
          <w:trHeight w:val="239"/>
        </w:trPr>
        <w:tc>
          <w:tcPr>
            <w:tcW w:w="868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880" w:type="dxa"/>
            <w:vAlign w:val="bottom"/>
          </w:tcPr>
          <w:p>
            <w:pPr>
              <w:jc w:val="right"/>
              <w:ind w:right="395"/>
              <w:spacing w:after="0"/>
              <w:rPr>
                <w:sz w:val="20"/>
                <w:szCs w:val="20"/>
                <w:color w:val="auto"/>
              </w:rPr>
            </w:pPr>
            <w:r>
              <w:rPr>
                <w:rFonts w:ascii="Arial" w:cs="Arial" w:eastAsia="Arial" w:hAnsi="Arial"/>
                <w:sz w:val="17"/>
                <w:szCs w:val="17"/>
                <w:color w:val="auto"/>
              </w:rPr>
              <w:t>(5.5)</w:t>
            </w:r>
          </w:p>
        </w:tc>
        <w:tc>
          <w:tcPr>
            <w:tcW w:w="68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Other Current Liabilities</w:t>
            </w:r>
          </w:p>
        </w:tc>
        <w:tc>
          <w:tcPr>
            <w:tcW w:w="188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7.1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Cash Contributions to Defined Benefit Pension Plans</w:t>
            </w:r>
          </w:p>
        </w:tc>
        <w:tc>
          <w:tcPr>
            <w:tcW w:w="1880" w:type="dxa"/>
            <w:vAlign w:val="bottom"/>
          </w:tcPr>
          <w:p>
            <w:pPr>
              <w:jc w:val="right"/>
              <w:ind w:right="395"/>
              <w:spacing w:after="0"/>
              <w:rPr>
                <w:sz w:val="20"/>
                <w:szCs w:val="20"/>
                <w:color w:val="auto"/>
              </w:rPr>
            </w:pPr>
            <w:r>
              <w:rPr>
                <w:rFonts w:ascii="Arial" w:cs="Arial" w:eastAsia="Arial" w:hAnsi="Arial"/>
                <w:sz w:val="17"/>
                <w:szCs w:val="17"/>
                <w:color w:val="auto"/>
              </w:rPr>
              <w:t>(10.7)</w:t>
            </w:r>
          </w:p>
        </w:tc>
        <w:tc>
          <w:tcPr>
            <w:tcW w:w="68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8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7"/>
                <w:szCs w:val="17"/>
                <w:color w:val="auto"/>
              </w:rPr>
              <w:t>(11.4)</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880" w:type="dxa"/>
            <w:vAlign w:val="bottom"/>
          </w:tcPr>
          <w:p>
            <w:pPr>
              <w:jc w:val="right"/>
              <w:ind w:right="455"/>
              <w:spacing w:after="0"/>
              <w:rPr>
                <w:sz w:val="20"/>
                <w:szCs w:val="20"/>
                <w:color w:val="auto"/>
              </w:rPr>
            </w:pPr>
            <w:r>
              <w:rPr>
                <w:rFonts w:ascii="Arial" w:cs="Arial" w:eastAsia="Arial" w:hAnsi="Arial"/>
                <w:sz w:val="17"/>
                <w:szCs w:val="17"/>
                <w:color w:val="auto"/>
              </w:rPr>
              <w:t>6.3</w:t>
            </w:r>
          </w:p>
        </w:tc>
        <w:tc>
          <w:tcPr>
            <w:tcW w:w="68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31"/>
        </w:trPr>
        <w:tc>
          <w:tcPr>
            <w:tcW w:w="8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8"/>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Operating Activities</w:t>
            </w:r>
          </w:p>
        </w:tc>
        <w:tc>
          <w:tcPr>
            <w:tcW w:w="188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88.8</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79.1</w:t>
            </w:r>
          </w:p>
        </w:tc>
      </w:tr>
      <w:tr>
        <w:trPr>
          <w:trHeight w:val="233"/>
        </w:trPr>
        <w:tc>
          <w:tcPr>
            <w:tcW w:w="86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8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88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0.9</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w:t>
            </w: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880" w:type="dxa"/>
            <w:vAlign w:val="bottom"/>
          </w:tcPr>
          <w:p>
            <w:pPr>
              <w:jc w:val="right"/>
              <w:ind w:right="395"/>
              <w:spacing w:after="0"/>
              <w:rPr>
                <w:sz w:val="20"/>
                <w:szCs w:val="20"/>
                <w:color w:val="auto"/>
              </w:rPr>
            </w:pPr>
            <w:r>
              <w:rPr>
                <w:rFonts w:ascii="Arial" w:cs="Arial" w:eastAsia="Arial" w:hAnsi="Arial"/>
                <w:sz w:val="17"/>
                <w:szCs w:val="17"/>
                <w:color w:val="auto"/>
              </w:rPr>
              <w:t>(1.1)</w:t>
            </w:r>
          </w:p>
        </w:tc>
        <w:tc>
          <w:tcPr>
            <w:tcW w:w="6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for Equity Investments</w:t>
            </w:r>
          </w:p>
        </w:tc>
        <w:tc>
          <w:tcPr>
            <w:tcW w:w="18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7"/>
                <w:szCs w:val="17"/>
                <w:color w:val="auto"/>
              </w:rPr>
              <w:t>(27.8)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Return of Capital from Equity Investments</w:t>
            </w:r>
          </w:p>
        </w:tc>
        <w:tc>
          <w:tcPr>
            <w:tcW w:w="188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8.3</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U.S. Water Services – Net of Transaction Costs and Cash Retained</w:t>
            </w:r>
          </w:p>
        </w:tc>
        <w:tc>
          <w:tcPr>
            <w:tcW w:w="188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264.7</w:t>
            </w: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880" w:type="dxa"/>
            <w:vAlign w:val="bottom"/>
          </w:tcPr>
          <w:p>
            <w:pPr>
              <w:jc w:val="right"/>
              <w:ind w:right="395"/>
              <w:spacing w:after="0"/>
              <w:rPr>
                <w:sz w:val="20"/>
                <w:szCs w:val="20"/>
                <w:color w:val="auto"/>
              </w:rPr>
            </w:pPr>
            <w:r>
              <w:rPr>
                <w:rFonts w:ascii="Arial" w:cs="Arial" w:eastAsia="Arial" w:hAnsi="Arial"/>
                <w:sz w:val="17"/>
                <w:szCs w:val="17"/>
                <w:color w:val="auto"/>
              </w:rPr>
              <w:t>(154.3)</w:t>
            </w:r>
          </w:p>
        </w:tc>
        <w:tc>
          <w:tcPr>
            <w:tcW w:w="680" w:type="dxa"/>
            <w:vAlign w:val="bottom"/>
          </w:tcPr>
          <w:p>
            <w:pPr>
              <w:jc w:val="right"/>
              <w:spacing w:after="0"/>
              <w:rPr>
                <w:sz w:val="20"/>
                <w:szCs w:val="20"/>
                <w:color w:val="auto"/>
              </w:rPr>
            </w:pPr>
            <w:r>
              <w:rPr>
                <w:rFonts w:ascii="Arial" w:cs="Arial" w:eastAsia="Arial" w:hAnsi="Arial"/>
                <w:sz w:val="17"/>
                <w:szCs w:val="17"/>
                <w:color w:val="auto"/>
              </w:rPr>
              <w:t>(89.3)</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Investing Activities</w:t>
            </w:r>
          </w:p>
        </w:tc>
        <w:tc>
          <w:tcPr>
            <w:tcW w:w="18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7"/>
                <w:szCs w:val="17"/>
                <w:color w:val="auto"/>
              </w:rPr>
              <w:t>(0.2)</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w:t>
            </w:r>
          </w:p>
        </w:tc>
      </w:tr>
      <w:tr>
        <w:trPr>
          <w:trHeight w:val="233"/>
        </w:trPr>
        <w:tc>
          <w:tcPr>
            <w:tcW w:w="868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(for) Investing Activities</w:t>
            </w:r>
          </w:p>
        </w:tc>
        <w:tc>
          <w:tcPr>
            <w:tcW w:w="1880" w:type="dxa"/>
            <w:vAlign w:val="bottom"/>
            <w:tcBorders>
              <w:top w:val="single" w:sz="8" w:color="auto"/>
            </w:tcBorders>
          </w:tcPr>
          <w:p>
            <w:pPr>
              <w:jc w:val="right"/>
              <w:ind w:right="395"/>
              <w:spacing w:after="0"/>
              <w:rPr>
                <w:sz w:val="20"/>
                <w:szCs w:val="20"/>
                <w:color w:val="auto"/>
              </w:rPr>
            </w:pPr>
            <w:r>
              <w:rPr>
                <w:rFonts w:ascii="Arial" w:cs="Arial" w:eastAsia="Arial" w:hAnsi="Arial"/>
                <w:sz w:val="17"/>
                <w:szCs w:val="17"/>
                <w:color w:val="auto"/>
              </w:rPr>
              <w:t>(182.5)</w:t>
            </w: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185.1</w:t>
            </w:r>
          </w:p>
        </w:tc>
      </w:tr>
      <w:tr>
        <w:trPr>
          <w:trHeight w:val="31"/>
        </w:trPr>
        <w:tc>
          <w:tcPr>
            <w:tcW w:w="8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880" w:type="dxa"/>
            <w:vAlign w:val="bottom"/>
          </w:tcPr>
          <w:p>
            <w:pPr>
              <w:jc w:val="right"/>
              <w:ind w:right="455"/>
              <w:spacing w:after="0"/>
              <w:rPr>
                <w:sz w:val="20"/>
                <w:szCs w:val="20"/>
                <w:color w:val="auto"/>
              </w:rPr>
            </w:pPr>
            <w:r>
              <w:rPr>
                <w:rFonts w:ascii="Arial" w:cs="Arial" w:eastAsia="Arial" w:hAnsi="Arial"/>
                <w:sz w:val="17"/>
                <w:szCs w:val="17"/>
                <w:color w:val="auto"/>
              </w:rPr>
              <w:t>3.3</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0.8</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88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110.0</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100.0</w:t>
            </w: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Repayments of Long-Term Debt</w:t>
            </w:r>
          </w:p>
        </w:tc>
        <w:tc>
          <w:tcPr>
            <w:tcW w:w="1880" w:type="dxa"/>
            <w:vAlign w:val="bottom"/>
          </w:tcPr>
          <w:p>
            <w:pPr>
              <w:jc w:val="right"/>
              <w:ind w:right="395"/>
              <w:spacing w:after="0"/>
              <w:rPr>
                <w:sz w:val="20"/>
                <w:szCs w:val="20"/>
                <w:color w:val="auto"/>
              </w:rPr>
            </w:pPr>
            <w:r>
              <w:rPr>
                <w:rFonts w:ascii="Arial" w:cs="Arial" w:eastAsia="Arial" w:hAnsi="Arial"/>
                <w:sz w:val="17"/>
                <w:szCs w:val="17"/>
                <w:color w:val="auto"/>
              </w:rPr>
              <w:t>(1.4)</w:t>
            </w:r>
          </w:p>
        </w:tc>
        <w:tc>
          <w:tcPr>
            <w:tcW w:w="680" w:type="dxa"/>
            <w:vAlign w:val="bottom"/>
          </w:tcPr>
          <w:p>
            <w:pPr>
              <w:jc w:val="right"/>
              <w:spacing w:after="0"/>
              <w:rPr>
                <w:sz w:val="20"/>
                <w:szCs w:val="20"/>
                <w:color w:val="auto"/>
              </w:rPr>
            </w:pPr>
            <w:r>
              <w:rPr>
                <w:rFonts w:ascii="Arial" w:cs="Arial" w:eastAsia="Arial" w:hAnsi="Arial"/>
                <w:sz w:val="17"/>
                <w:szCs w:val="17"/>
                <w:color w:val="auto"/>
              </w:rPr>
              <w:t>(43.8)</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Acquisition-Related Contingent Consideration Payments</w:t>
            </w:r>
          </w:p>
        </w:tc>
        <w:tc>
          <w:tcPr>
            <w:tcW w:w="188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39"/>
        </w:trPr>
        <w:tc>
          <w:tcPr>
            <w:tcW w:w="8680" w:type="dxa"/>
            <w:vAlign w:val="bottom"/>
          </w:tcPr>
          <w:p>
            <w:pPr>
              <w:ind w:left="280"/>
              <w:spacing w:after="0"/>
              <w:rPr>
                <w:sz w:val="20"/>
                <w:szCs w:val="20"/>
                <w:color w:val="auto"/>
              </w:rPr>
            </w:pPr>
            <w:r>
              <w:rPr>
                <w:rFonts w:ascii="Arial" w:cs="Arial" w:eastAsia="Arial" w:hAnsi="Arial"/>
                <w:sz w:val="17"/>
                <w:szCs w:val="17"/>
                <w:color w:val="auto"/>
              </w:rPr>
              <w:t>Dividends on Common Stock</w:t>
            </w:r>
          </w:p>
        </w:tc>
        <w:tc>
          <w:tcPr>
            <w:tcW w:w="1880" w:type="dxa"/>
            <w:vAlign w:val="bottom"/>
          </w:tcPr>
          <w:p>
            <w:pPr>
              <w:jc w:val="right"/>
              <w:ind w:right="395"/>
              <w:spacing w:after="0"/>
              <w:rPr>
                <w:sz w:val="20"/>
                <w:szCs w:val="20"/>
                <w:color w:val="auto"/>
              </w:rPr>
            </w:pPr>
            <w:r>
              <w:rPr>
                <w:rFonts w:ascii="Arial" w:cs="Arial" w:eastAsia="Arial" w:hAnsi="Arial"/>
                <w:sz w:val="17"/>
                <w:szCs w:val="17"/>
                <w:color w:val="auto"/>
              </w:rPr>
              <w:t>(31.9)</w:t>
            </w:r>
          </w:p>
        </w:tc>
        <w:tc>
          <w:tcPr>
            <w:tcW w:w="680" w:type="dxa"/>
            <w:vAlign w:val="bottom"/>
          </w:tcPr>
          <w:p>
            <w:pPr>
              <w:jc w:val="right"/>
              <w:spacing w:after="0"/>
              <w:rPr>
                <w:sz w:val="20"/>
                <w:szCs w:val="20"/>
                <w:color w:val="auto"/>
              </w:rPr>
            </w:pPr>
            <w:r>
              <w:rPr>
                <w:rFonts w:ascii="Arial" w:cs="Arial" w:eastAsia="Arial" w:hAnsi="Arial"/>
                <w:sz w:val="17"/>
                <w:szCs w:val="17"/>
                <w:color w:val="auto"/>
              </w:rPr>
              <w:t>(30.3)</w:t>
            </w:r>
          </w:p>
        </w:tc>
      </w:tr>
      <w:tr>
        <w:trPr>
          <w:trHeight w:val="31"/>
        </w:trPr>
        <w:tc>
          <w:tcPr>
            <w:tcW w:w="8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Financing Activities</w:t>
            </w:r>
          </w:p>
        </w:tc>
        <w:tc>
          <w:tcPr>
            <w:tcW w:w="188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0.1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33"/>
        </w:trPr>
        <w:tc>
          <w:tcPr>
            <w:tcW w:w="868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Financing Activities</w:t>
            </w:r>
          </w:p>
        </w:tc>
        <w:tc>
          <w:tcPr>
            <w:tcW w:w="188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color w:val="auto"/>
              </w:rPr>
              <w:t>80.1</w:t>
            </w: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22.0</w:t>
            </w:r>
          </w:p>
        </w:tc>
      </w:tr>
      <w:tr>
        <w:trPr>
          <w:trHeight w:val="31"/>
        </w:trPr>
        <w:tc>
          <w:tcPr>
            <w:tcW w:w="8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18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7"/>
                <w:szCs w:val="17"/>
                <w:color w:val="auto"/>
              </w:rPr>
              <w:t>(13.6)</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286.2</w:t>
            </w:r>
          </w:p>
        </w:tc>
      </w:tr>
      <w:tr>
        <w:trPr>
          <w:trHeight w:val="23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1880" w:type="dxa"/>
            <w:vAlign w:val="bottom"/>
          </w:tcPr>
          <w:p>
            <w:pPr>
              <w:jc w:val="right"/>
              <w:ind w:right="455"/>
              <w:spacing w:after="0"/>
              <w:rPr>
                <w:sz w:val="20"/>
                <w:szCs w:val="20"/>
                <w:color w:val="auto"/>
              </w:rPr>
            </w:pPr>
            <w:r>
              <w:rPr>
                <w:rFonts w:ascii="Arial" w:cs="Arial" w:eastAsia="Arial" w:hAnsi="Arial"/>
                <w:sz w:val="17"/>
                <w:szCs w:val="17"/>
                <w:color w:val="auto"/>
              </w:rPr>
              <w:t>92.5</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79.0</w:t>
            </w:r>
          </w:p>
        </w:tc>
      </w:tr>
      <w:tr>
        <w:trPr>
          <w:trHeight w:val="31"/>
        </w:trPr>
        <w:tc>
          <w:tcPr>
            <w:tcW w:w="8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8"/>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188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$78.9</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$365.2</w:t>
            </w:r>
          </w:p>
        </w:tc>
      </w:tr>
      <w:tr>
        <w:trPr>
          <w:trHeight w:val="224"/>
        </w:trPr>
        <w:tc>
          <w:tcPr>
            <w:tcW w:w="8680" w:type="dxa"/>
            <w:vAlign w:val="bottom"/>
            <w:tcBorders>
              <w:top w:val="single" w:sz="8" w:color="auto"/>
            </w:tcBorders>
          </w:tcPr>
          <w:p>
            <w:pPr>
              <w:ind w:left="3300"/>
              <w:spacing w:after="0"/>
              <w:rPr>
                <w:sz w:val="20"/>
                <w:szCs w:val="20"/>
                <w:color w:val="auto"/>
              </w:rPr>
            </w:pPr>
            <w:r>
              <w:rPr>
                <w:rFonts w:ascii="Arial" w:cs="Arial" w:eastAsia="Arial" w:hAnsi="Arial"/>
                <w:sz w:val="18"/>
                <w:szCs w:val="18"/>
                <w:color w:val="auto"/>
              </w:rPr>
              <w:t>The accompanying notes are an integral part of these statements.</w:t>
            </w:r>
          </w:p>
        </w:tc>
        <w:tc>
          <w:tcPr>
            <w:tcW w:w="18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ectPr>
          <w:pgSz w:w="11900" w:h="16838" w:orient="portrait"/>
          <w:cols w:equalWidth="0" w:num="1">
            <w:col w:w="11240"/>
          </w:cols>
          <w:pgMar w:left="320" w:top="1012" w:right="339" w:bottom="279" w:gutter="0" w:footer="0" w:header="0"/>
        </w:sectPr>
      </w:pPr>
    </w:p>
    <w:p>
      <w:pPr>
        <w:spacing w:after="0" w:line="1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012" w:right="339" w:bottom="279"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25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660" w:type="dxa"/>
            <w:vAlign w:val="bottom"/>
          </w:tcPr>
          <w:p>
            <w:pPr>
              <w:spacing w:after="0"/>
              <w:rPr>
                <w:sz w:val="23"/>
                <w:szCs w:val="23"/>
                <w:color w:val="auto"/>
              </w:rPr>
            </w:pPr>
          </w:p>
        </w:tc>
        <w:tc>
          <w:tcPr>
            <w:tcW w:w="25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660" w:type="dxa"/>
            <w:vAlign w:val="bottom"/>
          </w:tcPr>
          <w:p>
            <w:pPr>
              <w:spacing w:after="0"/>
              <w:rPr>
                <w:sz w:val="23"/>
                <w:szCs w:val="23"/>
                <w:color w:val="auto"/>
              </w:rPr>
            </w:pPr>
          </w:p>
        </w:tc>
        <w:tc>
          <w:tcPr>
            <w:tcW w:w="16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7"/>
        </w:trPr>
        <w:tc>
          <w:tcPr>
            <w:tcW w:w="8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6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8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1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Balance, Beginning of Period</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$1,436.7</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$1,428.5</w:t>
            </w:r>
          </w:p>
        </w:tc>
      </w:tr>
      <w:tr>
        <w:trPr>
          <w:trHeight w:val="27"/>
        </w:trPr>
        <w:tc>
          <w:tcPr>
            <w:tcW w:w="8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37"/>
        </w:trPr>
        <w:tc>
          <w:tcPr>
            <w:tcW w:w="86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Balance, End of Period</w:t>
            </w:r>
          </w:p>
        </w:tc>
        <w:tc>
          <w:tcPr>
            <w:tcW w:w="16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1,441.7</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1,431.1</w:t>
            </w:r>
          </w:p>
        </w:tc>
      </w:tr>
      <w:tr>
        <w:trPr>
          <w:trHeight w:val="27"/>
        </w:trPr>
        <w:tc>
          <w:tcPr>
            <w:tcW w:w="8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86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16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Other Comprehensive Income - Net of Income Taxes</w:t>
            </w:r>
          </w:p>
        </w:tc>
        <w:tc>
          <w:tcPr>
            <w:tcW w:w="16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Debt Securities</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8660" w:type="dxa"/>
            <w:vAlign w:val="bottom"/>
          </w:tcPr>
          <w:p>
            <w:pPr>
              <w:ind w:left="280"/>
              <w:spacing w:after="0"/>
              <w:rPr>
                <w:sz w:val="20"/>
                <w:szCs w:val="20"/>
                <w:color w:val="auto"/>
              </w:rPr>
            </w:pPr>
            <w:r>
              <w:rPr>
                <w:rFonts w:ascii="Arial" w:cs="Arial" w:eastAsia="Arial" w:hAnsi="Arial"/>
                <w:sz w:val="18"/>
                <w:szCs w:val="18"/>
                <w:color w:val="auto"/>
              </w:rPr>
              <w:t>Defined Benefit Pension and Other Postretirement Plans</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318"/>
        </w:trPr>
        <w:tc>
          <w:tcPr>
            <w:tcW w:w="86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1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Balance, Beginning of Period</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818.8</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754.6</w:t>
            </w:r>
          </w:p>
        </w:tc>
      </w:tr>
      <w:tr>
        <w:trPr>
          <w:trHeight w:val="27"/>
        </w:trPr>
        <w:tc>
          <w:tcPr>
            <w:tcW w:w="8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66.3</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Common Stock Dividends</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(31.9)</w:t>
            </w:r>
          </w:p>
        </w:tc>
        <w:tc>
          <w:tcPr>
            <w:tcW w:w="9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8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853.2</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794.8</w:t>
            </w:r>
          </w:p>
        </w:tc>
      </w:tr>
      <w:tr>
        <w:trPr>
          <w:trHeight w:val="318"/>
        </w:trPr>
        <w:tc>
          <w:tcPr>
            <w:tcW w:w="86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Non-Controlling Interest in Subsidiaries</w:t>
            </w:r>
          </w:p>
        </w:tc>
        <w:tc>
          <w:tcPr>
            <w:tcW w:w="1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Balance, Beginning of Period</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103.7</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6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Balance, End of Period</w:t>
            </w:r>
          </w:p>
        </w:tc>
        <w:tc>
          <w:tcPr>
            <w:tcW w:w="16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101.9</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866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$2,373.0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$2,198.7</w:t>
            </w:r>
          </w:p>
        </w:tc>
      </w:tr>
      <w:tr>
        <w:trPr>
          <w:trHeight w:val="27"/>
        </w:trPr>
        <w:tc>
          <w:tcPr>
            <w:tcW w:w="8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86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Dividends Per Share of Common Stock</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$0.6175</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$0.5875</w:t>
            </w:r>
          </w:p>
        </w:tc>
      </w:tr>
      <w:tr>
        <w:trPr>
          <w:trHeight w:val="27"/>
        </w:trPr>
        <w:tc>
          <w:tcPr>
            <w:tcW w:w="8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80"/>
        </w:trPr>
        <w:tc>
          <w:tcPr>
            <w:tcW w:w="8660" w:type="dxa"/>
            <w:vAlign w:val="bottom"/>
          </w:tcPr>
          <w:p>
            <w:pPr>
              <w:ind w:left="330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01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2019,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three months ended March 31, 2020, are not necessarily indicative of results that may be expected for any other interim period or for the year ending December 31, 2020. For further information, refer to the Consolidated Financial Statements and notes included in our 2019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Cash, Cash Equivalents and Restricted Cash. </w:t>
      </w:r>
      <w:r>
        <w:rPr>
          <w:rFonts w:ascii="Arial" w:cs="Arial" w:eastAsia="Arial" w:hAnsi="Arial"/>
          <w:sz w:val="17"/>
          <w:szCs w:val="17"/>
          <w:color w:val="auto"/>
        </w:rPr>
        <w:t>We consider all investments purchased with original maturities of three months or less to be cash</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equivalents. As of March 31, 2020, restricted cash amounts included in Prepayments and Other on the Consolidated Balance Sheet include collateral deposits required under an ALLETE Clean Energy loan agreement. In prior period balances presented, the amounts also include U.S. Water Services' standby letters of credit. The restricted cash amounts included in Other Non-Current Assets represent collateral deposits required under an ALLETE Clean Energy loan agreement, PSAs and construction projects. In prior period balances presented, the amounts also include deposits from a SWL&amp;P customer in aid of future capital expenditures. The following table provides a reconciliation of cash, cash equivalents and restricted cash reported within the Consolidated Balance Sheet that aggregate to the amounts presented in the Consolidated Statement of Cash Flows.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70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5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$67.0</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$69.3</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$353.3</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2.8</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20.4</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22"/>
        </w:trPr>
        <w:tc>
          <w:tcPr>
            <w:tcW w:w="5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Cash, Cash Equivalents and Restricted Cash on the Consolidated</w:t>
            </w:r>
          </w:p>
        </w:tc>
        <w:tc>
          <w:tcPr>
            <w:tcW w:w="15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Statement of Cash Flows</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$78.9</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$92.5</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$365.2</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$79.0</w:t>
            </w:r>
          </w:p>
        </w:tc>
      </w:tr>
      <w:tr>
        <w:trPr>
          <w:trHeight w:val="27"/>
        </w:trPr>
        <w:tc>
          <w:tcPr>
            <w:tcW w:w="5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328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Inventories – Net</w:t>
            </w:r>
          </w:p>
        </w:tc>
        <w:tc>
          <w:tcPr>
            <w:tcW w:w="32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6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$31.4</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3280" w:type="dxa"/>
            <w:vAlign w:val="bottom"/>
          </w:tcPr>
          <w:p>
            <w:pPr>
              <w:jc w:val="right"/>
              <w:ind w:right="150"/>
              <w:spacing w:after="0"/>
              <w:rPr>
                <w:sz w:val="20"/>
                <w:szCs w:val="20"/>
                <w:color w:val="auto"/>
              </w:rPr>
            </w:pPr>
            <w:r>
              <w:rPr>
                <w:rFonts w:ascii="Arial" w:cs="Arial" w:eastAsia="Arial" w:hAnsi="Arial"/>
                <w:sz w:val="18"/>
                <w:szCs w:val="18"/>
                <w:color w:val="auto"/>
              </w:rPr>
              <w:t>47.6</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46.9</w:t>
            </w:r>
          </w:p>
        </w:tc>
      </w:tr>
      <w:tr>
        <w:trPr>
          <w:trHeight w:val="27"/>
        </w:trPr>
        <w:tc>
          <w:tcPr>
            <w:tcW w:w="6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 – Net</w:t>
            </w:r>
          </w:p>
        </w:tc>
        <w:tc>
          <w:tcPr>
            <w:tcW w:w="3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$79.0</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r>
      <w:tr>
        <w:trPr>
          <w:trHeight w:val="406"/>
        </w:trPr>
        <w:tc>
          <w:tcPr>
            <w:tcW w:w="654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Fuel consists primarily of coal inventory at Minnesota Power.</w:t>
            </w:r>
          </w:p>
        </w:tc>
        <w:tc>
          <w:tcPr>
            <w:tcW w:w="32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433"/>
        </w:trPr>
        <w:tc>
          <w:tcPr>
            <w:tcW w:w="6540" w:type="dxa"/>
            <w:vAlign w:val="bottom"/>
          </w:tcPr>
          <w:p>
            <w:pPr>
              <w:spacing w:after="0"/>
              <w:rPr>
                <w:sz w:val="24"/>
                <w:szCs w:val="24"/>
                <w:color w:val="auto"/>
              </w:rPr>
            </w:pPr>
          </w:p>
        </w:tc>
        <w:tc>
          <w:tcPr>
            <w:tcW w:w="328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32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6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3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$27.3</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3280" w:type="dxa"/>
            <w:vAlign w:val="bottom"/>
          </w:tcPr>
          <w:p>
            <w:pPr>
              <w:jc w:val="right"/>
              <w:ind w:right="150"/>
              <w:spacing w:after="0"/>
              <w:rPr>
                <w:sz w:val="20"/>
                <w:szCs w:val="20"/>
                <w:color w:val="auto"/>
              </w:rPr>
            </w:pPr>
            <w:r>
              <w:rPr>
                <w:rFonts w:ascii="Arial" w:cs="Arial" w:eastAsia="Arial" w:hAnsi="Arial"/>
                <w:sz w:val="18"/>
                <w:szCs w:val="18"/>
                <w:color w:val="auto"/>
              </w:rPr>
              <w:t>26.8</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6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3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21.5</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280" w:type="dxa"/>
            <w:vAlign w:val="bottom"/>
          </w:tcPr>
          <w:p>
            <w:pPr>
              <w:jc w:val="right"/>
              <w:ind w:right="150"/>
              <w:spacing w:after="0"/>
              <w:rPr>
                <w:sz w:val="20"/>
                <w:szCs w:val="20"/>
                <w:color w:val="auto"/>
              </w:rPr>
            </w:pPr>
            <w:r>
              <w:rPr>
                <w:rFonts w:ascii="Arial" w:cs="Arial" w:eastAsia="Arial" w:hAnsi="Arial"/>
                <w:sz w:val="18"/>
                <w:szCs w:val="18"/>
                <w:color w:val="auto"/>
              </w:rPr>
              <w:t>5.8</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20.4</w:t>
            </w:r>
          </w:p>
        </w:tc>
      </w:tr>
      <w:tr>
        <w:trPr>
          <w:trHeight w:val="27"/>
        </w:trPr>
        <w:tc>
          <w:tcPr>
            <w:tcW w:w="6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Postretirement Benefit Plans</w:t>
            </w:r>
          </w:p>
        </w:tc>
        <w:tc>
          <w:tcPr>
            <w:tcW w:w="3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38.0</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w:t>
            </w:r>
          </w:p>
        </w:tc>
        <w:tc>
          <w:tcPr>
            <w:tcW w:w="3280" w:type="dxa"/>
            <w:vAlign w:val="bottom"/>
          </w:tcPr>
          <w:p>
            <w:pPr>
              <w:jc w:val="right"/>
              <w:ind w:right="150"/>
              <w:spacing w:after="0"/>
              <w:rPr>
                <w:sz w:val="20"/>
                <w:szCs w:val="20"/>
                <w:color w:val="auto"/>
              </w:rPr>
            </w:pPr>
            <w:r>
              <w:rPr>
                <w:rFonts w:ascii="Arial" w:cs="Arial" w:eastAsia="Arial" w:hAnsi="Arial"/>
                <w:sz w:val="18"/>
                <w:szCs w:val="18"/>
                <w:color w:val="auto"/>
              </w:rPr>
              <w:t>79.5</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81.8</w:t>
            </w:r>
          </w:p>
        </w:tc>
      </w:tr>
      <w:tr>
        <w:trPr>
          <w:trHeight w:val="27"/>
        </w:trPr>
        <w:tc>
          <w:tcPr>
            <w:tcW w:w="6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3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$198.9</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r>
      <w:tr>
        <w:trPr>
          <w:trHeight w:val="20"/>
        </w:trPr>
        <w:tc>
          <w:tcPr>
            <w:tcW w:w="654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7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consist of payments made to customers as an incentive to execute or extend service agreements. The contract payments are being amortized over the term of the respective agreements as a reduction to revenue.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ectPr>
          <w:pgSz w:w="11900" w:h="16838" w:orient="portrait"/>
          <w:cols w:equalWidth="0" w:num="1">
            <w:col w:w="11240"/>
          </w:cols>
          <w:pgMar w:left="320" w:top="1012"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40"/>
          </w:cols>
          <w:pgMar w:left="320" w:top="1012"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0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7760" w:type="dxa"/>
            <w:vAlign w:val="bottom"/>
          </w:tcPr>
          <w:p>
            <w:pPr>
              <w:spacing w:after="0"/>
              <w:rPr>
                <w:sz w:val="24"/>
                <w:szCs w:val="24"/>
                <w:color w:val="auto"/>
              </w:rPr>
            </w:pPr>
          </w:p>
        </w:tc>
        <w:tc>
          <w:tcPr>
            <w:tcW w:w="206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06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77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7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PSAs</w:t>
            </w:r>
          </w:p>
        </w:tc>
        <w:tc>
          <w:tcPr>
            <w:tcW w:w="2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$12.4</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2060" w:type="dxa"/>
            <w:vAlign w:val="bottom"/>
          </w:tcPr>
          <w:p>
            <w:pPr>
              <w:jc w:val="right"/>
              <w:ind w:right="150"/>
              <w:spacing w:after="0"/>
              <w:rPr>
                <w:sz w:val="20"/>
                <w:szCs w:val="20"/>
                <w:color w:val="auto"/>
              </w:rPr>
            </w:pPr>
            <w:r>
              <w:rPr>
                <w:rFonts w:ascii="Arial" w:cs="Arial" w:eastAsia="Arial" w:hAnsi="Arial"/>
                <w:sz w:val="18"/>
                <w:szCs w:val="18"/>
                <w:color w:val="auto"/>
              </w:rPr>
              <w:t>6.9</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7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38.3</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r>
      <w:tr>
        <w:trPr>
          <w:trHeight w:val="237"/>
        </w:trPr>
        <w:tc>
          <w:tcPr>
            <w:tcW w:w="7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2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$57.6</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w:t>
            </w:r>
          </w:p>
        </w:tc>
      </w:tr>
      <w:tr>
        <w:trPr>
          <w:trHeight w:val="27"/>
        </w:trPr>
        <w:tc>
          <w:tcPr>
            <w:tcW w:w="77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29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6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6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2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$163.2</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PSAs</w:t>
            </w:r>
          </w:p>
        </w:tc>
        <w:tc>
          <w:tcPr>
            <w:tcW w:w="2960" w:type="dxa"/>
            <w:vAlign w:val="bottom"/>
          </w:tcPr>
          <w:p>
            <w:pPr>
              <w:jc w:val="right"/>
              <w:ind w:right="230"/>
              <w:spacing w:after="0"/>
              <w:rPr>
                <w:sz w:val="20"/>
                <w:szCs w:val="20"/>
                <w:color w:val="auto"/>
              </w:rPr>
            </w:pPr>
            <w:r>
              <w:rPr>
                <w:rFonts w:ascii="Arial" w:cs="Arial" w:eastAsia="Arial" w:hAnsi="Arial"/>
                <w:sz w:val="18"/>
                <w:szCs w:val="18"/>
                <w:color w:val="auto"/>
              </w:rPr>
              <w:t>61.5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64.6</w:t>
            </w:r>
          </w:p>
        </w:tc>
      </w:tr>
      <w:tr>
        <w:trPr>
          <w:trHeight w:val="27"/>
        </w:trPr>
        <w:tc>
          <w:tcPr>
            <w:tcW w:w="6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2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20.0</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Other</w:t>
            </w:r>
          </w:p>
        </w:tc>
        <w:tc>
          <w:tcPr>
            <w:tcW w:w="2960" w:type="dxa"/>
            <w:vAlign w:val="bottom"/>
          </w:tcPr>
          <w:p>
            <w:pPr>
              <w:jc w:val="right"/>
              <w:ind w:right="230"/>
              <w:spacing w:after="0"/>
              <w:rPr>
                <w:sz w:val="20"/>
                <w:szCs w:val="20"/>
                <w:color w:val="auto"/>
              </w:rPr>
            </w:pPr>
            <w:r>
              <w:rPr>
                <w:rFonts w:ascii="Arial" w:cs="Arial" w:eastAsia="Arial" w:hAnsi="Arial"/>
                <w:sz w:val="18"/>
                <w:szCs w:val="18"/>
                <w:color w:val="auto"/>
              </w:rPr>
              <w:t>44.0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7"/>
        </w:trPr>
        <w:tc>
          <w:tcPr>
            <w:tcW w:w="6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2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$288.7</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$293.0</w:t>
            </w:r>
          </w:p>
        </w:tc>
      </w:tr>
      <w:tr>
        <w:trPr>
          <w:trHeight w:val="669"/>
        </w:trPr>
        <w:tc>
          <w:tcPr>
            <w:tcW w:w="6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w:t>
            </w:r>
          </w:p>
        </w:tc>
        <w:tc>
          <w:tcPr>
            <w:tcW w:w="29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29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6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6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Pension and Other Postretirement Benefit Plan Non-Service Credits </w:t>
            </w:r>
            <w:r>
              <w:rPr>
                <w:rFonts w:ascii="Arial" w:cs="Arial" w:eastAsia="Arial" w:hAnsi="Arial"/>
                <w:sz w:val="16"/>
                <w:szCs w:val="16"/>
                <w:i w:val="1"/>
                <w:iCs w:val="1"/>
                <w:color w:val="auto"/>
              </w:rPr>
              <w:t>(a)</w:t>
            </w:r>
          </w:p>
        </w:tc>
        <w:tc>
          <w:tcPr>
            <w:tcW w:w="2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Interest and Investment Income (Loss)</w:t>
            </w:r>
          </w:p>
        </w:tc>
        <w:tc>
          <w:tcPr>
            <w:tcW w:w="296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AFUDC - Equity</w:t>
            </w:r>
          </w:p>
        </w:tc>
        <w:tc>
          <w:tcPr>
            <w:tcW w:w="2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Gain on Land Sales</w:t>
            </w:r>
          </w:p>
        </w:tc>
        <w:tc>
          <w:tcPr>
            <w:tcW w:w="29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37"/>
        </w:trPr>
        <w:tc>
          <w:tcPr>
            <w:tcW w:w="6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Income</w:t>
            </w:r>
          </w:p>
        </w:tc>
        <w:tc>
          <w:tcPr>
            <w:tcW w:w="2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6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line="275"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components of net periodic pension and other postretirement benefit cost other than service cost. (See Note 9. Pension and Other Postretirement Benefit Plans.)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18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838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1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8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3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8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 Net of Amounts Capitalized</w:t>
            </w:r>
          </w:p>
        </w:tc>
        <w:tc>
          <w:tcPr>
            <w:tcW w:w="18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$18.3</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Recognition of Right-of-use Assets and Lease Liabilities</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8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280"/>
              <w:spacing w:after="0"/>
              <w:rPr>
                <w:sz w:val="20"/>
                <w:szCs w:val="20"/>
                <w:color w:val="auto"/>
              </w:rPr>
            </w:pPr>
            <w:r>
              <w:rPr>
                <w:rFonts w:ascii="Arial" w:cs="Arial" w:eastAsia="Arial" w:hAnsi="Arial"/>
                <w:sz w:val="18"/>
                <w:szCs w:val="18"/>
                <w:color w:val="auto"/>
              </w:rPr>
              <w:t>Increase (Decrease) in Accounts Payable for Capital Additions to Property, Plant and Equipment</w:t>
            </w:r>
          </w:p>
        </w:tc>
        <w:tc>
          <w:tcPr>
            <w:tcW w:w="1880" w:type="dxa"/>
            <w:vAlign w:val="bottom"/>
          </w:tcPr>
          <w:p>
            <w:pPr>
              <w:jc w:val="right"/>
              <w:ind w:right="310"/>
              <w:spacing w:after="0"/>
              <w:rPr>
                <w:sz w:val="20"/>
                <w:szCs w:val="20"/>
                <w:color w:val="auto"/>
              </w:rPr>
            </w:pPr>
            <w:r>
              <w:rPr>
                <w:rFonts w:ascii="Arial" w:cs="Arial" w:eastAsia="Arial" w:hAnsi="Arial"/>
                <w:sz w:val="18"/>
                <w:szCs w:val="18"/>
                <w:color w:val="auto"/>
              </w:rPr>
              <w:t>$4.7</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7"/>
        </w:trPr>
        <w:tc>
          <w:tcPr>
            <w:tcW w:w="8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18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838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$0.5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8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Sale of U.S. Water Services. </w:t>
      </w:r>
      <w:r>
        <w:rPr>
          <w:rFonts w:ascii="Arial" w:cs="Arial" w:eastAsia="Arial" w:hAnsi="Arial"/>
          <w:sz w:val="18"/>
          <w:szCs w:val="18"/>
          <w:color w:val="auto"/>
        </w:rPr>
        <w:t>In February 2019, the Company entered into a stock purchase agreement providing for the sale of U.S. Water Services to a</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Kurita Water Industries Ltd. In March 2019, ALLETE completed the sale and received approximately $270 million in cash, net of transaction costs and cash retained. The Company recognized a gain on the sale of U.S. Water Services of $9.9 million after-tax in the first quarter of 2019. The full year gain on sale of U.S. Water Services in 2019 was $13.2 million after-tax.</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ectPr>
          <w:pgSz w:w="11900" w:h="16838" w:orient="portrait"/>
          <w:cols w:equalWidth="0" w:num="1">
            <w:col w:w="11240"/>
          </w:cols>
          <w:pgMar w:left="320" w:top="1012"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240"/>
          </w:cols>
          <w:pgMar w:left="320" w:top="101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ALLETE Clean Energy Asset Acquisition. </w:t>
      </w:r>
      <w:r>
        <w:rPr>
          <w:rFonts w:ascii="Arial" w:cs="Arial" w:eastAsia="Arial" w:hAnsi="Arial"/>
          <w:sz w:val="17"/>
          <w:szCs w:val="17"/>
          <w:color w:val="auto"/>
        </w:rPr>
        <w:t>On March 10, 2020, ALLETE Clean Energy acquired the rights to the Caddo wind project in Oklahoma from</w:t>
      </w:r>
      <w:r>
        <w:rPr>
          <w:rFonts w:ascii="Arial" w:cs="Arial" w:eastAsia="Arial" w:hAnsi="Arial"/>
          <w:sz w:val="17"/>
          <w:szCs w:val="17"/>
          <w:b w:val="1"/>
          <w:bCs w:val="1"/>
          <w:color w:val="auto"/>
        </w:rPr>
        <w:t xml:space="preserve"> </w:t>
      </w:r>
      <w:r>
        <w:rPr>
          <w:rFonts w:ascii="Arial" w:cs="Arial" w:eastAsia="Arial" w:hAnsi="Arial"/>
          <w:sz w:val="17"/>
          <w:szCs w:val="17"/>
          <w:color w:val="auto"/>
        </w:rPr>
        <w:t>Apex Clean Energy for approximately $8 million with additional payments required to be made at defined milestones. The full development of this approximately 300 MW wind project would involve the sale of energy to corporate customers under long-term power sales agreements.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Non-Controlling Interest in Subsidiaries. </w:t>
      </w:r>
      <w:r>
        <w:rPr>
          <w:rFonts w:ascii="Arial" w:cs="Arial" w:eastAsia="Arial" w:hAnsi="Arial"/>
          <w:sz w:val="18"/>
          <w:szCs w:val="18"/>
          <w:color w:val="auto"/>
        </w:rPr>
        <w:t>Non-controlling interest in subsidiaries on the Consolidated Balance Sheet and net loss attributable to non-controlling interest on the Consolidated Statement of Income represent the portion of equity ownership and earnings, respectively, of subsidiaries that are not attributable to equity holders of ALLETE. These amounts as of and during the three months ended March 31, 2020, related to the tax equity financing structure for ALLETE Clean Energy’s 106 MW Glen Ullin wind energy facility.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16, 2020, ALLETE Clean Energy commenced operations of South Peak, an 80 MW wind energy facility in Montana, and on April 29, 2020, received approximately $70 million in cash from a third-party investor as part of a tax equity financing for the wind energy facility.</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Credit Losses. </w:t>
      </w:r>
      <w:r>
        <w:rPr>
          <w:rFonts w:ascii="Arial" w:cs="Arial" w:eastAsia="Arial" w:hAnsi="Arial"/>
          <w:sz w:val="18"/>
          <w:szCs w:val="18"/>
          <w:color w:val="auto"/>
        </w:rPr>
        <w:t>In 2016, the FASB issued an accounting standard update that requires entities to recognize an allowance for expected credit losses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instruments within its scope. Examples of financial instruments within the scope include trade receivables, certain financial guarantees, and held-to-maturity debt securities. The allowance for expected credit losses should be based on historical information, current conditions and reasonable and supportable forecasts. The new standard also revises the other-than-temporary impairment model for available-for-sale debt securities. The new guidance became effective January 1, 2020, and was adopted by the Company in the first quarter of 2020. Adoption of this standard did not have a material impact on our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REGULATORY MATTERS</w:t>
      </w:r>
    </w:p>
    <w:p>
      <w:pPr>
        <w:spacing w:after="0" w:line="229"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Regulatory matters are summarized in Note 4. Regulatory Matters to the Consolidated Financial Statements in our 2019 Form 10</w:t>
      </w:r>
      <w:r>
        <w:rPr>
          <w:rFonts w:ascii="MS PGothic" w:cs="MS PGothic" w:eastAsia="MS PGothic" w:hAnsi="MS PGothic"/>
          <w:sz w:val="18"/>
          <w:szCs w:val="18"/>
          <w:color w:val="auto"/>
        </w:rPr>
        <w:t>‑</w:t>
      </w:r>
      <w:r>
        <w:rPr>
          <w:rFonts w:ascii="Arial" w:cs="Arial" w:eastAsia="Arial" w:hAnsi="Arial"/>
          <w:sz w:val="18"/>
          <w:szCs w:val="18"/>
          <w:color w:val="auto"/>
        </w:rPr>
        <w:t>K, with additional disclosure provided in the following paragraphs.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MPUC, Minnesota Power also recognizes revenue under cost recovery riders for transmission, renewable, and environmental investments and expenditures. Revenue from cost recovery riders was $9.6 million for the three months ended March 31, 2020 ($7.4 million for three months ended March 31, 2019).</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2020 Minnesota General Rate Case. </w:t>
      </w:r>
      <w:r>
        <w:rPr>
          <w:rFonts w:ascii="Arial" w:cs="Arial" w:eastAsia="Arial" w:hAnsi="Arial"/>
          <w:sz w:val="18"/>
          <w:szCs w:val="18"/>
          <w:color w:val="auto"/>
        </w:rPr>
        <w:t>On November 1, 2019, Minnesota Power filed a retail rate increase request with the MPUC seeking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10.6 percent for retail customers. The rate filing seeks a return on equity of 10.05 percent and a 53.81 percent equity ratio. On an annualized basis, the requested final rate increase would generate approximately $66 million in additional revenue. In orders dated December 23, 2019, the MPUC accepted the filing as complete and authorized an annual interim rate increase of $36.1 million that began January 1, 2020. We cannot predict the level of final rates that may be authorized by the MPUC.</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23, 2020, Minnesota Power filed a request with the MPUC that proposes a resolution for Minnesota Power’s 2020 general rate case. Key components of our proposal include removing the current power marketing margin credit in base rates and reflecting actual power marketing margins in the fuel adjustment clause effective May 1, 2020; refunding to customers interim rates collected through April 2020 of approximately $12 million ($9 million as of March 31, 2020,); increasing ongoing customer rates 4.1 percent compared to the 5.8 percent increase reflected in current interim rates; and a provision that Minnesota Power would not file another rate case until at least March 1, 2021, unless certain events occur. Minnesota Power would withdraw its general rate case upon approval of this filing and proposed resolution by the MPUC. At a hearing on April 30, 2020, the MPUC approved lowering current interim rates to 4.1 percent effective May 1, 2020, as requested by Minnesota Power in this filing. A final decision on Minnesota Power’s full proposal in this filing is expected in June 2020. At this time, we are unable to predict whether the MPUC will ultimately approve this filing and proposed resolution, and thus, as of March 31, 2020, we have not recorded reserves for interim rates.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40"/>
          </w:cols>
          <w:pgMar w:left="320" w:top="101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Transmission Cost Recovery Rider</w:t>
      </w:r>
      <w:r>
        <w:rPr>
          <w:rFonts w:ascii="Arial" w:cs="Arial" w:eastAsia="Arial" w:hAnsi="Arial"/>
          <w:sz w:val="18"/>
          <w:szCs w:val="18"/>
          <w:color w:val="auto"/>
        </w:rPr>
        <w:t>. Minnesota Power has an approved cost recovery rider in place for certain transmission investments and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a 2016 order, the MPUC approved Minnesota Power’s updated customer billing rates allowing Minnesota Power to charge retail customers on a current basis for the costs of constructing certain transmission facilities plus a return on the capital invested. On July 9, 2019, Minnesota Power filed a petition seeking MPUC approval to update the customer billing factor to include investments made for the GNTL. (See Note 6. Commitments, Guarantees and Contingencies.)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Renewable Cost Recovery Rider. </w:t>
      </w:r>
      <w:r>
        <w:rPr>
          <w:rFonts w:ascii="Arial" w:cs="Arial" w:eastAsia="Arial" w:hAnsi="Arial"/>
          <w:sz w:val="17"/>
          <w:szCs w:val="17"/>
          <w:color w:val="auto"/>
        </w:rPr>
        <w:t>Minnesota Power has an approved cost recovery rider for certain renewable investments and expenditures. The cost</w:t>
      </w:r>
      <w:r>
        <w:rPr>
          <w:rFonts w:ascii="Arial" w:cs="Arial" w:eastAsia="Arial" w:hAnsi="Arial"/>
          <w:sz w:val="17"/>
          <w:szCs w:val="17"/>
          <w:i w:val="1"/>
          <w:iCs w:val="1"/>
          <w:color w:val="auto"/>
        </w:rPr>
        <w:t xml:space="preserve"> </w:t>
      </w:r>
      <w:r>
        <w:rPr>
          <w:rFonts w:ascii="Arial" w:cs="Arial" w:eastAsia="Arial" w:hAnsi="Arial"/>
          <w:sz w:val="17"/>
          <w:szCs w:val="17"/>
          <w:color w:val="auto"/>
        </w:rPr>
        <w:t>recovery rider allows Minnesota Power to charge retail customers on a current basis for the costs of certain renewable investments plus a return on the capital invested. Current customer billing rates for the renewable cost recovery rider were approved by the MPUC in a November 2018 order. On August 15, 2019, Minnesota Power filed a petition seeking MPUC approval to update the customer billing factor.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Fuel Adjustment Clause Reform</w:t>
      </w:r>
      <w:r>
        <w:rPr>
          <w:rFonts w:ascii="Arial" w:cs="Arial" w:eastAsia="Arial" w:hAnsi="Arial"/>
          <w:sz w:val="18"/>
          <w:szCs w:val="18"/>
          <w:color w:val="auto"/>
        </w:rPr>
        <w:t>. In a 2017 order, the MPUC adopted a program to implement certain procedural reforms to Minnesota utilities’ automatic</w:t>
      </w:r>
      <w:r>
        <w:rPr>
          <w:rFonts w:ascii="Arial" w:cs="Arial" w:eastAsia="Arial" w:hAnsi="Arial"/>
          <w:sz w:val="18"/>
          <w:szCs w:val="18"/>
          <w:i w:val="1"/>
          <w:iCs w:val="1"/>
          <w:color w:val="auto"/>
        </w:rPr>
        <w:t xml:space="preserve"> </w:t>
      </w:r>
      <w:r>
        <w:rPr>
          <w:rFonts w:ascii="Arial" w:cs="Arial" w:eastAsia="Arial" w:hAnsi="Arial"/>
          <w:sz w:val="18"/>
          <w:szCs w:val="18"/>
          <w:color w:val="auto"/>
        </w:rPr>
        <w:t>fuel adjustment clause (FAC) for fuel and purchased power. With this order, the method of accounting for all Minnesota electric utilities changed to a monthly budgeted, forward-looking FAC with annual prudence review and true-up to actual allowed costs. On May 1, 2019, Minnesota Power filed its fuel adjustment forecast for 2020, which was accepted by the MPUC in an order dated November 14, 2019, for purposes of setting fuel adjustment clause rates for 2020, subject to a true-up filing in 2021.</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COVID-19 Related Costs</w:t>
      </w:r>
      <w:r>
        <w:rPr>
          <w:rFonts w:ascii="Arial" w:cs="Arial" w:eastAsia="Arial" w:hAnsi="Arial"/>
          <w:sz w:val="16"/>
          <w:szCs w:val="16"/>
          <w:color w:val="auto"/>
        </w:rPr>
        <w:t>. In an order dated March 24, 2020, the PSCW authorized public utilities, which includes SWL&amp;P, to defer expenditures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utility resulting from its compliance with state government or regulator orders, and as otherwise required to ensure the provision of safe, reliable and affordable access to utility services during Wisconsin’s declared public health emergency for COVID-19. On April 20, 2020, Minnesota Power along with other regulated electric and natural gas service providers in Minnesota filed a joint petition to request MPUC authorization to track incremental costs and expenses incurred as a result of COVID-19, and to defer and record such costs as a regulatory asset, subject to recovery in a future proceeding.</w:t>
      </w:r>
    </w:p>
    <w:p>
      <w:pPr>
        <w:spacing w:after="0" w:line="15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Integrated Resource Plan. </w:t>
      </w:r>
      <w:r>
        <w:rPr>
          <w:rFonts w:ascii="Arial" w:cs="Arial" w:eastAsia="Arial" w:hAnsi="Arial"/>
          <w:sz w:val="16"/>
          <w:szCs w:val="16"/>
          <w:color w:val="auto"/>
        </w:rPr>
        <w:t>In a 2016 order, the MPUC approved Minnesota Power’s 2015 IRP with modifications. The order accepted Minnesota Power’s</w:t>
      </w:r>
      <w:r>
        <w:rPr>
          <w:rFonts w:ascii="Arial" w:cs="Arial" w:eastAsia="Arial" w:hAnsi="Arial"/>
          <w:sz w:val="16"/>
          <w:szCs w:val="16"/>
          <w:b w:val="1"/>
          <w:bCs w:val="1"/>
          <w:color w:val="auto"/>
        </w:rPr>
        <w:t xml:space="preserve"> </w:t>
      </w:r>
      <w:r>
        <w:rPr>
          <w:rFonts w:ascii="Arial" w:cs="Arial" w:eastAsia="Arial" w:hAnsi="Arial"/>
          <w:sz w:val="16"/>
          <w:szCs w:val="16"/>
          <w:color w:val="auto"/>
        </w:rPr>
        <w:t>plans for the economic idling of Taconite Harbor Units 1 and 2 and the ceasing of coal-fired operations at Taconite Harbor in 2020, directed Minnesota Power to retire Boswell Units 1 and 2 no later than 2022, required an analysis of generation and demand response alternatives to be filed with a natural gas resource proposal, and required Minnesota Power to conduct requests for proposal for additional wind, solar and demand response resource additions. Minnesota Power retired Boswell Units 1 and 2 in the fourth quarter of 2018. Minnesota Power’s next IRP filing is due October 1, 2020.</w:t>
      </w:r>
    </w:p>
    <w:p>
      <w:pPr>
        <w:spacing w:after="0" w:line="154"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b w:val="1"/>
          <w:bCs w:val="1"/>
          <w:color w:val="auto"/>
        </w:rPr>
        <w:t xml:space="preserve">Nemadji Trail Energy Center. </w:t>
      </w:r>
      <w:r>
        <w:rPr>
          <w:rFonts w:ascii="Arial" w:cs="Arial" w:eastAsia="Arial" w:hAnsi="Arial"/>
          <w:sz w:val="17"/>
          <w:szCs w:val="17"/>
          <w:color w:val="auto"/>
        </w:rPr>
        <w:t>In 2017, Minnesota Power submitted a resource package to the MPUC which included requesting approval of a 250 MW</w:t>
      </w:r>
      <w:r>
        <w:rPr>
          <w:rFonts w:ascii="Arial" w:cs="Arial" w:eastAsia="Arial" w:hAnsi="Arial"/>
          <w:sz w:val="17"/>
          <w:szCs w:val="17"/>
          <w:b w:val="1"/>
          <w:bCs w:val="1"/>
          <w:color w:val="auto"/>
        </w:rPr>
        <w:t xml:space="preserve"> </w:t>
      </w:r>
      <w:r>
        <w:rPr>
          <w:rFonts w:ascii="Arial" w:cs="Arial" w:eastAsia="Arial" w:hAnsi="Arial"/>
          <w:sz w:val="17"/>
          <w:szCs w:val="17"/>
          <w:color w:val="auto"/>
        </w:rPr>
        <w:t>natural gas capacity dedication agreement. The natural gas capacity dedication agreement was subject to MPUC approval of the construction of NTEC, a 525 MW to 550 MW combined-cycle natural gas</w:t>
      </w:r>
      <w:r>
        <w:rPr>
          <w:rFonts w:ascii="MS PGothic" w:cs="MS PGothic" w:eastAsia="MS PGothic" w:hAnsi="MS PGothic"/>
          <w:sz w:val="17"/>
          <w:szCs w:val="17"/>
          <w:color w:val="auto"/>
        </w:rPr>
        <w:t>‑</w:t>
      </w:r>
      <w:r>
        <w:rPr>
          <w:rFonts w:ascii="Arial" w:cs="Arial" w:eastAsia="Arial" w:hAnsi="Arial"/>
          <w:sz w:val="17"/>
          <w:szCs w:val="17"/>
          <w:color w:val="auto"/>
        </w:rPr>
        <w:t>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Separately, the MPUC required a baseload retirement evaluation in Minnesota Power’s next IRP filing analyzing its existing fleet, including potential early retirement scenarios of Boswell Units 3 and 4, as well as a securitization plan. On December 23, 2019, the Minnesota Court of Appeals reversed and remanded the MPUC’s decision to approve certain affiliated-interest agreements. The MPUC was ordered to determine whether NTEC may have the potential for significant environmental effects and, if so, to prepare an environmental assessment worksheet before reassessing the agreements. On January 22, 2020, Minnesota Power filed a petition for further review with the Minnesota Supreme Court requesting that it review and overturn the Minnesota Court of Appeals decision, which petition was accepted for review by the Minnesota Supreme Court on March 18, 2020. On January 8, 2019, an application for a certificate of public convenience and necessity for NTEC was submitted to the PSCW, which was approved by the PSCW at a hearing on January 16, 2020. Construction of NTEC is subject to obtaining additional permits from local, state and federal authorities. The total project cost is estimated to be approximately $700 million, of which ALLETE’s portion is expected to be approximately $350 million. ALLETE’s portion of NTEC project costs incurred through March 31, 2020, is approximately $13 million.</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MISO Return on Equity Complaint. </w:t>
      </w:r>
      <w:r>
        <w:rPr>
          <w:rFonts w:ascii="Arial" w:cs="Arial" w:eastAsia="Arial" w:hAnsi="Arial"/>
          <w:sz w:val="16"/>
          <w:szCs w:val="16"/>
          <w:color w:val="auto"/>
        </w:rPr>
        <w:t>MISO transmission owners, including ALLETE and ATC, have an authorized return on equity of 9.88 percent, or</w:t>
      </w:r>
      <w:r>
        <w:rPr>
          <w:rFonts w:ascii="Arial" w:cs="Arial" w:eastAsia="Arial" w:hAnsi="Arial"/>
          <w:sz w:val="16"/>
          <w:szCs w:val="16"/>
          <w:b w:val="1"/>
          <w:bCs w:val="1"/>
          <w:color w:val="auto"/>
        </w:rPr>
        <w:t xml:space="preserve"> </w:t>
      </w:r>
      <w:r>
        <w:rPr>
          <w:rFonts w:ascii="Arial" w:cs="Arial" w:eastAsia="Arial" w:hAnsi="Arial"/>
          <w:sz w:val="16"/>
          <w:szCs w:val="16"/>
          <w:color w:val="auto"/>
        </w:rPr>
        <w:t>10.38 percent including an incentive adder for participation in a regional transmission organization, based on a November 2019 FERC order. In this order, the FERC reduced the base return on equity for regional transmission organizations as recommended by an administrative law judge with refunds ordered for prior periods, which are immaterial to ALLETE. Multiple parties to the complaint have filed requests for rehearing of the FERC order.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01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accounting guidance for the effect of certain types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9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5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29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67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29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Defined Benefit Pension and Other Postretirement Benefit Plans</w:t>
            </w:r>
          </w:p>
        </w:tc>
        <w:tc>
          <w:tcPr>
            <w:tcW w:w="2980" w:type="dxa"/>
            <w:vAlign w:val="bottom"/>
          </w:tcPr>
          <w:p>
            <w:pPr>
              <w:jc w:val="right"/>
              <w:ind w:right="250"/>
              <w:spacing w:after="0"/>
              <w:rPr>
                <w:sz w:val="20"/>
                <w:szCs w:val="20"/>
                <w:color w:val="auto"/>
              </w:rPr>
            </w:pPr>
            <w:r>
              <w:rPr>
                <w:rFonts w:ascii="Arial" w:cs="Arial" w:eastAsia="Arial" w:hAnsi="Arial"/>
                <w:sz w:val="18"/>
                <w:szCs w:val="18"/>
                <w:color w:val="auto"/>
              </w:rPr>
              <w:t>$211.1</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$212.9</w:t>
            </w:r>
          </w:p>
        </w:tc>
      </w:tr>
      <w:tr>
        <w:trPr>
          <w:trHeight w:val="27"/>
        </w:trPr>
        <w:tc>
          <w:tcPr>
            <w:tcW w:w="67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2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121.0</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Cost Recovery Riders</w:t>
            </w:r>
          </w:p>
        </w:tc>
        <w:tc>
          <w:tcPr>
            <w:tcW w:w="2980" w:type="dxa"/>
            <w:vAlign w:val="bottom"/>
          </w:tcPr>
          <w:p>
            <w:pPr>
              <w:jc w:val="right"/>
              <w:ind w:right="250"/>
              <w:spacing w:after="0"/>
              <w:rPr>
                <w:sz w:val="20"/>
                <w:szCs w:val="20"/>
                <w:color w:val="auto"/>
              </w:rPr>
            </w:pPr>
            <w:r>
              <w:rPr>
                <w:rFonts w:ascii="Arial" w:cs="Arial" w:eastAsia="Arial" w:hAnsi="Arial"/>
                <w:sz w:val="18"/>
                <w:szCs w:val="18"/>
                <w:color w:val="auto"/>
              </w:rPr>
              <w:t>34.1</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67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Retirement Obligations</w:t>
            </w:r>
          </w:p>
        </w:tc>
        <w:tc>
          <w:tcPr>
            <w:tcW w:w="2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31.8</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Boswell Units 1 and 2 Net Plant and Equipment</w:t>
            </w:r>
          </w:p>
        </w:tc>
        <w:tc>
          <w:tcPr>
            <w:tcW w:w="2980" w:type="dxa"/>
            <w:vAlign w:val="bottom"/>
          </w:tcPr>
          <w:p>
            <w:pPr>
              <w:jc w:val="right"/>
              <w:ind w:right="250"/>
              <w:spacing w:after="0"/>
              <w:rPr>
                <w:sz w:val="20"/>
                <w:szCs w:val="20"/>
                <w:color w:val="auto"/>
              </w:rPr>
            </w:pPr>
            <w:r>
              <w:rPr>
                <w:rFonts w:ascii="Arial" w:cs="Arial" w:eastAsia="Arial" w:hAnsi="Arial"/>
                <w:sz w:val="18"/>
                <w:szCs w:val="18"/>
                <w:color w:val="auto"/>
              </w:rPr>
              <w:t>9.3</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67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Manufactured Gas Plant</w:t>
            </w:r>
          </w:p>
        </w:tc>
        <w:tc>
          <w:tcPr>
            <w:tcW w:w="2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8.3</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2980" w:type="dxa"/>
            <w:vAlign w:val="bottom"/>
          </w:tcPr>
          <w:p>
            <w:pPr>
              <w:jc w:val="right"/>
              <w:ind w:right="250"/>
              <w:spacing w:after="0"/>
              <w:rPr>
                <w:sz w:val="20"/>
                <w:szCs w:val="20"/>
                <w:color w:val="auto"/>
              </w:rPr>
            </w:pPr>
            <w:r>
              <w:rPr>
                <w:rFonts w:ascii="Arial" w:cs="Arial" w:eastAsia="Arial" w:hAnsi="Arial"/>
                <w:sz w:val="18"/>
                <w:szCs w:val="18"/>
                <w:color w:val="auto"/>
              </w:rPr>
              <w:t>4.7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7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36"/>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Non-Current Regulatory Assets</w:t>
            </w:r>
          </w:p>
        </w:tc>
        <w:tc>
          <w:tcPr>
            <w:tcW w:w="29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$423.8</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$420.5</w:t>
            </w:r>
          </w:p>
        </w:tc>
      </w:tr>
      <w:tr>
        <w:trPr>
          <w:trHeight w:val="27"/>
        </w:trPr>
        <w:tc>
          <w:tcPr>
            <w:tcW w:w="67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672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(a)</w:t>
            </w:r>
          </w:p>
        </w:tc>
        <w:tc>
          <w:tcPr>
            <w:tcW w:w="29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Transmission Formula Rates Refund</w:t>
            </w:r>
          </w:p>
        </w:tc>
        <w:tc>
          <w:tcPr>
            <w:tcW w:w="2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Provision for Tax Reform Refund</w:t>
            </w:r>
          </w:p>
        </w:tc>
        <w:tc>
          <w:tcPr>
            <w:tcW w:w="2980" w:type="dxa"/>
            <w:vAlign w:val="bottom"/>
          </w:tcPr>
          <w:p>
            <w:pPr>
              <w:jc w:val="right"/>
              <w:ind w:right="250"/>
              <w:spacing w:after="0"/>
              <w:rPr>
                <w:sz w:val="20"/>
                <w:szCs w:val="20"/>
                <w:color w:val="auto"/>
              </w:rPr>
            </w:pPr>
            <w:r>
              <w:rPr>
                <w:rFonts w:ascii="Arial" w:cs="Arial" w:eastAsia="Arial" w:hAnsi="Arial"/>
                <w:sz w:val="18"/>
                <w:szCs w:val="18"/>
                <w:color w:val="auto"/>
              </w:rPr>
              <w:t>0.2</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7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8"/>
        </w:trPr>
        <w:tc>
          <w:tcPr>
            <w:tcW w:w="6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Regulatory Liabilities</w:t>
            </w:r>
          </w:p>
        </w:tc>
        <w:tc>
          <w:tcPr>
            <w:tcW w:w="2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29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2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397.1</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407.2</w:t>
            </w: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Wholesale and Retail Contra AFUDC</w:t>
            </w:r>
          </w:p>
        </w:tc>
        <w:tc>
          <w:tcPr>
            <w:tcW w:w="2980" w:type="dxa"/>
            <w:vAlign w:val="bottom"/>
          </w:tcPr>
          <w:p>
            <w:pPr>
              <w:jc w:val="right"/>
              <w:ind w:right="250"/>
              <w:spacing w:after="0"/>
              <w:rPr>
                <w:sz w:val="20"/>
                <w:szCs w:val="20"/>
                <w:color w:val="auto"/>
              </w:rPr>
            </w:pPr>
            <w:r>
              <w:rPr>
                <w:rFonts w:ascii="Arial" w:cs="Arial" w:eastAsia="Arial" w:hAnsi="Arial"/>
                <w:sz w:val="18"/>
                <w:szCs w:val="18"/>
                <w:color w:val="auto"/>
              </w:rPr>
              <w:t>84.2</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79.3</w:t>
            </w:r>
          </w:p>
        </w:tc>
      </w:tr>
      <w:tr>
        <w:trPr>
          <w:trHeight w:val="27"/>
        </w:trPr>
        <w:tc>
          <w:tcPr>
            <w:tcW w:w="67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Removal Obligations</w:t>
            </w:r>
          </w:p>
        </w:tc>
        <w:tc>
          <w:tcPr>
            <w:tcW w:w="2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37.4</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Defined Benefit Pension and Other Postretirement Benefit Plans</w:t>
            </w:r>
          </w:p>
        </w:tc>
        <w:tc>
          <w:tcPr>
            <w:tcW w:w="2980" w:type="dxa"/>
            <w:vAlign w:val="bottom"/>
          </w:tcPr>
          <w:p>
            <w:pPr>
              <w:jc w:val="right"/>
              <w:ind w:right="250"/>
              <w:spacing w:after="0"/>
              <w:rPr>
                <w:sz w:val="20"/>
                <w:szCs w:val="20"/>
                <w:color w:val="auto"/>
              </w:rPr>
            </w:pPr>
            <w:r>
              <w:rPr>
                <w:rFonts w:ascii="Arial" w:cs="Arial" w:eastAsia="Arial" w:hAnsi="Arial"/>
                <w:sz w:val="18"/>
                <w:szCs w:val="18"/>
                <w:color w:val="auto"/>
              </w:rPr>
              <w:t>15.6</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67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Dakota Investment Tax Credits</w:t>
            </w:r>
          </w:p>
        </w:tc>
        <w:tc>
          <w:tcPr>
            <w:tcW w:w="2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12.3</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 xml:space="preserve">Fuel Adjustment Clause </w:t>
            </w:r>
            <w:r>
              <w:rPr>
                <w:rFonts w:ascii="Arial" w:cs="Arial" w:eastAsia="Arial" w:hAnsi="Arial"/>
                <w:sz w:val="16"/>
                <w:szCs w:val="16"/>
                <w:i w:val="1"/>
                <w:iCs w:val="1"/>
                <w:color w:val="auto"/>
              </w:rPr>
              <w:t>(b)</w:t>
            </w:r>
          </w:p>
        </w:tc>
        <w:tc>
          <w:tcPr>
            <w:tcW w:w="2980" w:type="dxa"/>
            <w:vAlign w:val="bottom"/>
          </w:tcPr>
          <w:p>
            <w:pPr>
              <w:jc w:val="right"/>
              <w:ind w:right="250"/>
              <w:spacing w:after="0"/>
              <w:rPr>
                <w:sz w:val="20"/>
                <w:szCs w:val="20"/>
                <w:color w:val="auto"/>
              </w:rPr>
            </w:pPr>
            <w:r>
              <w:rPr>
                <w:rFonts w:ascii="Arial" w:cs="Arial" w:eastAsia="Arial" w:hAnsi="Arial"/>
                <w:sz w:val="18"/>
                <w:szCs w:val="18"/>
                <w:color w:val="auto"/>
              </w:rPr>
              <w:t>8.4</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2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7.4</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Other</w:t>
            </w:r>
          </w:p>
        </w:tc>
        <w:tc>
          <w:tcPr>
            <w:tcW w:w="2980" w:type="dxa"/>
            <w:vAlign w:val="bottom"/>
          </w:tcPr>
          <w:p>
            <w:pPr>
              <w:jc w:val="right"/>
              <w:ind w:right="250"/>
              <w:spacing w:after="0"/>
              <w:rPr>
                <w:sz w:val="20"/>
                <w:szCs w:val="20"/>
                <w:color w:val="auto"/>
              </w:rPr>
            </w:pPr>
            <w:r>
              <w:rPr>
                <w:rFonts w:ascii="Arial" w:cs="Arial" w:eastAsia="Arial" w:hAnsi="Arial"/>
                <w:sz w:val="18"/>
                <w:szCs w:val="18"/>
                <w:color w:val="auto"/>
              </w:rPr>
              <w:t>4.0</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67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8"/>
        </w:trPr>
        <w:tc>
          <w:tcPr>
            <w:tcW w:w="6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2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566.4</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560.3</w:t>
            </w:r>
          </w:p>
        </w:tc>
      </w:tr>
      <w:tr>
        <w:trPr>
          <w:trHeight w:val="237"/>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Liabilities</w:t>
            </w:r>
          </w:p>
        </w:tc>
        <w:tc>
          <w:tcPr>
            <w:tcW w:w="29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$567.9</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$562.2</w:t>
            </w:r>
          </w:p>
        </w:tc>
      </w:tr>
      <w:tr>
        <w:trPr>
          <w:trHeight w:val="27"/>
        </w:trPr>
        <w:tc>
          <w:tcPr>
            <w:tcW w:w="67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19"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Fuel adjustment clause regulatory liability represents the amount expected to be refunded to customers for the over-collection of fuel adjustment clause recoveries. (See Fuel Adjustment Clause Reform.)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101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EQUITY INVESTMENTS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Investment in ATC</w:t>
      </w:r>
      <w:r>
        <w:rPr>
          <w:rFonts w:ascii="Arial" w:cs="Arial" w:eastAsia="Arial" w:hAnsi="Arial"/>
          <w:sz w:val="18"/>
          <w:szCs w:val="18"/>
          <w:color w:val="auto"/>
        </w:rPr>
        <w:t>. Our wholly-owned subsidiary, ALLETE Transmission Holdings, owns approximately 8 percent of ATC, a Wisconsin-based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portions of Wisconsin, Michigan, Minnesota and Illinois. We account for our investment in ATC under the equity method of accounting. In the three months ended March 31, 2020, we invested $0.4 million in ATC, and on April 30, 2020, we invested an additional $0.8 million. We expect to make additional investments of $1.6 million in 2020.</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620" w:type="dxa"/>
            <w:vAlign w:val="bottom"/>
          </w:tcPr>
          <w:p>
            <w:pPr>
              <w:spacing w:after="0"/>
              <w:rPr>
                <w:sz w:val="20"/>
                <w:szCs w:val="20"/>
                <w:color w:val="auto"/>
              </w:rPr>
            </w:pPr>
          </w:p>
        </w:tc>
      </w:tr>
      <w:tr>
        <w:trPr>
          <w:trHeight w:val="27"/>
        </w:trPr>
        <w:tc>
          <w:tcPr>
            <w:tcW w:w="76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2019</w:t>
            </w:r>
          </w:p>
        </w:tc>
        <w:tc>
          <w:tcPr>
            <w:tcW w:w="3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362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76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3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3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76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5"/>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the Remeasurement of Deferred Income Taxes</w:t>
            </w:r>
          </w:p>
        </w:tc>
        <w:tc>
          <w:tcPr>
            <w:tcW w:w="3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7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Equity Investment Balance as of March 31, 2020</w:t>
            </w:r>
          </w:p>
        </w:tc>
        <w:tc>
          <w:tcPr>
            <w:tcW w:w="3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$142.3</w:t>
            </w:r>
          </w:p>
        </w:tc>
      </w:tr>
      <w:tr>
        <w:trPr>
          <w:trHeight w:val="27"/>
        </w:trPr>
        <w:tc>
          <w:tcPr>
            <w:tcW w:w="7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ATC’s authorized return on equity is 9.88 percent, or 10.38 percent including an incentive adder for participation in a regional transmission organization based on a November 2019 FERC order. (See Note 2. Regulatory Matters.)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wholly-owned subsidiary, ALLETE South Wind, owns 49 percent of Nobles 2, the entity that will own and operate a</w:t>
      </w:r>
      <w:r>
        <w:rPr>
          <w:rFonts w:ascii="Arial" w:cs="Arial" w:eastAsia="Arial" w:hAnsi="Arial"/>
          <w:sz w:val="18"/>
          <w:szCs w:val="18"/>
          <w:b w:val="1"/>
          <w:bCs w:val="1"/>
          <w:color w:val="auto"/>
        </w:rPr>
        <w:t xml:space="preserve"> </w:t>
      </w:r>
      <w:r>
        <w:rPr>
          <w:rFonts w:ascii="Arial" w:cs="Arial" w:eastAsia="Arial" w:hAnsi="Arial"/>
          <w:sz w:val="18"/>
          <w:szCs w:val="18"/>
          <w:color w:val="auto"/>
        </w:rPr>
        <w:t>250 MW wind energy facility in southwestern Minnesota pursuant to a 20-year PPA with Minnesota Power. We account for our investment in Nobles 2 under the equity method of accounting. As of March 31, 2020, our equity investment in Nobles 2 was $83.4 million ($56.0 million at December 31, 2019). In the three months ended March 31, 2020, we invested $27.4 million in Nobles 2, and in April 2020 we invested an additional $21.7 million. We expect to make approximately $65 million in additional investments in 2020.</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7. Fair Value to the Consolidated Financial Statements in our 2019 Form 10-K.</w:t>
      </w:r>
    </w:p>
    <w:p>
      <w:pPr>
        <w:spacing w:after="0" w:line="1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March 31, 2020, and December 31, 2019.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01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NOTE 4. FAIR VALUE (Continued)</w:t>
            </w:r>
          </w:p>
        </w:tc>
        <w:tc>
          <w:tcPr>
            <w:tcW w:w="1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6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1"/>
              </w:rPr>
              <w:t>Fair Value as of March 31, 2020</w:t>
            </w:r>
          </w:p>
        </w:tc>
        <w:tc>
          <w:tcPr>
            <w:tcW w:w="840" w:type="dxa"/>
            <w:vAlign w:val="bottom"/>
          </w:tcPr>
          <w:p>
            <w:pPr>
              <w:spacing w:after="0"/>
              <w:rPr>
                <w:sz w:val="24"/>
                <w:szCs w:val="24"/>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3</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6240" w:type="dxa"/>
            <w:vAlign w:val="bottom"/>
          </w:tcPr>
          <w:p>
            <w:pPr>
              <w:ind w:left="28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$9.3</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6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37"/>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$9.3</w:t>
            </w:r>
          </w:p>
        </w:tc>
        <w:tc>
          <w:tcPr>
            <w:tcW w:w="1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6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7"/>
        </w:trPr>
        <w:tc>
          <w:tcPr>
            <w:tcW w:w="6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$19.3</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37"/>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$19.3</w:t>
            </w:r>
          </w:p>
        </w:tc>
        <w:tc>
          <w:tcPr>
            <w:tcW w:w="1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6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$(10.0)</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$(0.8)</w:t>
            </w:r>
          </w:p>
        </w:tc>
      </w:tr>
      <w:tr>
        <w:trPr>
          <w:trHeight w:val="20"/>
        </w:trPr>
        <w:tc>
          <w:tcPr>
            <w:tcW w:w="62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44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Fair Value as of December 31, 2019</w:t>
            </w:r>
          </w:p>
        </w:tc>
        <w:tc>
          <w:tcPr>
            <w:tcW w:w="660" w:type="dxa"/>
            <w:vAlign w:val="bottom"/>
          </w:tcPr>
          <w:p>
            <w:pPr>
              <w:spacing w:after="0"/>
              <w:rPr>
                <w:sz w:val="20"/>
                <w:szCs w:val="20"/>
                <w:color w:val="auto"/>
              </w:rPr>
            </w:pP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3</w:t>
            </w: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9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$11.1</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1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$9.7</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6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$12.0</w:t>
            </w:r>
          </w:p>
        </w:tc>
        <w:tc>
          <w:tcPr>
            <w:tcW w:w="11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$9.7</w:t>
            </w:r>
          </w:p>
        </w:tc>
        <w:tc>
          <w:tcPr>
            <w:tcW w:w="13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6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77"/>
        </w:trPr>
        <w:tc>
          <w:tcPr>
            <w:tcW w:w="6120" w:type="dxa"/>
            <w:vAlign w:val="bottom"/>
            <w:tcBorders>
              <w:bottom w:val="single" w:sz="8" w:color="auto"/>
            </w:tcBorders>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$21.2</w:t>
            </w:r>
          </w:p>
        </w:tc>
        <w:tc>
          <w:tcPr>
            <w:tcW w:w="13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1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$21.2</w:t>
            </w:r>
          </w:p>
        </w:tc>
        <w:tc>
          <w:tcPr>
            <w:tcW w:w="13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6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$12.0</w:t>
            </w:r>
          </w:p>
        </w:tc>
        <w:tc>
          <w:tcPr>
            <w:tcW w:w="11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$(11.5)</w:t>
            </w:r>
          </w:p>
        </w:tc>
        <w:tc>
          <w:tcPr>
            <w:tcW w:w="138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0"/>
        </w:trPr>
        <w:tc>
          <w:tcPr>
            <w:tcW w:w="61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9" w:lineRule="exact"/>
        <w:rPr>
          <w:rFonts w:ascii="Arial" w:cs="Arial" w:eastAsia="Arial" w:hAnsi="Arial"/>
          <w:sz w:val="16"/>
          <w:szCs w:val="16"/>
          <w:i w:val="1"/>
          <w:iCs w:val="1"/>
          <w:color w:val="auto"/>
        </w:rPr>
      </w:pPr>
    </w:p>
    <w:p>
      <w:pPr>
        <w:ind w:left="340" w:hanging="332"/>
        <w:spacing w:after="0" w:line="262" w:lineRule="auto"/>
        <w:tabs>
          <w:tab w:leader="none" w:pos="340"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As of March 31, 2020, the aggregate amount of available-for-sale corporate and governmental debt securities maturing in one year or less was $2.9 million, in one year to less than three years was $5.9 million, in three years to less than five years was $0.2 million and in five or more years was $0.3 million.</w:t>
      </w:r>
    </w:p>
    <w:p>
      <w:pPr>
        <w:spacing w:after="0" w:line="1" w:lineRule="exact"/>
        <w:rPr>
          <w:rFonts w:ascii="Arial" w:cs="Arial" w:eastAsia="Arial" w:hAnsi="Arial"/>
          <w:sz w:val="15"/>
          <w:szCs w:val="15"/>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of the item listed in the following table was based on quoted market prices for the same or similar instruments (Level 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18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62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6"/>
        </w:trPr>
        <w:tc>
          <w:tcPr>
            <w:tcW w:w="6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
        </w:trPr>
        <w:tc>
          <w:tcPr>
            <w:tcW w:w="6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280"/>
              <w:spacing w:after="0"/>
              <w:rPr>
                <w:sz w:val="20"/>
                <w:szCs w:val="20"/>
                <w:color w:val="auto"/>
              </w:rPr>
            </w:pPr>
            <w:r>
              <w:rPr>
                <w:rFonts w:ascii="Arial" w:cs="Arial" w:eastAsia="Arial" w:hAnsi="Arial"/>
                <w:sz w:val="18"/>
                <w:szCs w:val="18"/>
                <w:color w:val="auto"/>
              </w:rPr>
              <w:t>March 31, 2020</w:t>
            </w:r>
          </w:p>
        </w:tc>
        <w:tc>
          <w:tcPr>
            <w:tcW w:w="3180" w:type="dxa"/>
            <w:vAlign w:val="bottom"/>
          </w:tcPr>
          <w:p>
            <w:pPr>
              <w:jc w:val="right"/>
              <w:ind w:right="490"/>
              <w:spacing w:after="0"/>
              <w:rPr>
                <w:sz w:val="20"/>
                <w:szCs w:val="20"/>
                <w:color w:val="auto"/>
              </w:rPr>
            </w:pPr>
            <w:r>
              <w:rPr>
                <w:rFonts w:ascii="Arial" w:cs="Arial" w:eastAsia="Arial" w:hAnsi="Arial"/>
                <w:sz w:val="18"/>
                <w:szCs w:val="18"/>
                <w:color w:val="auto"/>
              </w:rPr>
              <w:t>$1,731.3</w:t>
            </w: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$1,880.2</w:t>
            </w:r>
          </w:p>
        </w:tc>
      </w:tr>
      <w:tr>
        <w:trPr>
          <w:trHeight w:val="27"/>
        </w:trPr>
        <w:tc>
          <w:tcPr>
            <w:tcW w:w="6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2019</w:t>
            </w:r>
          </w:p>
        </w:tc>
        <w:tc>
          <w:tcPr>
            <w:tcW w:w="31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$1,622.6</w:t>
            </w: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$1,791.8</w:t>
            </w:r>
          </w:p>
        </w:tc>
      </w:tr>
      <w:tr>
        <w:trPr>
          <w:trHeight w:val="20"/>
        </w:trPr>
        <w:tc>
          <w:tcPr>
            <w:tcW w:w="622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land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are measured at fair value when there is an indicator of impairment and recorded at fair value only when an impairment is recognized. For the three months ended March 31, 2020, and the year ended December 31, 2019, there were no indicators of impairment for these non-financial assets.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ectPr>
          <w:pgSz w:w="11900" w:h="16838" w:orient="portrait"/>
          <w:cols w:equalWidth="0" w:num="1">
            <w:col w:w="11240"/>
          </w:cols>
          <w:pgMar w:left="320" w:top="1012"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240"/>
          </w:cols>
          <w:pgMar w:left="320" w:top="1012"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Arial" w:cs="Arial" w:eastAsia="Arial" w:hAnsi="Arial"/>
                <w:sz w:val="18"/>
                <w:szCs w:val="18"/>
                <w:b w:val="1"/>
                <w:bCs w:val="1"/>
                <w:color w:val="auto"/>
              </w:rPr>
              <w:t>NOTE 5. SHORT-TERM AND LONG-TERM DEBT</w:t>
            </w:r>
          </w:p>
        </w:tc>
        <w:tc>
          <w:tcPr>
            <w:tcW w:w="22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9860" w:type="dxa"/>
            <w:vAlign w:val="bottom"/>
            <w:gridSpan w:val="3"/>
          </w:tcPr>
          <w:p>
            <w:pPr>
              <w:spacing w:after="0"/>
              <w:rPr>
                <w:sz w:val="20"/>
                <w:szCs w:val="20"/>
                <w:color w:val="auto"/>
              </w:rPr>
            </w:pPr>
            <w:r>
              <w:rPr>
                <w:rFonts w:ascii="Arial" w:cs="Arial" w:eastAsia="Arial" w:hAnsi="Arial"/>
                <w:sz w:val="18"/>
                <w:szCs w:val="18"/>
                <w:color w:val="auto"/>
              </w:rPr>
              <w:t>The following tables present the Company’s short-term and long-term debt as of March 31, 2020, and December 31, 2019:</w:t>
            </w:r>
          </w:p>
        </w:tc>
        <w:tc>
          <w:tcPr>
            <w:tcW w:w="1380" w:type="dxa"/>
            <w:vAlign w:val="bottom"/>
          </w:tcPr>
          <w:p>
            <w:pPr>
              <w:spacing w:after="0"/>
              <w:rPr>
                <w:sz w:val="24"/>
                <w:szCs w:val="24"/>
                <w:color w:val="auto"/>
              </w:rPr>
            </w:pPr>
          </w:p>
        </w:tc>
      </w:tr>
      <w:tr>
        <w:trPr>
          <w:trHeight w:val="441"/>
        </w:trPr>
        <w:tc>
          <w:tcPr>
            <w:tcW w:w="5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0" w:type="dxa"/>
            <w:vAlign w:val="bottom"/>
          </w:tcPr>
          <w:p>
            <w:pPr>
              <w:jc w:val="right"/>
              <w:ind w:right="550"/>
              <w:spacing w:after="0"/>
              <w:rPr>
                <w:sz w:val="20"/>
                <w:szCs w:val="20"/>
                <w:color w:val="auto"/>
              </w:rPr>
            </w:pPr>
            <w:r>
              <w:rPr>
                <w:rFonts w:ascii="Arial" w:cs="Arial" w:eastAsia="Arial" w:hAnsi="Arial"/>
                <w:sz w:val="18"/>
                <w:szCs w:val="18"/>
                <w:b w:val="1"/>
                <w:bCs w:val="1"/>
                <w:color w:val="auto"/>
              </w:rPr>
              <w:t>Unamortized Debt</w:t>
            </w:r>
          </w:p>
        </w:tc>
        <w:tc>
          <w:tcPr>
            <w:tcW w:w="1380" w:type="dxa"/>
            <w:vAlign w:val="bottom"/>
          </w:tcPr>
          <w:p>
            <w:pPr>
              <w:spacing w:after="0"/>
              <w:rPr>
                <w:sz w:val="24"/>
                <w:szCs w:val="24"/>
                <w:color w:val="auto"/>
              </w:rPr>
            </w:pPr>
          </w:p>
        </w:tc>
      </w:tr>
      <w:tr>
        <w:trPr>
          <w:trHeight w:val="234"/>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March 31, 2020</w:t>
            </w:r>
          </w:p>
        </w:tc>
        <w:tc>
          <w:tcPr>
            <w:tcW w:w="222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00" w:type="dxa"/>
            <w:vAlign w:val="bottom"/>
          </w:tcPr>
          <w:p>
            <w:pPr>
              <w:jc w:val="right"/>
              <w:ind w:right="550"/>
              <w:spacing w:after="0"/>
              <w:rPr>
                <w:sz w:val="20"/>
                <w:szCs w:val="20"/>
                <w:color w:val="auto"/>
              </w:rPr>
            </w:pPr>
            <w:r>
              <w:rPr>
                <w:rFonts w:ascii="Arial" w:cs="Arial" w:eastAsia="Arial" w:hAnsi="Arial"/>
                <w:sz w:val="18"/>
                <w:szCs w:val="18"/>
                <w:b w:val="1"/>
                <w:bCs w:val="1"/>
                <w:color w:val="auto"/>
              </w:rPr>
              <w:t>Issuance Costs</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5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$323.3</w:t>
            </w:r>
          </w:p>
        </w:tc>
        <w:tc>
          <w:tcPr>
            <w:tcW w:w="24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$(0.3)</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$323.0</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20" w:type="dxa"/>
            <w:vAlign w:val="bottom"/>
          </w:tcPr>
          <w:p>
            <w:pPr>
              <w:jc w:val="right"/>
              <w:ind w:right="270"/>
              <w:spacing w:after="0"/>
              <w:rPr>
                <w:sz w:val="20"/>
                <w:szCs w:val="20"/>
                <w:color w:val="auto"/>
              </w:rPr>
            </w:pPr>
            <w:r>
              <w:rPr>
                <w:rFonts w:ascii="Arial" w:cs="Arial" w:eastAsia="Arial" w:hAnsi="Arial"/>
                <w:sz w:val="18"/>
                <w:szCs w:val="18"/>
                <w:color w:val="auto"/>
              </w:rPr>
              <w:t>1,408.0</w:t>
            </w:r>
          </w:p>
        </w:tc>
        <w:tc>
          <w:tcPr>
            <w:tcW w:w="2400" w:type="dxa"/>
            <w:vAlign w:val="bottom"/>
          </w:tcPr>
          <w:p>
            <w:pPr>
              <w:jc w:val="right"/>
              <w:ind w:right="550"/>
              <w:spacing w:after="0"/>
              <w:rPr>
                <w:sz w:val="20"/>
                <w:szCs w:val="20"/>
                <w:color w:val="auto"/>
              </w:rPr>
            </w:pPr>
            <w:r>
              <w:rPr>
                <w:rFonts w:ascii="Arial" w:cs="Arial" w:eastAsia="Arial" w:hAnsi="Arial"/>
                <w:sz w:val="18"/>
                <w:szCs w:val="18"/>
                <w:color w:val="auto"/>
              </w:rPr>
              <w:t>(8.1)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1,399.9</w:t>
            </w:r>
          </w:p>
        </w:tc>
      </w:tr>
      <w:tr>
        <w:trPr>
          <w:trHeight w:val="27"/>
        </w:trPr>
        <w:tc>
          <w:tcPr>
            <w:tcW w:w="5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$1,731.3</w:t>
            </w:r>
          </w:p>
        </w:tc>
        <w:tc>
          <w:tcPr>
            <w:tcW w:w="24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$(8.4)</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$1,722.9</w:t>
            </w:r>
          </w:p>
        </w:tc>
      </w:tr>
      <w:tr>
        <w:trPr>
          <w:trHeight w:val="650"/>
        </w:trPr>
        <w:tc>
          <w:tcPr>
            <w:tcW w:w="524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Unamortized Debt</w:t>
            </w:r>
          </w:p>
        </w:tc>
        <w:tc>
          <w:tcPr>
            <w:tcW w:w="1380" w:type="dxa"/>
            <w:vAlign w:val="bottom"/>
            <w:tcBorders>
              <w:top w:val="single" w:sz="8" w:color="auto"/>
            </w:tcBorders>
          </w:tcPr>
          <w:p>
            <w:pPr>
              <w:spacing w:after="0"/>
              <w:rPr>
                <w:sz w:val="24"/>
                <w:szCs w:val="24"/>
                <w:color w:val="auto"/>
              </w:rPr>
            </w:pPr>
          </w:p>
        </w:tc>
      </w:tr>
      <w:tr>
        <w:trPr>
          <w:trHeight w:val="234"/>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December 31, 2019</w:t>
            </w:r>
          </w:p>
        </w:tc>
        <w:tc>
          <w:tcPr>
            <w:tcW w:w="222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00" w:type="dxa"/>
            <w:vAlign w:val="bottom"/>
          </w:tcPr>
          <w:p>
            <w:pPr>
              <w:jc w:val="right"/>
              <w:ind w:right="550"/>
              <w:spacing w:after="0"/>
              <w:rPr>
                <w:sz w:val="20"/>
                <w:szCs w:val="20"/>
                <w:color w:val="auto"/>
              </w:rPr>
            </w:pPr>
            <w:r>
              <w:rPr>
                <w:rFonts w:ascii="Arial" w:cs="Arial" w:eastAsia="Arial" w:hAnsi="Arial"/>
                <w:sz w:val="18"/>
                <w:szCs w:val="18"/>
                <w:b w:val="1"/>
                <w:bCs w:val="1"/>
                <w:color w:val="auto"/>
              </w:rPr>
              <w:t>Issuance Costs</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5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$213.3</w:t>
            </w:r>
          </w:p>
        </w:tc>
        <w:tc>
          <w:tcPr>
            <w:tcW w:w="24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$(0.4)</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20" w:type="dxa"/>
            <w:vAlign w:val="bottom"/>
          </w:tcPr>
          <w:p>
            <w:pPr>
              <w:jc w:val="right"/>
              <w:ind w:right="270"/>
              <w:spacing w:after="0"/>
              <w:rPr>
                <w:sz w:val="20"/>
                <w:szCs w:val="20"/>
                <w:color w:val="auto"/>
              </w:rPr>
            </w:pPr>
            <w:r>
              <w:rPr>
                <w:rFonts w:ascii="Arial" w:cs="Arial" w:eastAsia="Arial" w:hAnsi="Arial"/>
                <w:sz w:val="18"/>
                <w:szCs w:val="18"/>
                <w:color w:val="auto"/>
              </w:rPr>
              <w:t>1,409.3</w:t>
            </w:r>
          </w:p>
        </w:tc>
        <w:tc>
          <w:tcPr>
            <w:tcW w:w="2400" w:type="dxa"/>
            <w:vAlign w:val="bottom"/>
          </w:tcPr>
          <w:p>
            <w:pPr>
              <w:jc w:val="right"/>
              <w:ind w:right="550"/>
              <w:spacing w:after="0"/>
              <w:rPr>
                <w:sz w:val="20"/>
                <w:szCs w:val="20"/>
                <w:color w:val="auto"/>
              </w:rPr>
            </w:pPr>
            <w:r>
              <w:rPr>
                <w:rFonts w:ascii="Arial" w:cs="Arial" w:eastAsia="Arial" w:hAnsi="Arial"/>
                <w:sz w:val="18"/>
                <w:szCs w:val="18"/>
                <w:color w:val="auto"/>
              </w:rPr>
              <w:t>(8.4)</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1,400.9</w:t>
            </w:r>
          </w:p>
        </w:tc>
      </w:tr>
      <w:tr>
        <w:trPr>
          <w:trHeight w:val="27"/>
        </w:trPr>
        <w:tc>
          <w:tcPr>
            <w:tcW w:w="5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$1,622.6</w:t>
            </w:r>
          </w:p>
        </w:tc>
        <w:tc>
          <w:tcPr>
            <w:tcW w:w="24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$(8.8)</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$1,613.8</w:t>
            </w:r>
          </w:p>
        </w:tc>
      </w:tr>
      <w:tr>
        <w:trPr>
          <w:trHeight w:val="20"/>
        </w:trPr>
        <w:tc>
          <w:tcPr>
            <w:tcW w:w="524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$66.3 million outstanding in standby letters of credit and $0.2 million in outstanding draws under our lines of credit as of March 31, 2020 ($62.0 million in standby letters of credit and no outstanding draws as of December 31,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10, 2020, ALLETE entered into a $200 million unsecured term loan agreement (Term Loan) of which we have borrowed $110 million as of March 31, 2020. The Term Loan provides for the ability to borrow up to an additional $90 million, is due on February 10, 2021, and may be repaid at any time. Interest is payable monthly at a rate per annum equal to LIBOR plus 0.55 percent. Proceeds from the Term Loan will be used for construction-related expenditures.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26, 2020, ALLETE agreed to sell first mortgage bonds (Bonds) to certain institutional buyers in the private placement market, which will be issued on or before August 3, 2020, in two series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1360"/>
              <w:spacing w:after="0"/>
              <w:rPr>
                <w:sz w:val="20"/>
                <w:szCs w:val="20"/>
                <w:color w:val="auto"/>
              </w:rPr>
            </w:pPr>
            <w:r>
              <w:rPr>
                <w:rFonts w:ascii="Arial" w:cs="Arial" w:eastAsia="Arial" w:hAnsi="Arial"/>
                <w:sz w:val="18"/>
                <w:szCs w:val="18"/>
                <w:b w:val="1"/>
                <w:bCs w:val="1"/>
                <w:color w:val="auto"/>
              </w:rPr>
              <w:t>Maturity Date</w:t>
            </w: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37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August 1, 2030</w:t>
            </w:r>
          </w:p>
        </w:tc>
        <w:tc>
          <w:tcPr>
            <w:tcW w:w="3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$46 Million</w:t>
            </w: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2.50%</w:t>
            </w:r>
          </w:p>
        </w:tc>
      </w:tr>
      <w:tr>
        <w:trPr>
          <w:trHeight w:val="243"/>
        </w:trPr>
        <w:tc>
          <w:tcPr>
            <w:tcW w:w="3740" w:type="dxa"/>
            <w:vAlign w:val="bottom"/>
          </w:tcPr>
          <w:p>
            <w:pPr>
              <w:ind w:left="1360"/>
              <w:spacing w:after="0"/>
              <w:rPr>
                <w:sz w:val="20"/>
                <w:szCs w:val="20"/>
                <w:color w:val="auto"/>
              </w:rPr>
            </w:pPr>
            <w:r>
              <w:rPr>
                <w:rFonts w:ascii="Arial" w:cs="Arial" w:eastAsia="Arial" w:hAnsi="Arial"/>
                <w:sz w:val="18"/>
                <w:szCs w:val="18"/>
                <w:color w:val="auto"/>
              </w:rPr>
              <w:t>August 1, 2050</w:t>
            </w:r>
          </w:p>
        </w:tc>
        <w:tc>
          <w:tcPr>
            <w:tcW w:w="3900" w:type="dxa"/>
            <w:vAlign w:val="bottom"/>
          </w:tcPr>
          <w:p>
            <w:pPr>
              <w:jc w:val="center"/>
              <w:spacing w:after="0"/>
              <w:rPr>
                <w:sz w:val="20"/>
                <w:szCs w:val="20"/>
                <w:color w:val="auto"/>
              </w:rPr>
            </w:pPr>
            <w:r>
              <w:rPr>
                <w:rFonts w:ascii="Arial" w:cs="Arial" w:eastAsia="Arial" w:hAnsi="Arial"/>
                <w:sz w:val="18"/>
                <w:szCs w:val="18"/>
                <w:color w:val="auto"/>
                <w:w w:val="99"/>
              </w:rPr>
              <w:t>$94 Million</w:t>
            </w:r>
          </w:p>
        </w:tc>
        <w:tc>
          <w:tcPr>
            <w:tcW w:w="3600" w:type="dxa"/>
            <w:vAlign w:val="bottom"/>
          </w:tcPr>
          <w:p>
            <w:pPr>
              <w:jc w:val="center"/>
              <w:ind w:right="10"/>
              <w:spacing w:after="0"/>
              <w:rPr>
                <w:sz w:val="20"/>
                <w:szCs w:val="20"/>
                <w:color w:val="auto"/>
              </w:rPr>
            </w:pPr>
            <w:r>
              <w:rPr>
                <w:rFonts w:ascii="Arial" w:cs="Arial" w:eastAsia="Arial" w:hAnsi="Arial"/>
                <w:sz w:val="18"/>
                <w:szCs w:val="18"/>
                <w:color w:val="auto"/>
                <w:w w:val="90"/>
              </w:rPr>
              <w:t>3.30%</w:t>
            </w:r>
          </w:p>
        </w:tc>
      </w:tr>
      <w:tr>
        <w:trPr>
          <w:trHeight w:val="27"/>
        </w:trPr>
        <w:tc>
          <w:tcPr>
            <w:tcW w:w="37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will have the option to prepay all or a portion of the Bonds at its discretion, subject to a make-whole provision. The Bonds will be subject to additional terms and conditions which are customary for these types of transactions. ALLETE plans to use the proceeds from the sale of the Bonds to fund utility capital investment and for general corporate purposes. The Bonds will be sold in reliance on an exemption from registration under Section 4(a)(2) of the Securities Act of 1933, as amended, to institutional accredited investors.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8, 2020, ALLETE entered into a $115 million unsecured term loan agreement (Term Loan) and borrowed $95 million upon execution. The Term Loan provides for an additional draw of $20 million on or after July 1, 2020. The Term Loan is due on April 7, 2021, and may be repaid at any time. Interest is payable monthly at a rate per annum equal to LIBOR plus 1.7 percent with a LIBOR floor of 0.75 percent. Proceeds from the Term Loan will be used for general corporate purposes.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March 31, 2020, our ratio was approximately 0.43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March 31, 2020, ALLETE was in compliance with its financial covenants.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ectPr>
          <w:pgSz w:w="11900" w:h="16838" w:orient="portrait"/>
          <w:cols w:equalWidth="0" w:num="1">
            <w:col w:w="11240"/>
          </w:cols>
          <w:pgMar w:left="320" w:top="1012"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240"/>
          </w:cols>
          <w:pgMar w:left="320" w:top="101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COMMITMENTS, GUARANTEES AND CONTINGENCIES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PPAs are summarized in Note 9. Commitments, Guarantees and Contingencies to the Consolidated Financial Statements in our 2019 Form 10-K, with additional disclosure provided in the following paragraphs.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As of March 31, 2020, Square Butte had total debt outstanding of $276.2 million. Fuel expenses are recoverable through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fuel adjustment clause and include the cost of coal purchased from BNI Energy under a long-term contract. Minnesota Power’s cost of power purchased from Square Butte during the three months ended March 31, 2020, was $20.1 million ($20.5 million for the same period in 2019). This reflects Minnesota Power’s pro rata share of total Square Butte costs based on the 50 percent output entitlement. Included in this amount was Minnesota Power’s pro rata share of interest expense of $1.9 million ($2.1 million for the same period in 2019). Minnesota Power’s payments to Square Butte are approved as a purchased power expense for ratemaking purposes by both the MPUC and the FERC.</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2020 and in 2019.</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Minnesota Power Short-term PSAs</w:t>
      </w:r>
      <w:r>
        <w:rPr>
          <w:rFonts w:ascii="Arial" w:cs="Arial" w:eastAsia="Arial" w:hAnsi="Arial"/>
          <w:sz w:val="17"/>
          <w:szCs w:val="17"/>
          <w:color w:val="auto"/>
        </w:rPr>
        <w:t>. Minnesota Power has entered into various short-term PSAs to sell 300 MW of energy in 2020 and 2021. These PSAs</w:t>
      </w:r>
      <w:r>
        <w:rPr>
          <w:rFonts w:ascii="Arial" w:cs="Arial" w:eastAsia="Arial" w:hAnsi="Arial"/>
          <w:sz w:val="17"/>
          <w:szCs w:val="17"/>
          <w:i w:val="1"/>
          <w:iCs w:val="1"/>
          <w:color w:val="auto"/>
        </w:rPr>
        <w:t xml:space="preserve"> </w:t>
      </w:r>
      <w:r>
        <w:rPr>
          <w:rFonts w:ascii="Arial" w:cs="Arial" w:eastAsia="Arial" w:hAnsi="Arial"/>
          <w:sz w:val="17"/>
          <w:szCs w:val="17"/>
          <w:color w:val="auto"/>
        </w:rPr>
        <w:t>were entered into to proactively mitigate the uncertainty of customers’ energy needs and potential load loss due to the COVID-19 pandemic. Additional transactions, purchases or sales, could be entered into as the extent and duration of the COVID-19 pandemic becomes known.</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through December 2021. Minnesota Power also has coal transportation agreements in place for the delivery of a significant portion of its coal requirements through December 2021. The costs of fuel and related transportation costs for Minnesota Power’s generation are recoverable from Minnesota Power’s utility customers through the fuel adjustment clause.</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 2016 order, the MPUC approved the route permit for the GNTL, and in 2016, the U.S. Department of Energy issued a presidential permit to cross the U.S.-Canadian border, which was the final major regulatory approval needed before construction in the U.S. could begin. Construction activities commenced in the first quarter of 2017, and Minnesota Power expects the GNTL to be in-service by mid-2020. The total project cost in the U.S., including substation work, is estimated to be approximately $700 million, of which Minnesota Power’s portion is expected to be approximately $325 million; the difference will be recovered from a subsidiary of Manitoba Hydro as non-shareholder contributions to capital. Total project costs of $647.7 million have been incurred through March 31, 2020, of which $344.6 million has been recovered from a subsidiary of Manitoba Hydro.</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2019, Manitoba Hydro announced the Canadian federal government’s approval of the MMTP project and in August 2019, the Canadian National Energy Board granted final pre-construction approvals. Construction on the MMTP commenced in the third quarter of 2019. On April 16, 2020, Manitoba Hydro announced that construction of the MMTP was complete and that testing and commissioning of the line, communications equipment and substation will take place to meet the anticipated in-service deadline of June 1, 2020. The MMTP is still subject to legal challenges which Minnesota Power is actively monitoring.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101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Construction of Manitoba Hydro’s Keeyask hydroelectric generation facility, which will provide the power to be sold under PPAs with Minnesota Power and transmitted on the MMTP and the GNTL, commenced in 2014 and is anticipated to be completely in-service by early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12"/>
          <w:szCs w:val="12"/>
          <w:color w:val="auto"/>
        </w:rPr>
        <w:t>x</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allowances issued and pending issuance, we currently expect generation levels and emission rates will result in continued compliance with the CSAPR.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None of the compliance costs for proposed or current NAAQS revisions are expected to be material.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01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On June 19, 2019, the EPA finalized several separate rulemakings regarding regulating carbon emissions from electric</w:t>
      </w:r>
      <w:r>
        <w:rPr>
          <w:rFonts w:ascii="Arial" w:cs="Arial" w:eastAsia="Arial" w:hAnsi="Arial"/>
          <w:sz w:val="18"/>
          <w:szCs w:val="18"/>
          <w:i w:val="1"/>
          <w:iCs w:val="1"/>
          <w:color w:val="auto"/>
        </w:rPr>
        <w:t xml:space="preserve"> </w:t>
      </w:r>
      <w:r>
        <w:rPr>
          <w:rFonts w:ascii="Arial" w:cs="Arial" w:eastAsia="Arial" w:hAnsi="Arial"/>
          <w:sz w:val="18"/>
          <w:szCs w:val="18"/>
          <w:color w:val="auto"/>
        </w:rPr>
        <w:t>utility generating units.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EPA repealed the Clean Power Plan (CPP), following a determination by the EPA that the CPP exceeded the EPA’s statutory authority under the Clean Air Act (CAA). The primary reason for this was that the CPP attempted to regulate electric generating unit’s carbon emissions through measures outside of the affected unit’s direct control. The CPP was first announced as a proposed rule under Section 111(d) of the Clean Air Act for existing power plants entitled “Carbon Pollution Emission Guidelines for Existing Stationary Sources: Electric Generating Units”.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the repeal of the CPP, the Affordable Clean Energy Rule was finalized. The rule establishes emissions guidelines for states to use when developing plans to limit carbon dioxide at coal-fired power plants. The rule identifies heat rate improvements made at individual units as the best system of emission reduction. Affected facilities for Minnesota Power include Boswell Units 3 and 4. Based on our initial review of the rule, many of the candidate heat rate improvements are already installed on Boswell Units 3 and 4 and the currently economically idled Taconite Harbor 1 and 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EPA finalized new regulations for the state implementation of the Affordable Clean Energy Rule and any future emission guidelines issued under CAA Section 111(d). States will have three years to submit State Implementation Plans (SIPs), and the EPA has 12 months to review and approve those plans. Since the Affordable Clean Energy Rule allows states considerable flexibility in how to best implement its requirements, Minnesota Power plans to work closely with the MPCA and the Minnesota Department of Commerce, who are currently co-reviewing the rule as the state develops its SIP. If a state does not submit a SIP or submits a SIP that is unacceptable to the EPA, the EPA will develop a Federal Implementation Plan. The MPCA currently plans to develop a SIP for the Affordable Clean Energy Rule.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Minnesota had already initiated several measures consistent with those called for under the now repealed CPP and finalized Affordable Clean Energy Rule. Minnesota Power continues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(See Note 2. Regulatory Matters.) We are unable to predict the GHG emission compliance costs we might incur as a result of the Affordable Clean Energy Rule and the resulting SIP; however, the costs could be material. Minnesota Power would seek recovery of additional costs through a rate proceeding.</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101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Steam Electric Power Generating Effluent Limitations Guidelines. </w:t>
      </w:r>
      <w:r>
        <w:rPr>
          <w:rFonts w:ascii="Arial" w:cs="Arial" w:eastAsia="Arial" w:hAnsi="Arial"/>
          <w:sz w:val="16"/>
          <w:szCs w:val="16"/>
          <w:color w:val="auto"/>
        </w:rPr>
        <w:t>In 2015, the EPA issued revised federal effluent limitation guidelines (ELG) for steam</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reconsiders the bottom ash transport water and FGD wastewater provisions. On April 12, 2019, the U.S. Court of Appeals for the Fifth Circuit vacated and remanded back to the EPA portions of the ELG that allowed for continued discharge of legacy wastewater and leachate. On November 22, 2019, the EPA published a draft rulemaking that proposes to allow re-use of bottom ash transport water in FGD scrubber systems with minor discharges related to maintaining system water balance. The proposed rulemaking would also allow future discharge of FGD wastewater discharge provided it meets new BACT standards. A final rulemaking is anticipated in mid to late 2020.</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ELG's potential impact on Minnesota Power operations is primarily at Boswell. Boswell currently discharges bottom ash contact water through its NPDES permit, and also has a closed-loop FGD system that does not discharge to surface waters, but may do so in the future if additional water treatment measures are implemented. Under the current ELG rule, bottom ash transport water discharge to surface waters must cease no later than December 31, 2023. Bottom ash contact water will either need to be re-used in a closed-loop process, routed to a FGD scrubber, or the bottom ash handling system will need to be converted to a dry process. The ELG rule provision regarding these two waste-streams are being reconsidered and may change prior to November 1, 2020. Efforts have been underway at Boswell to reduce the amount of water discharged and evaluate potential re-use options in its plant processes. The EPA’s additional reconsideration of legacy wastewater discharge requirements have the potential to reduce time lines for dewatering Boswell’s existing bottom ash pond. The timing of a draft rule addressing legacy wastewater and leachate is currently unknown.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 re-use. Minnesota Power would seek recovery of additional costs through a rate proceeding.</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Solid and Hazardous Waste. </w:t>
      </w:r>
      <w:r>
        <w:rPr>
          <w:rFonts w:ascii="Arial" w:cs="Arial" w:eastAsia="Arial" w:hAnsi="Arial"/>
          <w:sz w:val="18"/>
          <w:szCs w:val="18"/>
          <w:color w:val="auto"/>
        </w:rPr>
        <w:t>The Resource Conservation and Recovery Act of 1976 regulates the management and disposal of solid and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wastes. We are required to notify the EPA of hazardous waste activity and, consequently, routinely submit reports to the EPA.</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stores or disposes coal ash at four of its electric generating facilities by the following methods: storing</w:t>
      </w:r>
      <w:r>
        <w:rPr>
          <w:rFonts w:ascii="Arial" w:cs="Arial" w:eastAsia="Arial" w:hAnsi="Arial"/>
          <w:sz w:val="18"/>
          <w:szCs w:val="18"/>
          <w:i w:val="1"/>
          <w:iCs w:val="1"/>
          <w:color w:val="auto"/>
        </w:rPr>
        <w:t xml:space="preserve"> </w:t>
      </w:r>
      <w:r>
        <w:rPr>
          <w:rFonts w:ascii="Arial" w:cs="Arial" w:eastAsia="Arial" w:hAnsi="Arial"/>
          <w:sz w:val="18"/>
          <w:szCs w:val="18"/>
          <w:color w:val="auto"/>
        </w:rPr>
        <w:t>ash in clay-lined onsite impoundments (ash ponds), disposing of dry ash in a lined dry ash landfill, applying ash to land as an approved beneficial use and trucking ash to state permitted landfills.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Coal Combustion Residuals from Electric Utilities (CCR). </w:t>
      </w:r>
      <w:r>
        <w:rPr>
          <w:rFonts w:ascii="Arial" w:cs="Arial" w:eastAsia="Arial" w:hAnsi="Arial"/>
          <w:sz w:val="17"/>
          <w:szCs w:val="17"/>
          <w:color w:val="auto"/>
        </w:rPr>
        <w:t>In 2015, the EPA published the final rule regulating CCR as nonhazardous waste under Subtitle</w:t>
      </w:r>
      <w:r>
        <w:rPr>
          <w:rFonts w:ascii="Arial" w:cs="Arial" w:eastAsia="Arial" w:hAnsi="Arial"/>
          <w:sz w:val="17"/>
          <w:szCs w:val="17"/>
          <w:i w:val="1"/>
          <w:iCs w:val="1"/>
          <w:color w:val="auto"/>
        </w:rPr>
        <w:t xml:space="preserve"> </w:t>
      </w:r>
      <w:r>
        <w:rPr>
          <w:rFonts w:ascii="Arial" w:cs="Arial" w:eastAsia="Arial" w:hAnsi="Arial"/>
          <w:sz w:val="17"/>
          <w:szCs w:val="17"/>
          <w:color w:val="auto"/>
        </w:rPr>
        <w:t>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occur primarily over the next 15 years and be between approximately $65 million and $120 million. Compliance costs for CCR at Taconite Harbor are not expected to be material. Minnesota Power would seek recovery of additional costs through a rate proceeding.</w:t>
      </w:r>
    </w:p>
    <w:p>
      <w:pPr>
        <w:spacing w:after="0" w:line="176"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Minnesota Power continues to work on minimizing costs through evaluation of beneficial re-use and recycling of CCR and CCR</w:t>
      </w:r>
      <w:r>
        <w:rPr>
          <w:rFonts w:ascii="MS PGothic" w:cs="MS PGothic" w:eastAsia="MS PGothic" w:hAnsi="MS PGothic"/>
          <w:sz w:val="17"/>
          <w:szCs w:val="17"/>
          <w:color w:val="auto"/>
        </w:rPr>
        <w:t>‑</w:t>
      </w:r>
      <w:r>
        <w:rPr>
          <w:rFonts w:ascii="Arial" w:cs="Arial" w:eastAsia="Arial" w:hAnsi="Arial"/>
          <w:sz w:val="17"/>
          <w:szCs w:val="17"/>
          <w:color w:val="auto"/>
        </w:rPr>
        <w:t>related waters. In 2017, the EPA announced its intention to formally reconsider the CCR rule under Subtitle D of the RCRA and in March 2018, published the first phase of the proposed rule revisions in the Federal Register. In July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August 2018, a U.S. District Court for the District of Columbia decision vacated specific provisions of the CCR rule. The court decision changed the status of three existing impoundments at Boswell that must now be considered unlined. The EPA proposed additional rule revisions in August and December 2019 to address outstanding issues from litigation and closure timelines for unlined impoundments, respectively. These rules are anticipated to be finalized in 2020 and could impact the timing of closure activities for Boswell’s three impoundments. Additionally, the EPA recently released a proposed Part B rulemaking that addresses options for beneficial reuse of CCR materials, alternative liner demonstrations, and other CCR regulatory revisions. Compliance costs at Boswell due to the court decision are unknown at this time. Minnesota Power would seek recovery of additional costs through a rate proceeding.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240"/>
          </w:cols>
          <w:pgMar w:left="320" w:top="101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located in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SWL&amp;P has been working with the Wisconsin Department of Natural Resources (WDNR) in determining the extent of contamination at the site and surrounding properties. In December 2017, the WDNR authorized SWL&amp;P to transition from site investigation into the remedial design process. As of March 31, 2020, we have recorded a liability of approximately $7 million for remediation costs at this site (approximately $7 million as of December 31, 2019). SWL&amp;P has also recorded an associated regulatory asset as we expect recovery of these remediation costs to be allowed by the PSCW. Remediation costs are expected to be incurred through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2022 and 2039. As of March 31, 2020, ALLETE Clean Energy has $59.6 million outstanding in standby letters of credit, the majority of which are held as security under these PSAs and PSAs for wind energy facilities under development.</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BNI Energy. </w:t>
      </w:r>
      <w:r>
        <w:rPr>
          <w:rFonts w:ascii="Arial" w:cs="Arial" w:eastAsia="Arial" w:hAnsi="Arial"/>
          <w:sz w:val="18"/>
          <w:szCs w:val="18"/>
          <w:color w:val="auto"/>
        </w:rPr>
        <w:t>As of March 31, 2020, BNI Energy had surety bonds outstanding of $67.7 million related to the reclamation liability for closing costs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its mine and mine facilities. Although its coal supply agreements obligate the customers to provide for the closing costs, additional assurance is required by federal and state regulations. BNI Energy’s total reclamation liability is currently estimated at $67.3 million. BNI Energy does not believe it is likely that any of these outstanding surety bonds will be drawn upon.</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ALLETE Properties. </w:t>
      </w:r>
      <w:r>
        <w:rPr>
          <w:rFonts w:ascii="Arial" w:cs="Arial" w:eastAsia="Arial" w:hAnsi="Arial"/>
          <w:sz w:val="17"/>
          <w:szCs w:val="17"/>
          <w:color w:val="auto"/>
        </w:rPr>
        <w:t>As of March 31, 2020, ALLETE Properties had surety bonds outstanding and letters of credit to governmental entities totaling</w:t>
      </w:r>
      <w:r>
        <w:rPr>
          <w:rFonts w:ascii="Arial" w:cs="Arial" w:eastAsia="Arial" w:hAnsi="Arial"/>
          <w:sz w:val="17"/>
          <w:szCs w:val="17"/>
          <w:b w:val="1"/>
          <w:bCs w:val="1"/>
          <w:color w:val="auto"/>
        </w:rPr>
        <w:t xml:space="preserve"> </w:t>
      </w:r>
      <w:r>
        <w:rPr>
          <w:rFonts w:ascii="Arial" w:cs="Arial" w:eastAsia="Arial" w:hAnsi="Arial"/>
          <w:sz w:val="17"/>
          <w:szCs w:val="17"/>
          <w:color w:val="auto"/>
        </w:rPr>
        <w:t>$4.1 million primarily related to development and maintenance obligations for various projects. The estimated cost of the remaining development work is $2.0 million. ALLETE Properties does not believe it is likely that any of these outstanding surety bonds or letters of credit will be drawn upon.</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Community Development District Obligations. </w:t>
      </w:r>
      <w:r>
        <w:rPr>
          <w:rFonts w:ascii="Arial" w:cs="Arial" w:eastAsia="Arial" w:hAnsi="Arial"/>
          <w:sz w:val="18"/>
          <w:szCs w:val="18"/>
          <w:color w:val="auto"/>
        </w:rPr>
        <w:t>As of March 31, 2020, we owned 53 percent of the assessable land in the Town Center District (53</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as of December 31, 2019). As of March 31, 2020, ownership levels, our annual assessments related to capital improvement and special assessment bonds for the ALLETE Properties project within the district is approximately $1.9 million. As we sell property at this project, the obligation to pay special assessments will pass to the new landowners. In accordance with accounting guidance, these bonds are not reflected as debt on our Consolidated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 AND COMMON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Dilutive</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Dilutive</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Securities</w:t>
            </w: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Diluted</w:t>
            </w: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Securities</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1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$66.3</w:t>
            </w:r>
          </w:p>
        </w:tc>
        <w:tc>
          <w:tcPr>
            <w:tcW w:w="1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$70.5</w:t>
            </w:r>
          </w:p>
        </w:tc>
        <w:tc>
          <w:tcPr>
            <w:tcW w:w="1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51.7</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51.6</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$1.28</w:t>
            </w:r>
          </w:p>
        </w:tc>
        <w:tc>
          <w:tcPr>
            <w:tcW w:w="1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$1.37</w:t>
            </w:r>
          </w:p>
        </w:tc>
        <w:tc>
          <w:tcPr>
            <w:tcW w:w="1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ectPr>
          <w:pgSz w:w="11900" w:h="16838" w:orient="portrait"/>
          <w:cols w:equalWidth="0" w:num="1">
            <w:col w:w="11240"/>
          </w:cols>
          <w:pgMar w:left="320" w:top="1012"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240"/>
          </w:cols>
          <w:pgMar w:left="320" w:top="1012"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Arial" w:cs="Arial" w:eastAsia="Arial" w:hAnsi="Arial"/>
                <w:sz w:val="18"/>
                <w:szCs w:val="18"/>
                <w:b w:val="1"/>
                <w:bCs w:val="1"/>
                <w:color w:val="auto"/>
              </w:rPr>
              <w:t>NOTE 8. INCOME TAX EXPENSE</w:t>
            </w:r>
          </w:p>
        </w:tc>
        <w:tc>
          <w:tcPr>
            <w:tcW w:w="40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6360" w:type="dxa"/>
            <w:vAlign w:val="bottom"/>
          </w:tcPr>
          <w:p>
            <w:pPr>
              <w:spacing w:after="0"/>
              <w:rPr>
                <w:sz w:val="24"/>
                <w:szCs w:val="24"/>
                <w:color w:val="auto"/>
              </w:rPr>
            </w:pPr>
          </w:p>
        </w:tc>
        <w:tc>
          <w:tcPr>
            <w:tcW w:w="48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360" w:type="dxa"/>
            <w:vAlign w:val="bottom"/>
          </w:tcPr>
          <w:p>
            <w:pPr>
              <w:spacing w:after="0"/>
              <w:rPr>
                <w:sz w:val="23"/>
                <w:szCs w:val="23"/>
                <w:color w:val="auto"/>
              </w:rPr>
            </w:pPr>
          </w:p>
        </w:tc>
        <w:tc>
          <w:tcPr>
            <w:tcW w:w="40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23"/>
                <w:szCs w:val="23"/>
                <w:color w:val="auto"/>
              </w:rPr>
            </w:pPr>
          </w:p>
        </w:tc>
      </w:tr>
      <w:tr>
        <w:trPr>
          <w:trHeight w:val="270"/>
        </w:trPr>
        <w:tc>
          <w:tcPr>
            <w:tcW w:w="6360" w:type="dxa"/>
            <w:vAlign w:val="bottom"/>
          </w:tcPr>
          <w:p>
            <w:pPr>
              <w:spacing w:after="0"/>
              <w:rPr>
                <w:sz w:val="23"/>
                <w:szCs w:val="23"/>
                <w:color w:val="auto"/>
              </w:rPr>
            </w:pPr>
          </w:p>
        </w:tc>
        <w:tc>
          <w:tcPr>
            <w:tcW w:w="402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2019</w:t>
            </w:r>
          </w:p>
        </w:tc>
      </w:tr>
      <w:tr>
        <w:trPr>
          <w:trHeight w:val="27"/>
        </w:trPr>
        <w:tc>
          <w:tcPr>
            <w:tcW w:w="63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4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Federal</w:t>
            </w:r>
          </w:p>
        </w:tc>
        <w:tc>
          <w:tcPr>
            <w:tcW w:w="40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40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37"/>
        </w:trPr>
        <w:tc>
          <w:tcPr>
            <w:tcW w:w="63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Income Tax Expense</w:t>
            </w:r>
          </w:p>
        </w:tc>
        <w:tc>
          <w:tcPr>
            <w:tcW w:w="40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$0.3</w:t>
            </w:r>
          </w:p>
        </w:tc>
      </w:tr>
      <w:tr>
        <w:trPr>
          <w:trHeight w:val="27"/>
        </w:trPr>
        <w:tc>
          <w:tcPr>
            <w:tcW w:w="63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 (Benefit)</w:t>
            </w:r>
          </w:p>
        </w:tc>
        <w:tc>
          <w:tcPr>
            <w:tcW w:w="4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4020" w:type="dxa"/>
            <w:vAlign w:val="bottom"/>
          </w:tcPr>
          <w:p>
            <w:pPr>
              <w:jc w:val="right"/>
              <w:ind w:right="830"/>
              <w:spacing w:after="0"/>
              <w:rPr>
                <w:sz w:val="20"/>
                <w:szCs w:val="20"/>
                <w:color w:val="auto"/>
              </w:rPr>
            </w:pPr>
            <w:r>
              <w:rPr>
                <w:rFonts w:ascii="Arial" w:cs="Arial" w:eastAsia="Arial" w:hAnsi="Arial"/>
                <w:sz w:val="18"/>
                <w:szCs w:val="18"/>
                <w:color w:val="auto"/>
              </w:rPr>
              <w:t>$(17.6)</w:t>
            </w:r>
          </w:p>
        </w:tc>
        <w:tc>
          <w:tcPr>
            <w:tcW w:w="860" w:type="dxa"/>
            <w:vAlign w:val="bottom"/>
          </w:tcPr>
          <w:p>
            <w:pPr>
              <w:jc w:val="right"/>
              <w:ind w:right="330"/>
              <w:spacing w:after="0"/>
              <w:rPr>
                <w:sz w:val="20"/>
                <w:szCs w:val="20"/>
                <w:color w:val="auto"/>
              </w:rPr>
            </w:pPr>
            <w:r>
              <w:rPr>
                <w:rFonts w:ascii="Arial" w:cs="Arial" w:eastAsia="Arial" w:hAnsi="Arial"/>
                <w:sz w:val="18"/>
                <w:szCs w:val="18"/>
                <w:color w:val="auto"/>
                <w:w w:val="89"/>
              </w:rPr>
              <w:t>$(9.7)</w:t>
            </w:r>
          </w:p>
        </w:tc>
      </w:tr>
      <w:tr>
        <w:trPr>
          <w:trHeight w:val="27"/>
        </w:trPr>
        <w:tc>
          <w:tcPr>
            <w:tcW w:w="63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6"/>
                <w:szCs w:val="16"/>
                <w:i w:val="1"/>
                <w:iCs w:val="1"/>
                <w:color w:val="auto"/>
              </w:rPr>
              <w:t>(c)</w:t>
            </w:r>
          </w:p>
        </w:tc>
        <w:tc>
          <w:tcPr>
            <w:tcW w:w="40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4.0</w:t>
            </w: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12.5</w:t>
            </w: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4020" w:type="dxa"/>
            <w:vAlign w:val="bottom"/>
          </w:tcPr>
          <w:p>
            <w:pPr>
              <w:jc w:val="right"/>
              <w:ind w:right="550"/>
              <w:spacing w:after="0"/>
              <w:rPr>
                <w:sz w:val="20"/>
                <w:szCs w:val="20"/>
                <w:color w:val="auto"/>
              </w:rPr>
            </w:pPr>
            <w:r>
              <w:rPr>
                <w:rFonts w:ascii="Arial" w:cs="Arial" w:eastAsia="Arial" w:hAnsi="Arial"/>
                <w:sz w:val="18"/>
                <w:szCs w:val="18"/>
                <w:color w:val="auto"/>
              </w:rPr>
              <w:t>(0.2)</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63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8"/>
        </w:trPr>
        <w:tc>
          <w:tcPr>
            <w:tcW w:w="6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Income Tax Expense (Benefit)</w:t>
            </w:r>
          </w:p>
        </w:tc>
        <w:tc>
          <w:tcPr>
            <w:tcW w:w="40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$(13.8)</w:t>
            </w: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r>
      <w:tr>
        <w:trPr>
          <w:trHeight w:val="23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 (Benefit)</w:t>
            </w:r>
          </w:p>
        </w:tc>
        <w:tc>
          <w:tcPr>
            <w:tcW w:w="40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$(13.8)</w:t>
            </w:r>
          </w:p>
        </w:tc>
        <w:tc>
          <w:tcPr>
            <w:tcW w:w="8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$2.9</w:t>
            </w:r>
          </w:p>
        </w:tc>
      </w:tr>
      <w:tr>
        <w:trPr>
          <w:trHeight w:val="27"/>
        </w:trPr>
        <w:tc>
          <w:tcPr>
            <w:tcW w:w="63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jc w:val="both"/>
        <w:ind w:left="340" w:hanging="332"/>
        <w:spacing w:after="0" w:line="252"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three months ended March 31, 2020, and 2019, the federal and state current tax expense was minimal due to NOLs which resulted from the bonus depreciation provisions of the Protecting Americans from Tax Hikes Act of 2015, the Tax Increase Prevention Act of 2014 and the American Taxpayer Relief Act of 2012. Federal and state NOLs are being carried forward to offset current and future taxable income.</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three months ended March 31, 2020, and 2019, the federal income tax benefit is primarily due to production tax credits.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For the three months ended March 31, 2019, the state income tax expense is primarily related to the sale of U.S. Water Services.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45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7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23"/>
                <w:szCs w:val="23"/>
                <w:color w:val="auto"/>
              </w:rPr>
            </w:pP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3740" w:type="dxa"/>
            <w:vAlign w:val="bottom"/>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67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74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$50.7</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$73.4</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3740" w:type="dxa"/>
            <w:vAlign w:val="bottom"/>
          </w:tcPr>
          <w:p>
            <w:pPr>
              <w:jc w:val="right"/>
              <w:ind w:right="450"/>
              <w:spacing w:after="0"/>
              <w:rPr>
                <w:sz w:val="20"/>
                <w:szCs w:val="20"/>
                <w:color w:val="auto"/>
              </w:rPr>
            </w:pPr>
            <w:r>
              <w:rPr>
                <w:rFonts w:ascii="Arial" w:cs="Arial" w:eastAsia="Arial" w:hAnsi="Arial"/>
                <w:sz w:val="18"/>
                <w:szCs w:val="18"/>
                <w:color w:val="auto"/>
              </w:rPr>
              <w:t>21%</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7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Statutory Federal Rate</w:t>
            </w:r>
          </w:p>
        </w:tc>
        <w:tc>
          <w:tcPr>
            <w:tcW w:w="374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$10.6</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Increase (Decrease) in Income Tax Due to:</w:t>
            </w:r>
          </w:p>
        </w:tc>
        <w:tc>
          <w:tcPr>
            <w:tcW w:w="37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374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3.2</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3740" w:type="dxa"/>
            <w:vAlign w:val="bottom"/>
          </w:tcPr>
          <w:p>
            <w:pPr>
              <w:jc w:val="right"/>
              <w:ind w:right="530"/>
              <w:spacing w:after="0"/>
              <w:rPr>
                <w:sz w:val="20"/>
                <w:szCs w:val="20"/>
                <w:color w:val="auto"/>
              </w:rPr>
            </w:pPr>
            <w:r>
              <w:rPr>
                <w:rFonts w:ascii="Arial" w:cs="Arial" w:eastAsia="Arial" w:hAnsi="Arial"/>
                <w:sz w:val="18"/>
                <w:szCs w:val="18"/>
                <w:color w:val="auto"/>
              </w:rPr>
              <w:t>(23.8)</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(16.3)</w:t>
            </w:r>
          </w:p>
        </w:tc>
      </w:tr>
      <w:tr>
        <w:trPr>
          <w:trHeight w:val="27"/>
        </w:trPr>
        <w:tc>
          <w:tcPr>
            <w:tcW w:w="6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Differences – Excess Deferred Tax</w:t>
            </w:r>
          </w:p>
        </w:tc>
        <w:tc>
          <w:tcPr>
            <w:tcW w:w="3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(4.4)</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U.S. Water Services Sale of Stock Basis Difference</w:t>
            </w:r>
          </w:p>
        </w:tc>
        <w:tc>
          <w:tcPr>
            <w:tcW w:w="37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2.4</w:t>
            </w:r>
          </w:p>
        </w:tc>
      </w:tr>
      <w:tr>
        <w:trPr>
          <w:trHeight w:val="27"/>
        </w:trPr>
        <w:tc>
          <w:tcPr>
            <w:tcW w:w="6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3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(0.1)</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r>
      <w:tr>
        <w:trPr>
          <w:trHeight w:val="243"/>
        </w:trPr>
        <w:tc>
          <w:tcPr>
            <w:tcW w:w="6700" w:type="dxa"/>
            <w:vAlign w:val="bottom"/>
          </w:tcPr>
          <w:p>
            <w:pPr>
              <w:ind w:left="280"/>
              <w:spacing w:after="0"/>
              <w:rPr>
                <w:sz w:val="20"/>
                <w:szCs w:val="20"/>
                <w:color w:val="auto"/>
              </w:rPr>
            </w:pPr>
            <w:r>
              <w:rPr>
                <w:rFonts w:ascii="Arial" w:cs="Arial" w:eastAsia="Arial" w:hAnsi="Arial"/>
                <w:sz w:val="18"/>
                <w:szCs w:val="18"/>
                <w:color w:val="auto"/>
              </w:rPr>
              <w:t>Other</w:t>
            </w:r>
          </w:p>
        </w:tc>
        <w:tc>
          <w:tcPr>
            <w:tcW w:w="3740" w:type="dxa"/>
            <w:vAlign w:val="bottom"/>
          </w:tcPr>
          <w:p>
            <w:pPr>
              <w:jc w:val="right"/>
              <w:ind w:right="590"/>
              <w:spacing w:after="0"/>
              <w:rPr>
                <w:sz w:val="20"/>
                <w:szCs w:val="20"/>
                <w:color w:val="auto"/>
              </w:rPr>
            </w:pPr>
            <w:r>
              <w:rPr>
                <w:rFonts w:ascii="Arial" w:cs="Arial" w:eastAsia="Arial" w:hAnsi="Arial"/>
                <w:sz w:val="18"/>
                <w:szCs w:val="18"/>
                <w:color w:val="auto"/>
              </w:rPr>
              <w:t>0.7</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(4.6)</w:t>
            </w:r>
          </w:p>
        </w:tc>
      </w:tr>
      <w:tr>
        <w:trPr>
          <w:trHeight w:val="27"/>
        </w:trPr>
        <w:tc>
          <w:tcPr>
            <w:tcW w:w="67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374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$(13.8)</w:t>
            </w:r>
          </w:p>
        </w:tc>
        <w:tc>
          <w:tcPr>
            <w:tcW w:w="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r>
      <w:tr>
        <w:trPr>
          <w:trHeight w:val="20"/>
        </w:trPr>
        <w:tc>
          <w:tcPr>
            <w:tcW w:w="670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the effective tax rate was a benefit of 27.2 percent (expense of 4.0 percent for the three months ended March 31, 2019). The effective tax rate for 2020 was primarily impacted by production tax credits. The effective tax rate for 2019 was primarily impacted by production tax credits and the gain on sale of U.S. Water Services.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March 31, 2020, we had gross unrecognized tax benefits of $1.4 million ($1.4 million as of December 31, 2019).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gross unrecognized tax benefits, $0.6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ectPr>
          <w:pgSz w:w="11900" w:h="16838" w:orient="portrait"/>
          <w:cols w:equalWidth="0" w:num="1">
            <w:col w:w="11240"/>
          </w:cols>
          <w:pgMar w:left="320" w:top="1012"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240"/>
          </w:cols>
          <w:pgMar w:left="320" w:top="1012"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8. INCOME TAX EXPENSE (Continued)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and its subsidiaries file a consolidated federal income tax return as well as combined and separate state income tax returns in various jurisdictions. ALLETE has no open federal or state audits, and is no longer subject to federal examination for years before 2016, or state examination for years before 2015.</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NOTE 9. PENSION AND OTHER POSTRETIREMENT BENEFIT PLANS</w:t>
            </w:r>
          </w:p>
        </w:tc>
        <w:tc>
          <w:tcPr>
            <w:tcW w:w="1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41"/>
        </w:trPr>
        <w:tc>
          <w:tcPr>
            <w:tcW w:w="6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jc w:val="right"/>
              <w:ind w:right="830"/>
              <w:spacing w:after="0"/>
              <w:rPr>
                <w:sz w:val="20"/>
                <w:szCs w:val="20"/>
                <w:color w:val="auto"/>
              </w:rPr>
            </w:pPr>
            <w:r>
              <w:rPr>
                <w:rFonts w:ascii="Arial" w:cs="Arial" w:eastAsia="Arial" w:hAnsi="Arial"/>
                <w:sz w:val="18"/>
                <w:szCs w:val="18"/>
                <w:b w:val="1"/>
                <w:bCs w:val="1"/>
                <w:color w:val="auto"/>
                <w:w w:val="91"/>
              </w:rPr>
              <w:t>Other</w:t>
            </w:r>
          </w:p>
        </w:tc>
      </w:tr>
      <w:tr>
        <w:trPr>
          <w:trHeight w:val="234"/>
        </w:trPr>
        <w:tc>
          <w:tcPr>
            <w:tcW w:w="63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00" w:type="dxa"/>
            <w:vAlign w:val="bottom"/>
          </w:tcPr>
          <w:p>
            <w:pPr>
              <w:spacing w:after="0"/>
              <w:rPr>
                <w:sz w:val="20"/>
                <w:szCs w:val="20"/>
                <w:color w:val="auto"/>
              </w:rPr>
            </w:pPr>
          </w:p>
        </w:tc>
        <w:tc>
          <w:tcPr>
            <w:tcW w:w="23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62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2019</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7"/>
        </w:trPr>
        <w:tc>
          <w:tcPr>
            <w:tcW w:w="6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1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620" w:type="dxa"/>
            <w:vAlign w:val="bottom"/>
          </w:tcPr>
          <w:p>
            <w:pPr>
              <w:jc w:val="right"/>
              <w:ind w:right="550"/>
              <w:spacing w:after="0"/>
              <w:rPr>
                <w:sz w:val="20"/>
                <w:szCs w:val="20"/>
                <w:color w:val="auto"/>
              </w:rPr>
            </w:pPr>
            <w:r>
              <w:rPr>
                <w:rFonts w:ascii="Arial" w:cs="Arial" w:eastAsia="Arial" w:hAnsi="Arial"/>
                <w:sz w:val="18"/>
                <w:szCs w:val="18"/>
                <w:color w:val="auto"/>
              </w:rPr>
              <w:t>$2.6</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620" w:type="dxa"/>
            <w:vAlign w:val="bottom"/>
          </w:tcPr>
          <w:p>
            <w:pPr>
              <w:jc w:val="right"/>
              <w:ind w:right="550"/>
              <w:spacing w:after="0"/>
              <w:rPr>
                <w:sz w:val="20"/>
                <w:szCs w:val="20"/>
                <w:color w:val="auto"/>
              </w:rPr>
            </w:pPr>
            <w:r>
              <w:rPr>
                <w:rFonts w:ascii="Arial" w:cs="Arial" w:eastAsia="Arial" w:hAnsi="Arial"/>
                <w:sz w:val="18"/>
                <w:szCs w:val="18"/>
                <w:color w:val="auto"/>
              </w:rPr>
              <w:t>7.0</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8.0</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1.9</w:t>
            </w: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6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(10.7)</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Amortization of Prior Service Credits</w:t>
            </w:r>
          </w:p>
        </w:tc>
        <w:tc>
          <w:tcPr>
            <w:tcW w:w="16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(0.4)</w:t>
            </w: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Net Loss</w:t>
            </w:r>
          </w:p>
        </w:tc>
        <w:tc>
          <w:tcPr>
            <w:tcW w:w="16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3.2</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37"/>
        </w:trPr>
        <w:tc>
          <w:tcPr>
            <w:tcW w:w="6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 (Credit)</w:t>
            </w:r>
          </w:p>
        </w:tc>
        <w:tc>
          <w:tcPr>
            <w:tcW w:w="162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$2.1</w:t>
            </w:r>
          </w:p>
        </w:tc>
        <w:tc>
          <w:tcPr>
            <w:tcW w:w="9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$1.1</w:t>
            </w: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$(2.1)</w:t>
            </w:r>
          </w:p>
        </w:tc>
        <w:tc>
          <w:tcPr>
            <w:tcW w:w="1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benefit cost (credit) are included in the line item “Other” under Other Income (Expense) on the Consolidated Statement of Income.</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three months ended March 31, 2020, we contributed $10.7 million in cash to the defined benefit pension plans</w:t>
      </w:r>
      <w:r>
        <w:rPr>
          <w:rFonts w:ascii="Arial" w:cs="Arial" w:eastAsia="Arial" w:hAnsi="Arial"/>
          <w:sz w:val="18"/>
          <w:szCs w:val="18"/>
          <w:b w:val="1"/>
          <w:bCs w:val="1"/>
          <w:color w:val="auto"/>
        </w:rPr>
        <w:t xml:space="preserve"> </w:t>
      </w:r>
      <w:r>
        <w:rPr>
          <w:rFonts w:ascii="Arial" w:cs="Arial" w:eastAsia="Arial" w:hAnsi="Arial"/>
          <w:sz w:val="18"/>
          <w:szCs w:val="18"/>
          <w:color w:val="auto"/>
        </w:rPr>
        <w:t>($10.4 million for the three months ended March 31, 2019); we do not expect to make additional contributions to our defined benefit pension plans in 2020. For the three months ended March 31, 2020, and 2019, we made no contributions to our other postretirement benefit plans; we do not expect to make any contributions to our other postretirement benefit plans in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was our integrated water management company, which is reflected in operating results until it was sold in March 2019. We also present Corporate and Other which includes two operating segments, BNI Energy, our coal mining operations in North Dakota, and ALLETE Properties, our legacy Florida real estate investment, along with our investment in Nobles 2, other business development and corporate expenditures, unallocated interest expense, a small amount of non-rate base generation, approximately 4,000 acres of land in Minnesota, and earnings on cash and investments.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1012"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NOTE 10. BUSINESS SEGMENTS (Continued)</w:t>
            </w:r>
          </w:p>
        </w:tc>
        <w:tc>
          <w:tcPr>
            <w:tcW w:w="37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6520" w:type="dxa"/>
            <w:vAlign w:val="bottom"/>
          </w:tcPr>
          <w:p>
            <w:pPr>
              <w:spacing w:after="0"/>
              <w:rPr>
                <w:sz w:val="24"/>
                <w:szCs w:val="24"/>
                <w:color w:val="auto"/>
              </w:rPr>
            </w:pPr>
          </w:p>
        </w:tc>
        <w:tc>
          <w:tcPr>
            <w:tcW w:w="47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520" w:type="dxa"/>
            <w:vAlign w:val="bottom"/>
          </w:tcPr>
          <w:p>
            <w:pPr>
              <w:spacing w:after="0"/>
              <w:rPr>
                <w:sz w:val="23"/>
                <w:szCs w:val="23"/>
                <w:color w:val="auto"/>
              </w:rPr>
            </w:pPr>
          </w:p>
        </w:tc>
        <w:tc>
          <w:tcPr>
            <w:tcW w:w="47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6520" w:type="dxa"/>
            <w:vAlign w:val="bottom"/>
          </w:tcPr>
          <w:p>
            <w:pPr>
              <w:spacing w:after="0"/>
              <w:rPr>
                <w:sz w:val="23"/>
                <w:szCs w:val="23"/>
                <w:color w:val="auto"/>
              </w:rPr>
            </w:pPr>
          </w:p>
        </w:tc>
        <w:tc>
          <w:tcPr>
            <w:tcW w:w="37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7"/>
        </w:trPr>
        <w:tc>
          <w:tcPr>
            <w:tcW w:w="65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Regulated Operations</w:t>
            </w:r>
          </w:p>
        </w:tc>
        <w:tc>
          <w:tcPr>
            <w:tcW w:w="37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w:t>
            </w:r>
          </w:p>
        </w:tc>
        <w:tc>
          <w:tcPr>
            <w:tcW w:w="3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$40.9</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3780" w:type="dxa"/>
            <w:vAlign w:val="bottom"/>
          </w:tcPr>
          <w:p>
            <w:pPr>
              <w:jc w:val="right"/>
              <w:ind w:right="190"/>
              <w:spacing w:after="0"/>
              <w:rPr>
                <w:sz w:val="20"/>
                <w:szCs w:val="20"/>
                <w:color w:val="auto"/>
              </w:rPr>
            </w:pPr>
            <w:r>
              <w:rPr>
                <w:rFonts w:ascii="Arial" w:cs="Arial" w:eastAsia="Arial" w:hAnsi="Arial"/>
                <w:sz w:val="18"/>
                <w:szCs w:val="18"/>
                <w:color w:val="auto"/>
              </w:rPr>
              <w:t>37.3</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38.9</w:t>
            </w:r>
          </w:p>
        </w:tc>
      </w:tr>
      <w:tr>
        <w:trPr>
          <w:trHeight w:val="27"/>
        </w:trPr>
        <w:tc>
          <w:tcPr>
            <w:tcW w:w="65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w:t>
            </w:r>
          </w:p>
        </w:tc>
        <w:tc>
          <w:tcPr>
            <w:tcW w:w="3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10.3</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Industrial</w:t>
            </w:r>
          </w:p>
        </w:tc>
        <w:tc>
          <w:tcPr>
            <w:tcW w:w="3780" w:type="dxa"/>
            <w:vAlign w:val="bottom"/>
          </w:tcPr>
          <w:p>
            <w:pPr>
              <w:jc w:val="right"/>
              <w:ind w:right="190"/>
              <w:spacing w:after="0"/>
              <w:rPr>
                <w:sz w:val="20"/>
                <w:szCs w:val="20"/>
                <w:color w:val="auto"/>
              </w:rPr>
            </w:pPr>
            <w:r>
              <w:rPr>
                <w:rFonts w:ascii="Arial" w:cs="Arial" w:eastAsia="Arial" w:hAnsi="Arial"/>
                <w:sz w:val="18"/>
                <w:szCs w:val="18"/>
                <w:color w:val="auto"/>
              </w:rPr>
              <w:t>118.8</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121.6</w:t>
            </w:r>
          </w:p>
        </w:tc>
      </w:tr>
      <w:tr>
        <w:trPr>
          <w:trHeight w:val="27"/>
        </w:trPr>
        <w:tc>
          <w:tcPr>
            <w:tcW w:w="65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Power Suppliers</w:t>
            </w:r>
          </w:p>
        </w:tc>
        <w:tc>
          <w:tcPr>
            <w:tcW w:w="3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38.3</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Other</w:t>
            </w:r>
          </w:p>
        </w:tc>
        <w:tc>
          <w:tcPr>
            <w:tcW w:w="3780" w:type="dxa"/>
            <w:vAlign w:val="bottom"/>
          </w:tcPr>
          <w:p>
            <w:pPr>
              <w:jc w:val="right"/>
              <w:ind w:right="190"/>
              <w:spacing w:after="0"/>
              <w:rPr>
                <w:sz w:val="20"/>
                <w:szCs w:val="20"/>
                <w:color w:val="auto"/>
              </w:rPr>
            </w:pPr>
            <w:r>
              <w:rPr>
                <w:rFonts w:ascii="Arial" w:cs="Arial" w:eastAsia="Arial" w:hAnsi="Arial"/>
                <w:sz w:val="18"/>
                <w:szCs w:val="18"/>
                <w:color w:val="auto"/>
              </w:rPr>
              <w:t>19.7</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65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Operations</w:t>
            </w:r>
          </w:p>
        </w:tc>
        <w:tc>
          <w:tcPr>
            <w:tcW w:w="3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265.3</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r>
      <w:tr>
        <w:trPr>
          <w:trHeight w:val="263"/>
        </w:trPr>
        <w:tc>
          <w:tcPr>
            <w:tcW w:w="6520" w:type="dxa"/>
            <w:vAlign w:val="bottom"/>
            <w:tcBorders>
              <w:top w:val="single" w:sz="8" w:color="auto"/>
            </w:tcBorders>
          </w:tcPr>
          <w:p>
            <w:pPr>
              <w:spacing w:after="0"/>
              <w:rPr>
                <w:sz w:val="22"/>
                <w:szCs w:val="22"/>
                <w:color w:val="auto"/>
              </w:rPr>
            </w:pPr>
          </w:p>
        </w:tc>
        <w:tc>
          <w:tcPr>
            <w:tcW w:w="37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ALLETE Clean Energy</w:t>
            </w:r>
          </w:p>
        </w:tc>
        <w:tc>
          <w:tcPr>
            <w:tcW w:w="3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Long-term PSA</w:t>
            </w:r>
          </w:p>
        </w:tc>
        <w:tc>
          <w:tcPr>
            <w:tcW w:w="3780" w:type="dxa"/>
            <w:vAlign w:val="bottom"/>
          </w:tcPr>
          <w:p>
            <w:pPr>
              <w:jc w:val="right"/>
              <w:ind w:right="190"/>
              <w:spacing w:after="0"/>
              <w:rPr>
                <w:sz w:val="20"/>
                <w:szCs w:val="20"/>
                <w:color w:val="auto"/>
              </w:rPr>
            </w:pPr>
            <w:r>
              <w:rPr>
                <w:rFonts w:ascii="Arial" w:cs="Arial" w:eastAsia="Arial" w:hAnsi="Arial"/>
                <w:sz w:val="18"/>
                <w:szCs w:val="18"/>
                <w:color w:val="auto"/>
              </w:rPr>
              <w:t>17.3</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65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2.8</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65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ALLETE Clean Energy</w:t>
            </w:r>
          </w:p>
        </w:tc>
        <w:tc>
          <w:tcPr>
            <w:tcW w:w="3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20.1</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65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spacing w:after="0"/>
              <w:rPr>
                <w:sz w:val="22"/>
                <w:szCs w:val="22"/>
                <w:color w:val="auto"/>
              </w:rPr>
            </w:pPr>
          </w:p>
        </w:tc>
        <w:tc>
          <w:tcPr>
            <w:tcW w:w="37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(a)</w:t>
            </w:r>
          </w:p>
        </w:tc>
        <w:tc>
          <w:tcPr>
            <w:tcW w:w="37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Point-in-Time</w:t>
            </w:r>
          </w:p>
        </w:tc>
        <w:tc>
          <w:tcPr>
            <w:tcW w:w="3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Contract</w:t>
            </w:r>
          </w:p>
        </w:tc>
        <w:tc>
          <w:tcPr>
            <w:tcW w:w="37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65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Project</w:t>
            </w:r>
          </w:p>
        </w:tc>
        <w:tc>
          <w:tcPr>
            <w:tcW w:w="3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37"/>
        </w:trPr>
        <w:tc>
          <w:tcPr>
            <w:tcW w:w="65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U.S. Water Services</w:t>
            </w:r>
          </w:p>
        </w:tc>
        <w:tc>
          <w:tcPr>
            <w:tcW w:w="3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w:t>
            </w:r>
          </w:p>
        </w:tc>
      </w:tr>
      <w:tr>
        <w:trPr>
          <w:trHeight w:val="27"/>
        </w:trPr>
        <w:tc>
          <w:tcPr>
            <w:tcW w:w="65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6520" w:type="dxa"/>
            <w:vAlign w:val="bottom"/>
            <w:shd w:val="clear" w:color="auto" w:fill="CCEEFF"/>
          </w:tcPr>
          <w:p>
            <w:pPr>
              <w:spacing w:after="0"/>
              <w:rPr>
                <w:sz w:val="22"/>
                <w:szCs w:val="22"/>
                <w:color w:val="auto"/>
              </w:rPr>
            </w:pPr>
          </w:p>
        </w:tc>
        <w:tc>
          <w:tcPr>
            <w:tcW w:w="37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37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Contract</w:t>
            </w:r>
          </w:p>
        </w:tc>
        <w:tc>
          <w:tcPr>
            <w:tcW w:w="3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22.4</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Other</w:t>
            </w:r>
          </w:p>
        </w:tc>
        <w:tc>
          <w:tcPr>
            <w:tcW w:w="3780" w:type="dxa"/>
            <w:vAlign w:val="bottom"/>
          </w:tcPr>
          <w:p>
            <w:pPr>
              <w:jc w:val="right"/>
              <w:ind w:right="190"/>
              <w:spacing w:after="0"/>
              <w:rPr>
                <w:sz w:val="20"/>
                <w:szCs w:val="20"/>
                <w:color w:val="auto"/>
              </w:rPr>
            </w:pPr>
            <w:r>
              <w:rPr>
                <w:rFonts w:ascii="Arial" w:cs="Arial" w:eastAsia="Arial" w:hAnsi="Arial"/>
                <w:sz w:val="18"/>
                <w:szCs w:val="18"/>
                <w:color w:val="auto"/>
              </w:rPr>
              <w:t>3.8</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65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Corporate and Other</w:t>
            </w:r>
          </w:p>
        </w:tc>
        <w:tc>
          <w:tcPr>
            <w:tcW w:w="3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26.2</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37"/>
        </w:trPr>
        <w:tc>
          <w:tcPr>
            <w:tcW w:w="6520" w:type="dxa"/>
            <w:vAlign w:val="bottom"/>
            <w:tcBorders>
              <w:top w:val="single" w:sz="8" w:color="auto"/>
            </w:tcBorders>
          </w:tcPr>
          <w:p>
            <w:pPr>
              <w:ind w:left="720"/>
              <w:spacing w:after="0"/>
              <w:rPr>
                <w:sz w:val="20"/>
                <w:szCs w:val="20"/>
                <w:color w:val="auto"/>
              </w:rPr>
            </w:pPr>
            <w:r>
              <w:rPr>
                <w:rFonts w:ascii="Arial" w:cs="Arial" w:eastAsia="Arial" w:hAnsi="Arial"/>
                <w:sz w:val="18"/>
                <w:szCs w:val="18"/>
                <w:b w:val="1"/>
                <w:bCs w:val="1"/>
                <w:color w:val="auto"/>
              </w:rPr>
              <w:t>Total Operating Revenue</w:t>
            </w:r>
          </w:p>
        </w:tc>
        <w:tc>
          <w:tcPr>
            <w:tcW w:w="3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$311.6</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$357.2</w:t>
            </w:r>
          </w:p>
        </w:tc>
      </w:tr>
      <w:tr>
        <w:trPr>
          <w:trHeight w:val="27"/>
        </w:trPr>
        <w:tc>
          <w:tcPr>
            <w:tcW w:w="65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ALLETE</w:t>
            </w:r>
          </w:p>
        </w:tc>
        <w:tc>
          <w:tcPr>
            <w:tcW w:w="3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3780" w:type="dxa"/>
            <w:vAlign w:val="bottom"/>
          </w:tcPr>
          <w:p>
            <w:pPr>
              <w:jc w:val="right"/>
              <w:ind w:right="190"/>
              <w:spacing w:after="0"/>
              <w:rPr>
                <w:sz w:val="20"/>
                <w:szCs w:val="20"/>
                <w:color w:val="auto"/>
              </w:rPr>
            </w:pPr>
            <w:r>
              <w:rPr>
                <w:rFonts w:ascii="Arial" w:cs="Arial" w:eastAsia="Arial" w:hAnsi="Arial"/>
                <w:sz w:val="18"/>
                <w:szCs w:val="18"/>
                <w:color w:val="auto"/>
              </w:rPr>
              <w:t>$57.5</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65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shd w:val="clear" w:color="auto" w:fill="CCEEFF"/>
          </w:tcPr>
          <w:p>
            <w:pPr>
              <w:spacing w:after="0"/>
              <w:rPr>
                <w:sz w:val="23"/>
                <w:szCs w:val="23"/>
                <w:color w:val="auto"/>
              </w:rPr>
            </w:pPr>
          </w:p>
        </w:tc>
        <w:tc>
          <w:tcPr>
            <w:tcW w:w="37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3780" w:type="dxa"/>
            <w:vAlign w:val="bottom"/>
          </w:tcPr>
          <w:p>
            <w:pPr>
              <w:jc w:val="right"/>
              <w:ind w:right="190"/>
              <w:spacing w:after="0"/>
              <w:rPr>
                <w:sz w:val="20"/>
                <w:szCs w:val="20"/>
                <w:color w:val="auto"/>
              </w:rPr>
            </w:pPr>
            <w:r>
              <w:rPr>
                <w:rFonts w:ascii="Arial" w:cs="Arial" w:eastAsia="Arial" w:hAnsi="Arial"/>
                <w:sz w:val="18"/>
                <w:szCs w:val="18"/>
                <w:color w:val="auto"/>
              </w:rPr>
              <w:t>11.7</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65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shd w:val="clear" w:color="auto" w:fill="CCEEFF"/>
          </w:tcPr>
          <w:p>
            <w:pPr>
              <w:spacing w:after="0"/>
              <w:rPr>
                <w:sz w:val="23"/>
                <w:szCs w:val="23"/>
                <w:color w:val="auto"/>
              </w:rPr>
            </w:pPr>
          </w:p>
        </w:tc>
        <w:tc>
          <w:tcPr>
            <w:tcW w:w="37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(a)</w:t>
            </w:r>
          </w:p>
        </w:tc>
        <w:tc>
          <w:tcPr>
            <w:tcW w:w="37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5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shd w:val="clear" w:color="auto" w:fill="CCEEFF"/>
          </w:tcPr>
          <w:p>
            <w:pPr>
              <w:spacing w:after="0"/>
              <w:rPr>
                <w:sz w:val="23"/>
                <w:szCs w:val="23"/>
                <w:color w:val="auto"/>
              </w:rPr>
            </w:pPr>
          </w:p>
        </w:tc>
        <w:tc>
          <w:tcPr>
            <w:tcW w:w="37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(a)</w:t>
            </w:r>
          </w:p>
        </w:tc>
        <w:tc>
          <w:tcPr>
            <w:tcW w:w="378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65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Net Income Attributable to ALLETE</w:t>
            </w:r>
          </w:p>
        </w:tc>
        <w:tc>
          <w:tcPr>
            <w:tcW w:w="3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$66.3</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r>
      <w:tr>
        <w:trPr>
          <w:trHeight w:val="20"/>
        </w:trPr>
        <w:tc>
          <w:tcPr>
            <w:tcW w:w="652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right="20" w:hanging="332"/>
        <w:spacing w:after="0" w:line="275"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 March 2019, ALLETE sold U.S. Water Services. The Company recognized a gain on the sale of $9.9 million after-tax during the three months ended March 31, 2019, which is reflected in Corporate and Other.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444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20" w:type="dxa"/>
            <w:vAlign w:val="bottom"/>
          </w:tcPr>
          <w:p>
            <w:pPr>
              <w:spacing w:after="0"/>
              <w:rPr>
                <w:sz w:val="20"/>
                <w:szCs w:val="20"/>
                <w:color w:val="auto"/>
              </w:rPr>
            </w:pPr>
          </w:p>
        </w:tc>
        <w:tc>
          <w:tcPr>
            <w:tcW w:w="444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54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6"/>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4440" w:type="dxa"/>
            <w:vAlign w:val="bottom"/>
          </w:tcPr>
          <w:p>
            <w:pPr>
              <w:jc w:val="right"/>
              <w:ind w:right="90"/>
              <w:spacing w:after="0"/>
              <w:rPr>
                <w:sz w:val="20"/>
                <w:szCs w:val="20"/>
                <w:color w:val="auto"/>
              </w:rPr>
            </w:pPr>
            <w:r>
              <w:rPr>
                <w:rFonts w:ascii="Arial" w:cs="Arial" w:eastAsia="Arial" w:hAnsi="Arial"/>
                <w:sz w:val="18"/>
                <w:szCs w:val="18"/>
                <w:color w:val="auto"/>
              </w:rPr>
              <w:t>$4,145.5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$4,130.8</w:t>
            </w:r>
          </w:p>
        </w:tc>
      </w:tr>
      <w:tr>
        <w:trPr>
          <w:trHeight w:val="27"/>
        </w:trPr>
        <w:tc>
          <w:tcPr>
            <w:tcW w:w="5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420" w:type="dxa"/>
            <w:vAlign w:val="bottom"/>
            <w:shd w:val="clear" w:color="auto" w:fill="CCEEFF"/>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4440" w:type="dxa"/>
            <w:vAlign w:val="bottom"/>
          </w:tcPr>
          <w:p>
            <w:pPr>
              <w:jc w:val="right"/>
              <w:ind w:right="90"/>
              <w:spacing w:after="0"/>
              <w:rPr>
                <w:sz w:val="20"/>
                <w:szCs w:val="20"/>
                <w:color w:val="auto"/>
              </w:rPr>
            </w:pPr>
            <w:r>
              <w:rPr>
                <w:rFonts w:ascii="Arial" w:cs="Arial" w:eastAsia="Arial" w:hAnsi="Arial"/>
                <w:sz w:val="18"/>
                <w:szCs w:val="18"/>
                <w:color w:val="auto"/>
              </w:rPr>
              <w:t>1,099.6</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1,001.5</w:t>
            </w:r>
          </w:p>
        </w:tc>
      </w:tr>
      <w:tr>
        <w:trPr>
          <w:trHeight w:val="27"/>
        </w:trPr>
        <w:tc>
          <w:tcPr>
            <w:tcW w:w="5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420" w:type="dxa"/>
            <w:vAlign w:val="bottom"/>
            <w:shd w:val="clear" w:color="auto" w:fill="CCEEFF"/>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4440" w:type="dxa"/>
            <w:vAlign w:val="bottom"/>
          </w:tcPr>
          <w:p>
            <w:pPr>
              <w:jc w:val="right"/>
              <w:ind w:right="90"/>
              <w:spacing w:after="0"/>
              <w:rPr>
                <w:sz w:val="20"/>
                <w:szCs w:val="20"/>
                <w:color w:val="auto"/>
              </w:rPr>
            </w:pPr>
            <w:r>
              <w:rPr>
                <w:rFonts w:ascii="Arial" w:cs="Arial" w:eastAsia="Arial" w:hAnsi="Arial"/>
                <w:sz w:val="18"/>
                <w:szCs w:val="18"/>
                <w:color w:val="auto"/>
              </w:rPr>
              <w:t>374.4</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350.5</w:t>
            </w:r>
          </w:p>
        </w:tc>
      </w:tr>
      <w:tr>
        <w:trPr>
          <w:trHeight w:val="27"/>
        </w:trPr>
        <w:tc>
          <w:tcPr>
            <w:tcW w:w="54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4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$5,619.5</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$5,482.8</w:t>
            </w:r>
          </w:p>
        </w:tc>
      </w:tr>
      <w:tr>
        <w:trPr>
          <w:trHeight w:val="20"/>
        </w:trPr>
        <w:tc>
          <w:tcPr>
            <w:tcW w:w="5420" w:type="dxa"/>
            <w:vAlign w:val="bottom"/>
            <w:shd w:val="clear" w:color="auto" w:fill="000000"/>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12" w:right="339" w:bottom="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ALLETE, Inc. First Quarter 2020 Form 10-Q</w:t>
      </w:r>
    </w:p>
    <w:p>
      <w:pPr>
        <w:sectPr>
          <w:pgSz w:w="11900" w:h="16838" w:orient="portrait"/>
          <w:cols w:equalWidth="0" w:num="1">
            <w:col w:w="11240"/>
          </w:cols>
          <w:pgMar w:left="320" w:top="1012" w:right="339" w:bottom="0" w:gutter="0" w:footer="0" w:header="0"/>
          <w:type w:val="continuous"/>
        </w:sectPr>
      </w:pPr>
    </w:p>
    <w:bookmarkStart w:id="26" w:name="page27"/>
    <w:bookmarkEnd w:id="26"/>
    <w:p>
      <w:pPr>
        <w:ind w:left="998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0120"/>
          </w:cols>
          <w:pgMar w:left="144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notes to those statements, Management’s Discussion and Analysis of Financial Condition and Results of Operations from our 2019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including Part II, Item 1A Risk Factors, and our 2019 Form 10-K under the headings: “Forward-Looking Statements” located on page 6 and “Risk Factors” located in Part I, Item 1A, beginning on page 21 of our 2019 Form 10-K. The risks and uncertainties described in this Form 10-Q and our 2019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financial position, results of operations and cash flows were not materially impacted during the three months ended March 31, 2020, by the ongoing COVID-19 pandemic; however, the trends and results for the first three months of 2020 may not be indicative of results that may be expected for the year ended December 31, 2020 due to uncertainty regarding the extent and duration of the COVID-19 pandemic. This pandemic has resulted in widespread impacts on the global economy and on our employees, customers, contractors, and suppliers. There is considerable uncertainty regarding the extent to which COVID-19 will spread and the extent and duration of measures to try to contain the virus, such as travel bans and restrictions, quarantines, shelter-in-place orders (including those in effect in areas our businesses operate), and business and government shutdowns. Additional disclosures in this Form 10-Q regarding the impacts of the ongoing COVID-19 pandemic are located in Outlook – Regulated Operations – Industrial Customers and Prospective Additional Load, Liquidity and Capital Resources – Liquidity Position and Part II, Item 1A. Risk Factors.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145,000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2. Regulatory Matters.)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six states, approximately 740 MW of nameplate capacity wind energy generation that is contracted under PSAs of various durations. In addition, ALLETE Clean Energy currently has approximately 300 MW of wind energy facilities under construction that it will own and operate with long-term PSAs in place. ALLETE Clean Energy also engages in the development of wind energy facilities to operate under long-term PSAs or for sale to others upon completion.</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 Water Services </w:t>
      </w:r>
      <w:r>
        <w:rPr>
          <w:rFonts w:ascii="Arial" w:cs="Arial" w:eastAsia="Arial" w:hAnsi="Arial"/>
          <w:sz w:val="17"/>
          <w:szCs w:val="17"/>
          <w:color w:val="auto"/>
        </w:rPr>
        <w:t>provided integrated water management for industry by combining chemical, equipment, engineering and service for customized</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to reduce water and energy usage, and improve efficiency. In March 2019, the Company sold U.S. Water Services to a subsidiary of Kurita Water Industries Ltd. pursuant to a stock purchase agreement for approximately $270 million in cash, net of transaction costs and cash retained.</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our investment in Nobles 2, a 49 percent equity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entity that will own and operate a 250 MW wind energy facility in southwestern Minnesota, ALLETE Properties, our legacy Florida real estate investment, other business development and corporate expenditures, unallocated interest expense, a small amount of non-rate base generation, approximately 4,000 acres of land in Minnesota, and earnings on cash and investments.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101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2020, unless otherwise indicated. All subsidiaries are wholly-owned unless otherwise specifically indicated. References in this report to “we,” “us” and “our” are to ALLETE and its subsidiaries, collectively.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following net income discussion summarizes a comparison of the three months ended March 31, 2020, to the three months ended March 31, 2019. The trends and results for the first three months of 2020 may not be indicative of full year results for 2020 due to uncertainty regarding the extent and duration of the COVID-19 pandemic. (See </w:t>
      </w:r>
      <w:r>
        <w:rPr>
          <w:rFonts w:ascii="Arial" w:cs="Arial" w:eastAsia="Arial" w:hAnsi="Arial"/>
          <w:sz w:val="18"/>
          <w:szCs w:val="18"/>
          <w:i w:val="1"/>
          <w:iCs w:val="1"/>
          <w:color w:val="auto"/>
        </w:rPr>
        <w:t>Overview</w:t>
      </w:r>
      <w:r>
        <w:rPr>
          <w:rFonts w:ascii="Arial" w:cs="Arial" w:eastAsia="Arial" w:hAnsi="Arial"/>
          <w:sz w:val="18"/>
          <w:szCs w:val="18"/>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attributable to ALLETE for the three months ended March 31, 2020, was $66.3 million, or $1.28 per diluted share, compared to $70.5 million, or $1.37 per diluted share, for the same period in 2019. Net income in 2019 included a gain on the sale of U.S. Water Services of $9.9 million after-tax, or $0.19 per share, and U.S. Water Services results of operations amounted to a loss of $1.1 million after-tax, or $0.02 per share, in the first quarter. The full year gain on sale of U.S. Water Services in 2019 was $13.2 million after-tax, or $0.26 per share.</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$57.5 million for the three months ended March 31, 2020, compared to $51.5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2019. Net income at Minnesota Power was higher than 2019 primarily due to the implementation of interim rates on January 1, 2020, increased cost recovery rider revenue, the timing of fuel adjustment clause recoveries in 2019 with the adoption of a new fuel adjustment clause methodology for Minnesota utilities beginning in 2020 (see Note 2. Regulatory Matters), and the timing of income taxes. These increases were partially offset by higher expenses, and lower kWh sales to residential, commercial and municipal customers in 2020. Net income at SWL&amp;P was lower than 2019 primarily due to fewer gas and kWh sales to commercial and residential customers resulting from warmer weather in 2020 compared to 2019. Our after-tax equity earnings in ATC were similar to 2019.</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net income attributable to ALLETE was $11.7 million for the three months ended March 31, 2020, compared to $5.8 million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period in 2019. Net income in 2020 included $2.3 million of additional production tax credits generated compared to 2019, higher revenue resulting from higher wind resources and availability, and earnings from the Glen Ullin wind energy facility which commenced operations in December 2019. Net income in 2020 also included additional income tax benefit recorded in 2020 as GAAP requires the recognition of income taxes at the estimated annual effective tax rate. These increases were partially offset by higher depreciation expense.</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net loss attributable to ALLETE was $1.1 million for three months ended March 31, 2019. ALLETE completed the sale of U.S. Water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the first quarter of 2019.</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loss attributable to ALLETE was $2.9 million for the three months ended March 31, 2020, compared to net income of</w:t>
      </w:r>
      <w:r>
        <w:rPr>
          <w:rFonts w:ascii="Arial" w:cs="Arial" w:eastAsia="Arial" w:hAnsi="Arial"/>
          <w:sz w:val="18"/>
          <w:szCs w:val="18"/>
          <w:b w:val="1"/>
          <w:bCs w:val="1"/>
          <w:color w:val="auto"/>
        </w:rPr>
        <w:t xml:space="preserve"> </w:t>
      </w:r>
      <w:r>
        <w:rPr>
          <w:rFonts w:ascii="Arial" w:cs="Arial" w:eastAsia="Arial" w:hAnsi="Arial"/>
          <w:sz w:val="18"/>
          <w:szCs w:val="18"/>
          <w:color w:val="auto"/>
        </w:rPr>
        <w:t>$14.3 million for the same period in 2019. Net income in 2019 included a gain on the sale of U.S. Water Services of $9.9 million after-tax. Net income in 2020 included lower earnings from marketable equity securities held in benefit trusts. Net income in 2020 also included additional income tax expense recorded in 2020 as GAAP requires the recognition of income taxes at the estimated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101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THREE MONTHS ENDED MARCH 31, 2020 AND 2019</w:t>
            </w:r>
          </w:p>
        </w:tc>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color w:val="auto"/>
              </w:rPr>
              <w:t>(See Note 10. Business Segments for financial results by segment.)</w:t>
            </w:r>
          </w:p>
        </w:tc>
        <w:tc>
          <w:tcPr>
            <w:tcW w:w="2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420" w:type="dxa"/>
            <w:vAlign w:val="bottom"/>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$265.3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r>
      <w:tr>
        <w:trPr>
          <w:trHeight w:val="243"/>
        </w:trPr>
        <w:tc>
          <w:tcPr>
            <w:tcW w:w="4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89.0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109.8</w:t>
            </w:r>
          </w:p>
        </w:tc>
      </w:tr>
      <w:tr>
        <w:trPr>
          <w:trHeight w:val="27"/>
        </w:trPr>
        <w:tc>
          <w:tcPr>
            <w:tcW w:w="4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43"/>
        </w:trPr>
        <w:tc>
          <w:tcPr>
            <w:tcW w:w="4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49.3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47.7</w:t>
            </w:r>
          </w:p>
        </w:tc>
      </w:tr>
      <w:tr>
        <w:trPr>
          <w:trHeight w:val="27"/>
        </w:trPr>
        <w:tc>
          <w:tcPr>
            <w:tcW w:w="4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41.7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43"/>
        </w:trPr>
        <w:tc>
          <w:tcPr>
            <w:tcW w:w="4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11.3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420" w:type="dxa"/>
            <w:vAlign w:val="bottom"/>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55.5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r>
      <w:tr>
        <w:trPr>
          <w:trHeight w:val="243"/>
        </w:trPr>
        <w:tc>
          <w:tcPr>
            <w:tcW w:w="4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(14.6)</w:t>
            </w: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4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4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420" w:type="dxa"/>
            <w:vAlign w:val="bottom"/>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2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49.5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r>
      <w:tr>
        <w:trPr>
          <w:trHeight w:val="243"/>
        </w:trPr>
        <w:tc>
          <w:tcPr>
            <w:tcW w:w="4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(8.0)</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20" w:type="dxa"/>
            <w:vAlign w:val="bottom"/>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ALLETE</w:t>
            </w:r>
          </w:p>
        </w:tc>
        <w:tc>
          <w:tcPr>
            <w:tcW w:w="2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$57.5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0"/>
        </w:trPr>
        <w:tc>
          <w:tcPr>
            <w:tcW w:w="420" w:type="dxa"/>
            <w:vAlign w:val="bottom"/>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decreased $16.9 million from 2019 primarily due to lower fuel adjustment clause recoveries, revenue from kWh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conservation improvement program recoveries, partially offset by the implementation of interim rates on January 1, 2020, and increased cost recovery rider revenue.</w:t>
      </w:r>
    </w:p>
    <w:p>
      <w:pPr>
        <w:spacing w:after="0" w:line="18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Fuel adjustment clause revenue decreased $12.2 million due to lower fuel and purchased power costs attributable to retail and municipal customers, partially offset by the timing of fuel adjustment clause recoveries in 2019. Beginning in 2020, Minnesota utilities adopted a new fuel adjustment clause methodology. (See Note 2. Regulatory Matters.)</w:t>
      </w:r>
    </w:p>
    <w:p>
      <w:pPr>
        <w:spacing w:after="0" w:line="18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kWh sales decreased $9.0 million from 2019 reflecting lower sales to residential, commercial and municipal customers. Sales to residential and commercial customers decreased from 2019 primarily due to warmer weather in 2020. Sales to municipal customers decreased from 2019 as a result of the expiration of a contract with a municipal customer in June 2019. Sales to industrial customers increased primarily due to additional sales to Silver Bay Power, which ceased self-generation in the third quarter of 2019.</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5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321</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00" w:type="dxa"/>
            <w:vAlign w:val="bottom"/>
          </w:tcPr>
          <w:p>
            <w:pPr>
              <w:jc w:val="right"/>
              <w:ind w:right="230"/>
              <w:spacing w:after="0"/>
              <w:rPr>
                <w:sz w:val="20"/>
                <w:szCs w:val="20"/>
                <w:color w:val="auto"/>
              </w:rPr>
            </w:pPr>
            <w:r>
              <w:rPr>
                <w:rFonts w:ascii="Arial" w:cs="Arial" w:eastAsia="Arial" w:hAnsi="Arial"/>
                <w:sz w:val="18"/>
                <w:szCs w:val="18"/>
                <w:color w:val="auto"/>
              </w:rPr>
              <w:t>352</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366</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9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1,902</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1,814</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00" w:type="dxa"/>
            <w:vAlign w:val="bottom"/>
          </w:tcPr>
          <w:p>
            <w:pPr>
              <w:jc w:val="right"/>
              <w:ind w:right="230"/>
              <w:spacing w:after="0"/>
              <w:rPr>
                <w:sz w:val="20"/>
                <w:szCs w:val="20"/>
                <w:color w:val="auto"/>
              </w:rPr>
            </w:pPr>
            <w:r>
              <w:rPr>
                <w:rFonts w:ascii="Arial" w:cs="Arial" w:eastAsia="Arial" w:hAnsi="Arial"/>
                <w:sz w:val="18"/>
                <w:szCs w:val="18"/>
                <w:color w:val="auto"/>
              </w:rPr>
              <w:t>156</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203</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104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49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2,731</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2,732</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00" w:type="dxa"/>
            <w:vAlign w:val="bottom"/>
          </w:tcPr>
          <w:p>
            <w:pPr>
              <w:jc w:val="right"/>
              <w:ind w:right="230"/>
              <w:spacing w:after="0"/>
              <w:rPr>
                <w:sz w:val="20"/>
                <w:szCs w:val="20"/>
                <w:color w:val="auto"/>
              </w:rPr>
            </w:pPr>
            <w:r>
              <w:rPr>
                <w:rFonts w:ascii="Arial" w:cs="Arial" w:eastAsia="Arial" w:hAnsi="Arial"/>
                <w:sz w:val="18"/>
                <w:szCs w:val="18"/>
                <w:color w:val="auto"/>
              </w:rPr>
              <w:t>822</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822</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3,553</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3,554</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0"/>
        </w:trPr>
        <w:tc>
          <w:tcPr>
            <w:tcW w:w="496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26 percent of consolidated operating revenue in 2020 (22 percent in 2019). Revenue from electric sales to paper, pulp and secondary wood product customers accounted for 5 percent of consolidated operating revenue in 2020 (5 percent in 2019). Revenue from electric sales to pipelines and other industrial customers accounted for 7 percent of consolidated operating revenue in 2020 (7 percent in 2019).</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decreased $2.1 million from 2019 primarily due to a decrease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ectPr>
          <w:pgSz w:w="11900" w:h="16838" w:orient="portrait"/>
          <w:cols w:equalWidth="0" w:num="1">
            <w:col w:w="11240"/>
          </w:cols>
          <w:pgMar w:left="320" w:top="1012"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240"/>
          </w:cols>
          <w:pgMar w:left="320" w:top="1012"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COMPARISON OF THE THREE MONTHS ENDED MARCH 31, 2020 AND 2019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Interim retail rates for Minnesota Power, subject to refund, were approved by the MPUC and became effective January 1, 2020, resulting in revenue of $9.0 million. (See Note 2. Regulatory Matters.)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recovery rider revenue increased $2.3 million primarily due to higher expenditures related to the construction of the GNTL.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$18.1 million, or 8 percent, from 2019.</w:t>
      </w:r>
    </w:p>
    <w:p>
      <w:pPr>
        <w:spacing w:after="0" w:line="225" w:lineRule="exact"/>
        <w:rPr>
          <w:sz w:val="20"/>
          <w:szCs w:val="20"/>
          <w:color w:val="auto"/>
        </w:rPr>
      </w:pPr>
    </w:p>
    <w:p>
      <w:pPr>
        <w:ind w:left="340" w:right="20"/>
        <w:spacing w:after="0" w:line="342" w:lineRule="auto"/>
        <w:rPr>
          <w:sz w:val="20"/>
          <w:szCs w:val="20"/>
          <w:color w:val="auto"/>
        </w:rPr>
      </w:pPr>
      <w:r>
        <w:rPr>
          <w:rFonts w:ascii="Arial" w:cs="Arial" w:eastAsia="Arial" w:hAnsi="Arial"/>
          <w:sz w:val="16"/>
          <w:szCs w:val="16"/>
          <w:i w:val="1"/>
          <w:iCs w:val="1"/>
          <w:color w:val="auto"/>
        </w:rPr>
        <w:t xml:space="preserve">Fuel, Purchased Power and Gas – Utility </w:t>
      </w:r>
      <w:r>
        <w:rPr>
          <w:rFonts w:ascii="Arial" w:cs="Arial" w:eastAsia="Arial" w:hAnsi="Arial"/>
          <w:sz w:val="16"/>
          <w:szCs w:val="16"/>
          <w:color w:val="auto"/>
        </w:rPr>
        <w:t>expense decreased $20.8 million, or 19 percent, from 2019 primarily due to lower purchased power prices</w:t>
      </w:r>
      <w:r>
        <w:rPr>
          <w:rFonts w:ascii="Arial" w:cs="Arial" w:eastAsia="Arial" w:hAnsi="Arial"/>
          <w:sz w:val="16"/>
          <w:szCs w:val="16"/>
          <w:i w:val="1"/>
          <w:iCs w:val="1"/>
          <w:color w:val="auto"/>
        </w:rPr>
        <w:t xml:space="preserve"> </w:t>
      </w:r>
      <w:r>
        <w:rPr>
          <w:rFonts w:ascii="Arial" w:cs="Arial" w:eastAsia="Arial" w:hAnsi="Arial"/>
          <w:sz w:val="16"/>
          <w:szCs w:val="16"/>
          <w:color w:val="auto"/>
        </w:rPr>
        <w:t>and fuel costs. Fuel and purchased power expense related to our retail and municipal customers is recovered through the fuel adjustment clause.</w:t>
      </w:r>
    </w:p>
    <w:p>
      <w:pPr>
        <w:spacing w:after="0" w:line="124" w:lineRule="exact"/>
        <w:rPr>
          <w:sz w:val="20"/>
          <w:szCs w:val="20"/>
          <w:color w:val="auto"/>
        </w:rPr>
      </w:pPr>
    </w:p>
    <w:p>
      <w:pPr>
        <w:ind w:left="340" w:right="20"/>
        <w:spacing w:after="0" w:line="342" w:lineRule="auto"/>
        <w:rPr>
          <w:sz w:val="20"/>
          <w:szCs w:val="20"/>
          <w:color w:val="auto"/>
        </w:rPr>
      </w:pPr>
      <w:r>
        <w:rPr>
          <w:rFonts w:ascii="Arial" w:cs="Arial" w:eastAsia="Arial" w:hAnsi="Arial"/>
          <w:sz w:val="16"/>
          <w:szCs w:val="16"/>
          <w:i w:val="1"/>
          <w:iCs w:val="1"/>
          <w:color w:val="auto"/>
        </w:rPr>
        <w:t xml:space="preserve">Operating and Maintenance </w:t>
      </w:r>
      <w:r>
        <w:rPr>
          <w:rFonts w:ascii="Arial" w:cs="Arial" w:eastAsia="Arial" w:hAnsi="Arial"/>
          <w:sz w:val="16"/>
          <w:szCs w:val="16"/>
          <w:color w:val="auto"/>
        </w:rPr>
        <w:t>expense increased $1.6 million, or 3 percent, from 2019 primarily due to higher contract and professional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and materials purchased for generation facilities, partially offset by a $2.1 million decrease in conservation improvement program expenses.</w:t>
      </w:r>
    </w:p>
    <w:p>
      <w:pPr>
        <w:spacing w:after="0" w:line="12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$1.9 million, or 5 percent, from 2019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decreased $1.0 million, or 8 percent, from 2019 primarily due to lower property tax expenses resulting from lower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taxable market values.</w:t>
      </w:r>
    </w:p>
    <w:p>
      <w:pPr>
        <w:spacing w:after="0" w:line="17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increased $5.2 million from 2019 primarily due to higher production tax credits. We expect our annual effective tax rate in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a higher income tax benefit than in 2019 primarily due to lower pre-tax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540" w:type="dxa"/>
            <w:vAlign w:val="bottom"/>
          </w:tcPr>
          <w:p>
            <w:pPr>
              <w:spacing w:after="0"/>
              <w:rPr>
                <w:sz w:val="24"/>
                <w:szCs w:val="24"/>
                <w:color w:val="auto"/>
              </w:rPr>
            </w:pPr>
          </w:p>
        </w:tc>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r>
      <w:tr>
        <w:trPr>
          <w:trHeight w:val="27"/>
        </w:trPr>
        <w:tc>
          <w:tcPr>
            <w:tcW w:w="540" w:type="dxa"/>
            <w:vAlign w:val="bottom"/>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8320" w:type="dxa"/>
            <w:vAlign w:val="bottom"/>
          </w:tcPr>
          <w:p>
            <w:pPr>
              <w:ind w:left="260"/>
              <w:spacing w:after="0"/>
              <w:rPr>
                <w:sz w:val="20"/>
                <w:szCs w:val="20"/>
                <w:color w:val="auto"/>
              </w:rPr>
            </w:pPr>
            <w:r>
              <w:rPr>
                <w:rFonts w:ascii="Arial" w:cs="Arial" w:eastAsia="Arial" w:hAnsi="Arial"/>
                <w:sz w:val="18"/>
                <w:szCs w:val="18"/>
                <w:color w:val="auto"/>
              </w:rPr>
              <w:t>Contracts with Customers – Non-utility</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$17.3</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$14.6</w:t>
            </w:r>
          </w:p>
        </w:tc>
      </w:tr>
      <w:tr>
        <w:trPr>
          <w:trHeight w:val="27"/>
        </w:trPr>
        <w:tc>
          <w:tcPr>
            <w:tcW w:w="5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2.8</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r>
      <w:tr>
        <w:trPr>
          <w:trHeight w:val="243"/>
        </w:trPr>
        <w:tc>
          <w:tcPr>
            <w:tcW w:w="540" w:type="dxa"/>
            <w:vAlign w:val="bottom"/>
          </w:tcPr>
          <w:p>
            <w:pPr>
              <w:spacing w:after="0"/>
              <w:rPr>
                <w:sz w:val="21"/>
                <w:szCs w:val="21"/>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8.2</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7.2</w:t>
            </w:r>
          </w:p>
        </w:tc>
      </w:tr>
      <w:tr>
        <w:trPr>
          <w:trHeight w:val="27"/>
        </w:trPr>
        <w:tc>
          <w:tcPr>
            <w:tcW w:w="5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8.2</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r>
      <w:tr>
        <w:trPr>
          <w:trHeight w:val="243"/>
        </w:trPr>
        <w:tc>
          <w:tcPr>
            <w:tcW w:w="540" w:type="dxa"/>
            <w:vAlign w:val="bottom"/>
          </w:tcPr>
          <w:p>
            <w:pPr>
              <w:spacing w:after="0"/>
              <w:rPr>
                <w:sz w:val="21"/>
                <w:szCs w:val="21"/>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Taxes and Other</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0.7</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7"/>
        </w:trPr>
        <w:tc>
          <w:tcPr>
            <w:tcW w:w="540" w:type="dxa"/>
            <w:vAlign w:val="bottom"/>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4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3.0</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r>
      <w:tr>
        <w:trPr>
          <w:trHeight w:val="243"/>
        </w:trPr>
        <w:tc>
          <w:tcPr>
            <w:tcW w:w="540" w:type="dxa"/>
            <w:vAlign w:val="bottom"/>
          </w:tcPr>
          <w:p>
            <w:pPr>
              <w:spacing w:after="0"/>
              <w:rPr>
                <w:sz w:val="21"/>
                <w:szCs w:val="21"/>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(0.5)</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(0.8)</w:t>
            </w:r>
          </w:p>
        </w:tc>
      </w:tr>
      <w:tr>
        <w:trPr>
          <w:trHeight w:val="27"/>
        </w:trPr>
        <w:tc>
          <w:tcPr>
            <w:tcW w:w="5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40" w:type="dxa"/>
            <w:vAlign w:val="bottom"/>
          </w:tcPr>
          <w:p>
            <w:pPr>
              <w:spacing w:after="0"/>
              <w:rPr>
                <w:sz w:val="23"/>
                <w:szCs w:val="23"/>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0.2</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r>
      <w:tr>
        <w:trPr>
          <w:trHeight w:val="237"/>
        </w:trPr>
        <w:tc>
          <w:tcPr>
            <w:tcW w:w="540" w:type="dxa"/>
            <w:vAlign w:val="bottom"/>
          </w:tcPr>
          <w:p>
            <w:pPr>
              <w:spacing w:after="0"/>
              <w:rPr>
                <w:sz w:val="20"/>
                <w:szCs w:val="20"/>
                <w:color w:val="auto"/>
              </w:rPr>
            </w:pPr>
          </w:p>
        </w:tc>
        <w:tc>
          <w:tcPr>
            <w:tcW w:w="83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Income Before Income Taxes</w:t>
            </w:r>
          </w:p>
        </w:tc>
        <w:tc>
          <w:tcPr>
            <w:tcW w:w="12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2.7</w:t>
            </w: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4.2</w:t>
            </w:r>
          </w:p>
        </w:tc>
      </w:tr>
      <w:tr>
        <w:trPr>
          <w:trHeight w:val="27"/>
        </w:trPr>
        <w:tc>
          <w:tcPr>
            <w:tcW w:w="5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40" w:type="dxa"/>
            <w:vAlign w:val="bottom"/>
          </w:tcPr>
          <w:p>
            <w:pPr>
              <w:spacing w:after="0"/>
              <w:rPr>
                <w:sz w:val="23"/>
                <w:szCs w:val="23"/>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(7.2)</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37"/>
        </w:trPr>
        <w:tc>
          <w:tcPr>
            <w:tcW w:w="540" w:type="dxa"/>
            <w:vAlign w:val="bottom"/>
          </w:tcPr>
          <w:p>
            <w:pPr>
              <w:spacing w:after="0"/>
              <w:rPr>
                <w:sz w:val="20"/>
                <w:szCs w:val="20"/>
                <w:color w:val="auto"/>
              </w:rPr>
            </w:pPr>
          </w:p>
        </w:tc>
        <w:tc>
          <w:tcPr>
            <w:tcW w:w="83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Income</w:t>
            </w:r>
          </w:p>
        </w:tc>
        <w:tc>
          <w:tcPr>
            <w:tcW w:w="12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9.9</w:t>
            </w: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5.8</w:t>
            </w:r>
          </w:p>
        </w:tc>
      </w:tr>
      <w:tr>
        <w:trPr>
          <w:trHeight w:val="27"/>
        </w:trPr>
        <w:tc>
          <w:tcPr>
            <w:tcW w:w="540" w:type="dxa"/>
            <w:vAlign w:val="bottom"/>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540" w:type="dxa"/>
            <w:vAlign w:val="bottom"/>
          </w:tcPr>
          <w:p>
            <w:pPr>
              <w:spacing w:after="0"/>
              <w:rPr>
                <w:sz w:val="22"/>
                <w:szCs w:val="22"/>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7"/>
        </w:trPr>
        <w:tc>
          <w:tcPr>
            <w:tcW w:w="540" w:type="dxa"/>
            <w:vAlign w:val="bottom"/>
          </w:tcPr>
          <w:p>
            <w:pPr>
              <w:spacing w:after="0"/>
              <w:rPr>
                <w:sz w:val="20"/>
                <w:szCs w:val="20"/>
                <w:color w:val="auto"/>
              </w:rPr>
            </w:pPr>
          </w:p>
        </w:tc>
        <w:tc>
          <w:tcPr>
            <w:tcW w:w="83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Income Attributable to ALLETE</w:t>
            </w:r>
          </w:p>
        </w:tc>
        <w:tc>
          <w:tcPr>
            <w:tcW w:w="12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$11.7</w:t>
            </w: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$5.8</w:t>
            </w:r>
          </w:p>
        </w:tc>
      </w:tr>
      <w:tr>
        <w:trPr>
          <w:trHeight w:val="27"/>
        </w:trPr>
        <w:tc>
          <w:tcPr>
            <w:tcW w:w="88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0"/>
        </w:trPr>
        <w:tc>
          <w:tcPr>
            <w:tcW w:w="540" w:type="dxa"/>
            <w:vAlign w:val="bottom"/>
          </w:tcPr>
          <w:p>
            <w:pPr>
              <w:ind w:left="340"/>
              <w:spacing w:after="0"/>
              <w:rPr>
                <w:sz w:val="20"/>
                <w:szCs w:val="20"/>
                <w:color w:val="auto"/>
              </w:rPr>
            </w:pPr>
            <w:r>
              <w:rPr>
                <w:rFonts w:ascii="Arial" w:cs="Arial" w:eastAsia="Arial" w:hAnsi="Arial"/>
                <w:sz w:val="16"/>
                <w:szCs w:val="16"/>
                <w:i w:val="1"/>
                <w:iCs w:val="1"/>
                <w:color w:val="auto"/>
                <w:w w:val="91"/>
              </w:rPr>
              <w:t>(a)</w:t>
            </w:r>
          </w:p>
        </w:tc>
        <w:tc>
          <w:tcPr>
            <w:tcW w:w="8320" w:type="dxa"/>
            <w:vAlign w:val="bottom"/>
            <w:tcBorders>
              <w:top w:val="single" w:sz="8" w:color="auto"/>
            </w:tcBorders>
          </w:tcPr>
          <w:p>
            <w:pPr>
              <w:ind w:left="120"/>
              <w:spacing w:after="0"/>
              <w:rPr>
                <w:sz w:val="20"/>
                <w:szCs w:val="20"/>
                <w:color w:val="auto"/>
              </w:rPr>
            </w:pPr>
            <w:r>
              <w:rPr>
                <w:rFonts w:ascii="Arial" w:cs="Arial" w:eastAsia="Arial" w:hAnsi="Arial"/>
                <w:sz w:val="16"/>
                <w:szCs w:val="16"/>
                <w:i w:val="1"/>
                <w:iCs w:val="1"/>
                <w:color w:val="auto"/>
                <w:w w:val="94"/>
              </w:rPr>
              <w:t>Represents non-cash amortization of differences between contract prices and estimated market prices on assumed PSAs.</w:t>
            </w:r>
          </w:p>
        </w:tc>
        <w:tc>
          <w:tcPr>
            <w:tcW w:w="1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$2.6 million, or 15 percent, from 2019 primarily due to revenue from the Glen Ullin wind energy facility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commenced operations in December 2019 as well as higher wind resources and availability compared to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101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COMPARISON OF THE THREE MONTHS ENDED MARCH 31, 2020 AND 2019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4"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4"/>
              </w:rPr>
              <w:t>Three Months Ended March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2700" w:type="dxa"/>
            <w:vAlign w:val="bottom"/>
            <w:gridSpan w:val="2"/>
          </w:tcPr>
          <w:p>
            <w:pPr>
              <w:jc w:val="right"/>
              <w:ind w:right="1150"/>
              <w:spacing w:after="0"/>
              <w:rPr>
                <w:sz w:val="20"/>
                <w:szCs w:val="20"/>
                <w:color w:val="auto"/>
              </w:rPr>
            </w:pPr>
            <w:r>
              <w:rPr>
                <w:rFonts w:ascii="Arial" w:cs="Arial" w:eastAsia="Arial" w:hAnsi="Arial"/>
                <w:sz w:val="18"/>
                <w:szCs w:val="18"/>
                <w:b w:val="1"/>
                <w:bCs w:val="1"/>
                <w:color w:val="auto"/>
              </w:rPr>
              <w:t>2020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vMerge w:val="continue"/>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kWh</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Revenue</w:t>
            </w: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kWh</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Revenue</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40"/>
              <w:spacing w:after="0"/>
              <w:rPr>
                <w:sz w:val="20"/>
                <w:szCs w:val="20"/>
                <w:color w:val="auto"/>
              </w:rPr>
            </w:pPr>
            <w:r>
              <w:rPr>
                <w:rFonts w:ascii="Arial" w:cs="Arial" w:eastAsia="Arial" w:hAnsi="Arial"/>
                <w:sz w:val="18"/>
                <w:szCs w:val="18"/>
                <w:color w:val="auto"/>
              </w:rPr>
              <w:t>East</w:t>
            </w:r>
          </w:p>
        </w:tc>
        <w:tc>
          <w:tcPr>
            <w:tcW w:w="1220" w:type="dxa"/>
            <w:vAlign w:val="bottom"/>
          </w:tcPr>
          <w:p>
            <w:pPr>
              <w:jc w:val="right"/>
              <w:spacing w:after="0"/>
              <w:rPr>
                <w:sz w:val="20"/>
                <w:szCs w:val="20"/>
                <w:color w:val="auto"/>
              </w:rPr>
            </w:pPr>
            <w:r>
              <w:rPr>
                <w:rFonts w:ascii="Arial" w:cs="Arial" w:eastAsia="Arial" w:hAnsi="Arial"/>
                <w:sz w:val="18"/>
                <w:szCs w:val="18"/>
                <w:color w:val="auto"/>
              </w:rPr>
              <w:t>78.6</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$7.1</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80.4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8.5</w:t>
            </w: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212.9</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480" w:type="dxa"/>
            <w:vAlign w:val="bottom"/>
          </w:tcPr>
          <w:p>
            <w:pPr>
              <w:ind w:left="140"/>
              <w:spacing w:after="0"/>
              <w:rPr>
                <w:sz w:val="20"/>
                <w:szCs w:val="20"/>
                <w:color w:val="auto"/>
              </w:rPr>
            </w:pPr>
            <w:r>
              <w:rPr>
                <w:rFonts w:ascii="Arial" w:cs="Arial" w:eastAsia="Arial" w:hAnsi="Arial"/>
                <w:sz w:val="18"/>
                <w:szCs w:val="18"/>
                <w:color w:val="auto"/>
              </w:rPr>
              <w:t>West</w:t>
            </w:r>
          </w:p>
        </w:tc>
        <w:tc>
          <w:tcPr>
            <w:tcW w:w="1220" w:type="dxa"/>
            <w:vAlign w:val="bottom"/>
          </w:tcPr>
          <w:p>
            <w:pPr>
              <w:jc w:val="right"/>
              <w:spacing w:after="0"/>
              <w:rPr>
                <w:sz w:val="20"/>
                <w:szCs w:val="20"/>
                <w:color w:val="auto"/>
              </w:rPr>
            </w:pPr>
            <w:r>
              <w:rPr>
                <w:rFonts w:ascii="Arial" w:cs="Arial" w:eastAsia="Arial" w:hAnsi="Arial"/>
                <w:sz w:val="18"/>
                <w:szCs w:val="18"/>
                <w:color w:val="auto"/>
              </w:rPr>
              <w:t>141.8</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4.5</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13.4</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$20.1</w:t>
            </w: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306.7</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5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increased $1.0 million, or 14 percent, from 2019 primarily due to operating and maintenance expenses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Glen Ullin wind energy facility which commenced operations in December 2019.</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$1.7 million, or 26 percent, from 2019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Glen Ullin wind energy facility which commenced operations in December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$1.6 million from 2019 reflecting various individually immaterial items.</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increased $5.6 million from 2019 primarily due to additional production tax credits generated in 2020 and additional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recorded in 2020 as GAAP requires the recognition of income taxes at the estimated annual effective tax rate. The income tax benefit in 2020 reflected production tax credits generated of $4.2 million compared to $1.9 million in 2019.</w:t>
      </w:r>
    </w:p>
    <w:p>
      <w:pPr>
        <w:spacing w:after="0" w:line="18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increased $1.8 million from 2019 reflecting net losses attributable to non-controlling interest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Glen Ullin wind energy facility which commenced operations in December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38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720" w:type="dxa"/>
            <w:vAlign w:val="bottom"/>
          </w:tcPr>
          <w:p>
            <w:pPr>
              <w:spacing w:after="0"/>
              <w:rPr>
                <w:sz w:val="24"/>
                <w:szCs w:val="24"/>
                <w:color w:val="auto"/>
              </w:rPr>
            </w:pPr>
          </w:p>
        </w:tc>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3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r>
      <w:tr>
        <w:trPr>
          <w:trHeight w:val="27"/>
        </w:trPr>
        <w:tc>
          <w:tcPr>
            <w:tcW w:w="7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7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86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$33.4</w:t>
            </w:r>
          </w:p>
        </w:tc>
      </w:tr>
      <w:tr>
        <w:trPr>
          <w:trHeight w:val="243"/>
        </w:trPr>
        <w:tc>
          <w:tcPr>
            <w:tcW w:w="720" w:type="dxa"/>
            <w:vAlign w:val="bottom"/>
          </w:tcPr>
          <w:p>
            <w:pPr>
              <w:spacing w:after="0"/>
              <w:rPr>
                <w:sz w:val="21"/>
                <w:szCs w:val="21"/>
                <w:color w:val="auto"/>
              </w:rPr>
            </w:pPr>
          </w:p>
        </w:tc>
        <w:tc>
          <w:tcPr>
            <w:tcW w:w="5720" w:type="dxa"/>
            <w:vAlign w:val="bottom"/>
          </w:tcPr>
          <w:p>
            <w:pPr>
              <w:ind w:left="40"/>
              <w:spacing w:after="0"/>
              <w:rPr>
                <w:sz w:val="20"/>
                <w:szCs w:val="20"/>
                <w:color w:val="auto"/>
              </w:rPr>
            </w:pPr>
            <w:r>
              <w:rPr>
                <w:rFonts w:ascii="Arial" w:cs="Arial" w:eastAsia="Arial" w:hAnsi="Arial"/>
                <w:sz w:val="18"/>
                <w:szCs w:val="18"/>
                <w:color w:val="auto"/>
              </w:rPr>
              <w:t>Net Loss Attributable to ALLETE</w:t>
            </w:r>
          </w:p>
        </w:tc>
        <w:tc>
          <w:tcPr>
            <w:tcW w:w="3860" w:type="dxa"/>
            <w:vAlign w:val="bottom"/>
          </w:tcPr>
          <w:p>
            <w:pPr>
              <w:ind w:left="3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7"/>
        </w:trPr>
        <w:tc>
          <w:tcPr>
            <w:tcW w:w="7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was $33.4 million for the three months ended March 31, 2019. ALLETE completed the sale of U.S. Water Services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2019.</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was $1.1 million for the three months ended March 31, 2019. ALLETE completed the sale of U.S. Water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first quarter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$2.1 million, or 9 percent, from 2019 primarily due to higher revenue at BNI Energy, which operates under cost-plus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fee contracts, as a result of higher expenses and more tons sold in 2020 compared to 2019.</w:t>
      </w:r>
    </w:p>
    <w:p>
      <w:pPr>
        <w:spacing w:after="0" w:line="17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was $2.9 million in 2020 compared to net income $14.3 million in 2019. Net income in 2019 included a gain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of U.S. Water Services of $9.9 million after-tax. Net income in 2020 included lower earnings from marketable equity securities held in benefit trusts. Net income in 2020 also included additional income tax expense recorded in 2020 as GAAP requires the recognition of income taxes at the estimated annual effective tax rate. Net income at BNI Energy was $0.7 million in 2020 compared to $1.9 million in 2019, reflecting lower earnings from marketable equity securities held in benefit trusts in 2020. The net loss at ALLETE Properties was $0.5 million in 2020 compared to a net loss of $0.6 million in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ectPr>
          <w:pgSz w:w="11900" w:h="16838" w:orient="portrait"/>
          <w:cols w:equalWidth="0" w:num="1">
            <w:col w:w="11240"/>
          </w:cols>
          <w:pgMar w:left="320" w:top="1012"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240"/>
          </w:cols>
          <w:pgMar w:left="320" w:top="1012"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THREE MONTHS ENDED MARCH 31, 2020 AND 2019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For the three months ended March 31, 2020, the effective tax rate was a benefit of 27.2 percent (expense of 4.0 percent for the three months ended March 31, 2019). The effective tax rate for 2020 was a higher benefit primarily due to 2019 including a higher tax rate on and higher pre-tax income resulting from the gain on the sale of U.S. Water Services in 2019.</w:t>
      </w:r>
    </w:p>
    <w:p>
      <w:pPr>
        <w:spacing w:after="0" w:line="184"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We expect our annual effective tax rate in 2020 to be a higher benefit as compared to 2019 primarily due to higher production tax credits generated by ALLETE Clean Energy in 2020 and lower pre-tax income as 2019 reflected the gain on sale of U.S. Water Services. The effective rate deviated from the combined statutory rate of approximately 28 percent primarily due to production tax credits. (See Note 8. Income Tax Expense.)</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2019 Form 10-K.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2019 Form 10-K.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 is an energy company committed to earning a financial return that rewards our shareholders, allows for reinvestment in our businesses and sustains growth. The Company has long-term objectives of achieving average annual earnings per share growth of 5 percent to 7 percent, and providing a dividend payout competitive with our industry. Regulated Operations is projected to have average annual earnings growth of 4 percent to 5 percent over the long-term. ALLETE Clean Energy and our Corporate and Other businesses are projected to have average annual earnings growth of at least 15 percent over the long-term. Our annual earnings per share is expected to be negatively impacted in the short-term by the ongoing COVID-19 pandemic and related disruptions; however, the Company expects it will be able to maintain its stated financial objectives for average annual earnings per share growth over the long-term (next five years). (See Part II, Item 1A. Risk Factors.)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ALLETE Clean Energy and our Corporate and Other businesses to complement its regulated businesses, balance exposure to the utility’s industrial customers and provide potential long-term earnings growth. ALLETE expects net income from Regulated Operations to be approximately 80 percent of total consolidated net income in 2020. Over the next several years, the contribution of ALLETE Clean Energy and our Corporate and Other businesses to net income is expected to increase as ALLETE grows these operations. ALLETE expects its businesses to provide regulated, contracted or recurring revenues, and to support sustained growth in net income and cash flow.</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7"/>
          <w:szCs w:val="17"/>
          <w:i w:val="1"/>
          <w:iCs w:val="1"/>
          <w:color w:val="auto"/>
        </w:rPr>
        <w:t>EnergyForward.</w:t>
      </w:r>
      <w:r>
        <w:rPr>
          <w:rFonts w:ascii="Arial" w:cs="Arial" w:eastAsia="Arial" w:hAnsi="Arial"/>
          <w:sz w:val="17"/>
          <w:szCs w:val="17"/>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101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2020 Minnesota General Rate Case. </w:t>
      </w:r>
      <w:r>
        <w:rPr>
          <w:rFonts w:ascii="Arial" w:cs="Arial" w:eastAsia="Arial" w:hAnsi="Arial"/>
          <w:sz w:val="18"/>
          <w:szCs w:val="18"/>
          <w:color w:val="auto"/>
        </w:rPr>
        <w:t>On November 1, 2019, Minnesota Power filed a retail rate increase request with the MPUC seeking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10.6 percent for retail customers. The rate filing seeks a return on equity of 10.05 percent and a 53.81 percent equity ratio. On an annualized basis, the requested final rate increase would generate approximately $66 million in additional revenue. In orders dated December 23, 2019, the MPUC accepted the filing as complete and authorized an annual interim rate increase of $36.1 million that began January 1, 2020. We cannot predict the level of final rates that may be authorized by the MPUC.</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23, 2020, Minnesota Power filed a request with the MPUC that proposes a resolution for Minnesota Power’s 2020 general rate case. Key components of our proposal include removing the current power marketing margin credit in base rates and reflecting actual power marketing margins in the fuel adjustment clause effective May 1, 2020; refunding to customers interim rates collected through April 2020 of approximately $12 million ($9 million as of March 31, 2020,); increasing ongoing customer rates 4.1 percent compared to the 5.8 percent increase reflected in current interim rates; and a provision that Minnesota Power would not file another rate case until at least March 1, 2021, unless certain events occur. Minnesota Power would withdraw its general rate case upon approval of this filing and proposed resolution by the MPUC. At a hearing on April 30, 2020, the MPUC approved lowering current interim rates to 4.1 percent effective May 1, 2020, as requested by Minnesota Power in this filing. A final decision on Minnesota Power’s full proposal in this filing is expected in June 2020. At this time, we are unable to predict whether the MPUC will ultimately approve this filing and proposed resolution, and thus, as of March 31, 2020, we have not recorded reserves for interim rates.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2018 Wisconsin General Rate Case. </w:t>
      </w:r>
      <w:r>
        <w:rPr>
          <w:rFonts w:ascii="Arial" w:cs="Arial" w:eastAsia="Arial" w:hAnsi="Arial"/>
          <w:sz w:val="18"/>
          <w:szCs w:val="18"/>
          <w:color w:val="auto"/>
        </w:rPr>
        <w:t>SWL&amp;P’s current retail rates are based on a December 2018 PSCW order that allows for a return on equity of 10.4</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and a 55.0 percent equity ratio. The PSCW has ordered SWL&amp;P to file a general rate case in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paper, pulp and secondary wood products, pipeline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54 percent of our regulated utility kWh sales in the three months ended March 31, 2020, were made to our industrial customers (51 percent in the three months ended March 31, 2019). These customers and their markets have been impacted by the ongoing COVID-19 pandemic. (See Part II, Item 1A. Risk Factors.)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ongoing COVID-19 pandemic and related federal and state government responses has led to a disruption of economic activity, and could result in an extended disruption of economic activity. This disruption is expected to result in reduced sales and revenue from industrial customers. The states of Minnesota and Wisconsin issued stay-at-home or shelter-in-place orders in March 2020 that remain in effect, and many non-essential commercial and industrial customers are operating at reduced levels or are temporarily closed or idled. In addition, Cliffs temporarily idled its Northshore Mining operation, Hibbing Taconite temporarily idled production and USS Corporation indefinitely idled its Keetac plant as well as announced a temporary partial shutdown at its Minntac plant, each of which are served by Minnesota Power. (See </w:t>
      </w:r>
      <w:r>
        <w:rPr>
          <w:rFonts w:ascii="Arial" w:cs="Arial" w:eastAsia="Arial" w:hAnsi="Arial"/>
          <w:sz w:val="16"/>
          <w:szCs w:val="16"/>
          <w:i w:val="1"/>
          <w:iCs w:val="1"/>
          <w:color w:val="auto"/>
        </w:rPr>
        <w:t>Northshore Mining, Hibbing Taconite and USS Corporation</w:t>
      </w:r>
      <w:r>
        <w:rPr>
          <w:rFonts w:ascii="Arial" w:cs="Arial" w:eastAsia="Arial" w:hAnsi="Arial"/>
          <w:sz w:val="16"/>
          <w:szCs w:val="16"/>
          <w:color w:val="auto"/>
        </w:rPr>
        <w:t>.) The current disruption of economic activity or an extended disruption of economic activity may lead to additional adverse impacts on our taconite and paper, pulp and secondary wood products, pipeline and other industrial customers’ operations including further reduced production or the temporary idling or indefinite shutdown of other facilities, which would result in lower sales and revenue from these customers.</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Taconite</w:t>
      </w:r>
      <w:r>
        <w:rPr>
          <w:rFonts w:ascii="Arial" w:cs="Arial" w:eastAsia="Arial" w:hAnsi="Arial"/>
          <w:sz w:val="16"/>
          <w:szCs w:val="16"/>
          <w:color w:val="auto"/>
        </w:rPr>
        <w:t>. Minnesota Power’s taconite customers are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10 percent of Minnesota taconite production has been exported outside of North America.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240"/>
          </w:cols>
          <w:pgMar w:left="320" w:top="101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81 percent of capacity during the first three months of 2020 compared to 82 percent in the first three months of 2019; however, the American Iron and Steel Institute also reported that U.S. raw steel production in the last week of April 2020 had decreased to approximately 51 percent of capacity. The World Steel Association, an association of steel producers, national and regional steel industry associations, and steel research institutes representing approximately 85 percent of world steel production, projected in October 2019 that U.S. steel consumption in 2020 will increase by approximately one percent compared to 2019; however, this projection was made before the COVID-19 pandemic and the World Steel Association announced in April 2020 that it had decided to postpone its U.S. steel consumption update projection typically released in April each year due to continuing disruption caused by the COVID-19 pandemic.</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Northshore Mining</w:t>
      </w:r>
      <w:r>
        <w:rPr>
          <w:rFonts w:ascii="Arial" w:cs="Arial" w:eastAsia="Arial" w:hAnsi="Arial"/>
          <w:sz w:val="18"/>
          <w:szCs w:val="18"/>
          <w:i w:val="1"/>
          <w:iCs w:val="1"/>
          <w:color w:val="auto"/>
        </w:rPr>
        <w:t xml:space="preserve">. </w:t>
      </w:r>
      <w:r>
        <w:rPr>
          <w:rFonts w:ascii="Arial" w:cs="Arial" w:eastAsia="Arial" w:hAnsi="Arial"/>
          <w:sz w:val="18"/>
          <w:szCs w:val="18"/>
          <w:color w:val="auto"/>
        </w:rPr>
        <w:t>Cliffs is currently constructing a hot briquetted iron production plant in Toledo, Ohio, and had begun shipping direct reduced-grade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pellets form Northshore Mining to the Toledo plant in anticipation of the planned start of operations in mid-2020. On March 19, 2020, following guidelines from the office of the Governor of Ohio regarding the COVID-19 pandemic, Cliffs temporarily shut down construction activities at its hot briquetted iron project site. On April 13, 2020, Cliffs announced that based on current market conditions, it will be temporarily idling production at two of its iron ore mining operations, Northshore Mining in Minnesota and Tilden Mine in Michigan. Cliffs idled production at Northshore Mining in April 2020 and plans to restart the facility by August 2020, subject to business conditions. Northshore Mining has the capability to produce approximately 6 million tons annually. Minnesota Power has a PSA through 2031 with Silver Bay Power, which provides the majority of the electric service requirements for Northshore Mining. (See </w:t>
      </w:r>
      <w:r>
        <w:rPr>
          <w:rFonts w:ascii="Arial" w:cs="Arial" w:eastAsia="Arial" w:hAnsi="Arial"/>
          <w:sz w:val="18"/>
          <w:szCs w:val="18"/>
          <w:i w:val="1"/>
          <w:iCs w:val="1"/>
          <w:color w:val="auto"/>
        </w:rPr>
        <w:t>Silver Bay Power</w:t>
      </w:r>
      <w:r>
        <w:rPr>
          <w:rFonts w:ascii="Arial" w:cs="Arial" w:eastAsia="Arial" w:hAnsi="Arial"/>
          <w:sz w:val="18"/>
          <w:szCs w:val="18"/>
          <w:color w:val="auto"/>
        </w:rPr>
        <w:t>.)</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Silver Bay Power</w:t>
      </w:r>
      <w:r>
        <w:rPr>
          <w:rFonts w:ascii="Arial" w:cs="Arial" w:eastAsia="Arial" w:hAnsi="Arial"/>
          <w:sz w:val="17"/>
          <w:szCs w:val="17"/>
          <w:i w:val="1"/>
          <w:iCs w:val="1"/>
          <w:color w:val="auto"/>
        </w:rPr>
        <w:t xml:space="preserve">. </w:t>
      </w:r>
      <w:r>
        <w:rPr>
          <w:rFonts w:ascii="Arial" w:cs="Arial" w:eastAsia="Arial" w:hAnsi="Arial"/>
          <w:sz w:val="17"/>
          <w:szCs w:val="17"/>
          <w:color w:val="auto"/>
        </w:rPr>
        <w:t>In 2016, Minnesota Power and Silver Bay Power entered into a PSA through 2031. Silver Bay Power supplies approximately 90 MW of</w:t>
      </w:r>
      <w:r>
        <w:rPr>
          <w:rFonts w:ascii="Arial" w:cs="Arial" w:eastAsia="Arial" w:hAnsi="Arial"/>
          <w:sz w:val="17"/>
          <w:szCs w:val="17"/>
          <w:i w:val="1"/>
          <w:iCs w:val="1"/>
          <w:color w:val="auto"/>
        </w:rPr>
        <w:t xml:space="preserve"> </w:t>
      </w:r>
      <w:r>
        <w:rPr>
          <w:rFonts w:ascii="Arial" w:cs="Arial" w:eastAsia="Arial" w:hAnsi="Arial"/>
          <w:sz w:val="17"/>
          <w:szCs w:val="17"/>
          <w:color w:val="auto"/>
        </w:rPr>
        <w:t>load to Northshore Mining, an affiliate of Silver Bay Power, which had previously been served predominately through self-generation by Silver Bay Power. Starting in 2016, Minnesota Power supplied Silver Bay Power with at least 50 MW of energy and Silver Bay Power had the option to purchase additional energy from Minnesota Power as it transitioned away from self-generation. In the third quarter of 2019, Silver Bay Power ceased self-generation and Minnesota Power began supplying the full energy requirements for Silver Bay Power.</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USS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April 2020, USS Corporation stated it would indefinitely idle its Keetac facility in Keewatin, Minnesota, in response to the sudden</w:t>
      </w:r>
      <w:r>
        <w:rPr>
          <w:rFonts w:ascii="Arial" w:cs="Arial" w:eastAsia="Arial" w:hAnsi="Arial"/>
          <w:sz w:val="18"/>
          <w:szCs w:val="18"/>
          <w:i w:val="1"/>
          <w:iCs w:val="1"/>
          <w:color w:val="auto"/>
        </w:rPr>
        <w:t xml:space="preserve"> </w:t>
      </w:r>
      <w:r>
        <w:rPr>
          <w:rFonts w:ascii="Arial" w:cs="Arial" w:eastAsia="Arial" w:hAnsi="Arial"/>
          <w:sz w:val="18"/>
          <w:szCs w:val="18"/>
          <w:color w:val="auto"/>
        </w:rPr>
        <w:t>and dramatic decline in business conditions resulting from the COVID-19 pandemic. In addition, on May 1, 2020, USS Corporation announced reduced production expected temporarily at its Minntac Plant in Mountain Iron, Minnesota until July 2020. USS Corporation has the capability to produce approximately 20 million tons annually at its Minntac and Keetac plants.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Hibbing Taconite</w:t>
      </w:r>
      <w:r>
        <w:rPr>
          <w:rFonts w:ascii="Arial" w:cs="Arial" w:eastAsia="Arial" w:hAnsi="Arial"/>
          <w:sz w:val="18"/>
          <w:szCs w:val="18"/>
          <w:color w:val="auto"/>
        </w:rPr>
        <w:t>. On April 20, 2020, ArcelorMittal announced that Hibbing Taconite in Hibbing, Minnesota, would idle production until July 2020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COVID-19 pandemic. Hibbing Taconite has the capability to produce approximately 8 million tons annually.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Paper, Pulp and Secondary Wood Products</w:t>
      </w:r>
      <w:r>
        <w:rPr>
          <w:rFonts w:ascii="Arial" w:cs="Arial" w:eastAsia="Arial" w:hAnsi="Arial"/>
          <w:sz w:val="18"/>
          <w:szCs w:val="18"/>
          <w:color w:val="auto"/>
        </w:rPr>
        <w:t>. The North American paper and pulp industry faces declining demand due to the impact of electronic substitution for print and changing customer needs. As a result, certain paper and pulp customers have reduced their existing operations in recent years and have pursued or are pursuing product changes in response to the declining demand. In addition, the ongoing COVID-19 pandemic and related federal and state government responses could adversely impact these customers’ operations and result in lower operating levels than expected or the temporary idling or indefinite shutdown of facilities.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Boise</w:t>
      </w:r>
      <w:r>
        <w:rPr>
          <w:rFonts w:ascii="Arial" w:cs="Arial" w:eastAsia="Arial" w:hAnsi="Arial"/>
          <w:sz w:val="16"/>
          <w:szCs w:val="16"/>
          <w:i w:val="1"/>
          <w:iCs w:val="1"/>
          <w:color w:val="auto"/>
        </w:rPr>
        <w:t xml:space="preserve">. </w:t>
      </w:r>
      <w:r>
        <w:rPr>
          <w:rFonts w:ascii="Arial" w:cs="Arial" w:eastAsia="Arial" w:hAnsi="Arial"/>
          <w:sz w:val="16"/>
          <w:szCs w:val="16"/>
          <w:color w:val="auto"/>
        </w:rPr>
        <w:t>On April 1, 2020, Packaging Corporation of America announced an idling of both paper machines and the sheet-converting operation at its Jackson</w:t>
      </w:r>
      <w:r>
        <w:rPr>
          <w:rFonts w:ascii="Arial" w:cs="Arial" w:eastAsia="Arial" w:hAnsi="Arial"/>
          <w:sz w:val="16"/>
          <w:szCs w:val="16"/>
          <w:i w:val="1"/>
          <w:iCs w:val="1"/>
          <w:color w:val="auto"/>
        </w:rPr>
        <w:t xml:space="preserve"> </w:t>
      </w:r>
      <w:r>
        <w:rPr>
          <w:rFonts w:ascii="Arial" w:cs="Arial" w:eastAsia="Arial" w:hAnsi="Arial"/>
          <w:sz w:val="16"/>
          <w:szCs w:val="16"/>
          <w:color w:val="auto"/>
        </w:rPr>
        <w:t>Mill in Alabama for the months of May and June 2020. As part of that announcement, Packaging Corporation of America also stated that the company's Boise paper mill in International Falls, Minnesota, which is a customer of Minnesota Power, will continue to operate at capacity during this period.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101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Husky Energy</w:t>
      </w:r>
      <w:r>
        <w:rPr>
          <w:rFonts w:ascii="Arial" w:cs="Arial" w:eastAsia="Arial" w:hAnsi="Arial"/>
          <w:sz w:val="18"/>
          <w:szCs w:val="18"/>
          <w:color w:val="auto"/>
        </w:rPr>
        <w:t>. In April 2018, a fire at Husky Energy’s refinery in Superior, Wisconsin, disrupted operations at the facility. Under normal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SWL&amp;P provides approximately 14 MW of average monthly demand to Husky Energy in addition to water service. On September 30, 2019, Husky Energy announced that it had received the required permit approvals to begin reconstruction. On April 20, 2020, Husky Energy announced that rebuild construction at the refinery had been suspended due to the COVID-19 pandemic. Husky Energy did not provide a timeline for when construction would resume. The facility remains at minimal operations.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in northeastern Minnesota continue to progress in the development of natural resource-based projects that represent long-term growth potential and load diversity for Minnesota Power. We cannot predict the outcome of these projects.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and the U.S. Army Corps of Engineers have both issued final Records of Decision, finding the final EIS adequate.</w:t>
      </w:r>
    </w:p>
    <w:p>
      <w:pPr>
        <w:spacing w:after="0" w:line="187"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In 2016, PolyMet submitted applications for water-related permits with the DNR and MPCA, an air quality permit with the MPCA, and a state permit to mine application with the DNR detailing its operational plans for the mine. In June 2018, the U.S. Forest Service and PolyMet closed on a land exchange, which resulted in PolyMet obtaining surface rights to land needed to develop its mining operation. In November 2018, the DNR issued PolyMet’s permit to mine and certain water-related permits. In December 2018, the MPCA issued PolyMet’s final state water and air quality permits. On March 21, 2019, the U.S. Army Corps of Engineers issued PolyMet’s final federal permit. PolyMet was issued all necessary permits to construct and operate its new mining operation; however, on January 13, 2020, the Minnesota Court of Appeals reversed the DNR’s decisions granting PolyMet’s permit to mine and dam-safety permits, and remanded them back to the DNR to hold a contested-case hearing. On February 11, 2020, PolyMet announced it had filed a petition for further review with the Minnesota Supreme Court seeking to overturn the Minnesota Court of Appeals decision, which was accepted for review by the Minnesota Supreme Court on March 25, 2020. Minnesota Power could supply between 45 MW and 50 MW of load under a 10</w:t>
      </w:r>
      <w:r>
        <w:rPr>
          <w:rFonts w:ascii="MS PGothic" w:cs="MS PGothic" w:eastAsia="MS PGothic" w:hAnsi="MS PGothic"/>
          <w:sz w:val="17"/>
          <w:szCs w:val="17"/>
          <w:color w:val="auto"/>
        </w:rPr>
        <w:t>‑</w:t>
      </w:r>
      <w:r>
        <w:rPr>
          <w:rFonts w:ascii="Arial" w:cs="Arial" w:eastAsia="Arial" w:hAnsi="Arial"/>
          <w:sz w:val="17"/>
          <w:szCs w:val="17"/>
          <w:color w:val="auto"/>
        </w:rPr>
        <w:t>year power supply contract with PolyMet that would begin upon start-up of operations.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Minnesota Power is executing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 improving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environmental performance. The plan includes completed and planned investments in wind, solar, natural gas and hydroelectric power, construction of additional transmission capacity, the installation of emissions control technology and the idling of certain coal-fired generating facilities.</w:t>
      </w:r>
    </w:p>
    <w:p>
      <w:pPr>
        <w:spacing w:after="0" w:line="165"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i w:val="1"/>
          <w:iCs w:val="1"/>
          <w:color w:val="auto"/>
        </w:rPr>
        <w:t>Nemadji Trail Energy Center</w:t>
      </w:r>
      <w:r>
        <w:rPr>
          <w:rFonts w:ascii="Arial" w:cs="Arial" w:eastAsia="Arial" w:hAnsi="Arial"/>
          <w:sz w:val="17"/>
          <w:szCs w:val="17"/>
          <w:color w:val="auto"/>
        </w:rPr>
        <w:t>. In 2017, Minnesota Power submitted a resource package to the MPUC which included requesting approval of a 250 MW</w:t>
      </w:r>
      <w:r>
        <w:rPr>
          <w:rFonts w:ascii="Arial" w:cs="Arial" w:eastAsia="Arial" w:hAnsi="Arial"/>
          <w:sz w:val="17"/>
          <w:szCs w:val="17"/>
          <w:i w:val="1"/>
          <w:iCs w:val="1"/>
          <w:color w:val="auto"/>
        </w:rPr>
        <w:t xml:space="preserve"> </w:t>
      </w:r>
      <w:r>
        <w:rPr>
          <w:rFonts w:ascii="Arial" w:cs="Arial" w:eastAsia="Arial" w:hAnsi="Arial"/>
          <w:sz w:val="17"/>
          <w:szCs w:val="17"/>
          <w:color w:val="auto"/>
        </w:rPr>
        <w:t>natural gas capacity dedication agreement. The natural gas capacity dedication agreement was subject to MPUC approval of the construction of NTEC, a 525 MW to 550 MW combined-cycle natural gas</w:t>
      </w:r>
      <w:r>
        <w:rPr>
          <w:rFonts w:ascii="MS PGothic" w:cs="MS PGothic" w:eastAsia="MS PGothic" w:hAnsi="MS PGothic"/>
          <w:sz w:val="17"/>
          <w:szCs w:val="17"/>
          <w:color w:val="auto"/>
        </w:rPr>
        <w:t>‑</w:t>
      </w:r>
      <w:r>
        <w:rPr>
          <w:rFonts w:ascii="Arial" w:cs="Arial" w:eastAsia="Arial" w:hAnsi="Arial"/>
          <w:sz w:val="17"/>
          <w:szCs w:val="17"/>
          <w:color w:val="auto"/>
        </w:rPr>
        <w:t>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Separately, the MPUC required a baseload retirement evaluation in Minnesota Power’s next IRP filing analyzing its existing fleet, including potential early retirement scenarios of Boswell Units 3 and 4, as well as a securitization plan. On December 23, 2019, the Minnesota Court of Appeals reversed and remanded the MPUC’s decision to approve certain affiliated-interest agreements. The MPUC was ordered to determine whether NTEC may have the potential for significant environmental effects and, if so, to prepare an environmental assessment worksheet before reassessing the agreements. On January 22, 2020, Minnesota Power filed a petition for further review with the Minnesota Supreme Court requesting that it review and overturn the Minnesota Court of Appeals decision, which petition was accepted for review by the Minnesota Supreme Court on March 18, 2020. On January 8, 2019, an application for a certificate of public convenience and necessity for NTEC was submitted to the PSCW, which was approved by the PSCW at a hearing on January 16, 2020. Construction of NTEC is subject to obtaining additional permits from local, state and federal authorities. The total project cost is estimated to be approximately $700 million, of which ALLETE’s portion is expected to be approximately $350 million. ALLETE’s portion of NTEC project costs incurred through March 31, 2020, is approximately $13 million.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101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Integrated Resource Plan. </w:t>
      </w:r>
      <w:r>
        <w:rPr>
          <w:rFonts w:ascii="Arial" w:cs="Arial" w:eastAsia="Arial" w:hAnsi="Arial"/>
          <w:sz w:val="18"/>
          <w:szCs w:val="18"/>
          <w:color w:val="auto"/>
        </w:rPr>
        <w:t>In a 2016 order, the MPUC approved Minnesota Power’s 2015 IRP with modifications. The order accepted Minnesota Power’s</w:t>
      </w:r>
      <w:r>
        <w:rPr>
          <w:rFonts w:ascii="Arial" w:cs="Arial" w:eastAsia="Arial" w:hAnsi="Arial"/>
          <w:sz w:val="18"/>
          <w:szCs w:val="18"/>
          <w:i w:val="1"/>
          <w:iCs w:val="1"/>
          <w:color w:val="auto"/>
        </w:rPr>
        <w:t xml:space="preserve"> </w:t>
      </w:r>
      <w:r>
        <w:rPr>
          <w:rFonts w:ascii="Arial" w:cs="Arial" w:eastAsia="Arial" w:hAnsi="Arial"/>
          <w:sz w:val="18"/>
          <w:szCs w:val="18"/>
          <w:color w:val="auto"/>
        </w:rPr>
        <w:t>plans for the economic idling of Taconite Harbor Units 1 and 2 and the ceasing of coal-fired operations at Taconite Harbor in 2020, directed Minnesota Power to retire Boswell Units 1 and 2 no later than 2022, required an analysis of generation and demand response alternatives to be filed with a natural gas resource proposal, and required Minnesota Power to conduct requests for proposal for additional wind, solar and demand response resource additions. Minnesota Power retired Boswell Units 1 and 2 in the fourth quarter of 2018. Minnesota Power’s next IRP filing is due October 1, 2020. (See Note 2. Regulatory Matters.)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Power’s 2015 IRP includes an update on its plans and progress in meeting the Minnesota renewable energy milestones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2025. Minnesota Power continues to execute its renewable energy strategy and expects approximately 50 percent of its energy will be supplied by renewable energy sources by 2021.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Solar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solar energy supply consists of Camp Ripley, a 10 MW solar energy facility at the Camp Ripley Minnesota Army</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Guard base and training facility near Little Falls, Minnesota, and a community solar garden project in northeastern Minnesota, which is comprised of a 1 MW solar array owned and operated by a third party with the output purchased by Minnesota Power and a 40 kW solar array that is owned and operated by Minnesota Power.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has approval for current cost recovery of investments and expenditures related to compliance with the Minnesota Solar Energy Standard.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is no approved customer billing rate for solar costs.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wind energy from North Dakota while gradually phasing out coal-based electricity delivered to its system over this transmission line from Square Butte’s lignite coal-fired generating unit. Minnesota Power is currently pursuing a modernization and capacity upgrade of its DC transmission system to continue providing reliable operations and additional system capabilities.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an approved cost recovery rider for certain renewable investments and expenditures. The cost recovery rider allows Minnesota Power to charge retail customers on a current basis for the costs of certain renewable investments plus a return on the capital invested. Updated customer billing rates for the renewable cost recovery rider were provisionally approved by the MPUC in a November 2018 order.</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Nobles 2 PPA</w:t>
      </w:r>
      <w:r>
        <w:rPr>
          <w:rFonts w:ascii="Arial" w:cs="Arial" w:eastAsia="Arial" w:hAnsi="Arial"/>
          <w:sz w:val="17"/>
          <w:szCs w:val="17"/>
          <w:i w:val="1"/>
          <w:iCs w:val="1"/>
          <w:color w:val="auto"/>
        </w:rPr>
        <w:t xml:space="preserve">. </w:t>
      </w:r>
      <w:r>
        <w:rPr>
          <w:rFonts w:ascii="Arial" w:cs="Arial" w:eastAsia="Arial" w:hAnsi="Arial"/>
          <w:sz w:val="17"/>
          <w:szCs w:val="17"/>
          <w:color w:val="auto"/>
        </w:rPr>
        <w:t>In the third quarter of 2018, Minnesota Power and Nobles 2 signed an amended long-term PPA that provides for Minnesota Power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the energy and associated capacity from a 250 MW wind energy facility in southwestern Minnesota for a 20-year period beginning in 2020. The agreement provides for the purchase of output from the facility at fixed energy prices. There are no fixed capacity charges, and Minnesota Power will only pay for energy as it is delivered. This agreement is subject to construction of the wind energy facility. (See Note 3. Equity Investments.)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Manitoba Hydro</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five long-term PPAs with Manitoba Hydro. The first PPA expires in May 2020. Under this agreement, Minnesota</w:t>
      </w:r>
      <w:r>
        <w:rPr>
          <w:rFonts w:ascii="Arial" w:cs="Arial" w:eastAsia="Arial" w:hAnsi="Arial"/>
          <w:sz w:val="18"/>
          <w:szCs w:val="18"/>
          <w:i w:val="1"/>
          <w:iCs w:val="1"/>
          <w:color w:val="auto"/>
        </w:rPr>
        <w:t xml:space="preserve"> </w:t>
      </w:r>
      <w:r>
        <w:rPr>
          <w:rFonts w:ascii="Arial" w:cs="Arial" w:eastAsia="Arial" w:hAnsi="Arial"/>
          <w:sz w:val="18"/>
          <w:szCs w:val="18"/>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third PPA provides for Minnesota Power to purchase 250 MW of capacity and energy from Manitoba Hydro for 15 years beginning in 2020. The PPA is subject to the construction of the GNTL and MMTP. (See Note 6. Commitments, Guarantees and Contingencies.)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fourth PPA provides for Minnesota Power to purchase up to 133 MW of energy from Manitoba Hydro for 20 years beginning in 2020. The pricing under this PPA is based on forward market prices. The PPA is subject to the construction of the GNTL and MMTP. (See Note 6. Commitments, Guarantees and Contingencies.)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240"/>
          </w:cols>
          <w:pgMar w:left="320" w:top="101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fifth PPA provides for Minnesota Power to purchase 50 MW of capacity from Manitoba Hydro at fixed prices. The PPA began in June 2017 and expires in May 2020.</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 2016 order, the MPUC approved the route permit for the GNTL, and in 2016, the U.S. Department of Energy issued a presidential permit to cross the U.S.-Canadian border, which was the final major regulatory approval needed before construction in the U.S. could begin. Construction activities commenced in the first quarter of 2017, and Minnesota Power expects the GNTL to be in-service by mid-2020. The total project cost in the U.S., including substation work, is estimated to be approximately $700 million, of which Minnesota Power’s portion is expected to be approximately $325 million; the difference will be recovered from a subsidiary of Manitoba Hydro as non-shareholder contributions to capital. Total project costs of $647.7 million have been incurred through March 31, 2020, of which $344.6 million has been recovered from a subsidiary of Manitoba Hydro. (See Note 6. Commitments, Guarantees and Contingencies.)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Our wholly-owned subsidiary, ALLETE Transmission Holdings, owns approximately 8 percent of ATC, a Wisconsin-based utility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and maintains electric transmission assets in portions of Wisconsin, Michigan, Minnesota and Illinois. We account for our investment in ATC under the equity method of accounting. As of March 31, 2020, our equity investment in ATC was $142.3 million ($141.6 million as of December 31, 2019). In the three months ended March 31, 2020, we invested $0.4 million in ATC, and on April 30, 2020, we invested an additional $0.8 million. We expect to make additional investments of $1.6 million in 2020.</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ATC’s authorized return on equity is 9.88 percent, or 10.38 percent including an incentive adder for participation in a regional transmission organization based on a November 2019 FERC order. In this order, the FERC reduced the base return on equity for regional transmission organizations as recommended by an administrative law judge with refunds ordered for prior periods. Multiple parties to the complaint have filed requests for rehearing of the FERC order.</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2019 through 2028, identifies a need for between $2.9 billion and $3.6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ALLETE Clean Energy focuses on developing, acquiring, and operating clean and renewable energy projects. ALLETE Clean Energy currently owns and operates, in six states, approximately 740 MW of nameplate capacity wind energy generation that is contracted under PSAs of various durations. In addition, ALLETE Clean Energy currently has approximately 300 MW of wind energy facilities under construction that it will own and operate with long-term PSAs in place. ALLETE Clean Energy also engages in the development of wind energy facilities to operate under long-term PSAs or for sale to others upon completion.</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and production tax credit requalification of existing facilities.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101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ALLETE Clean Energy will pursue growth through acquisitions or project development. ALLETE Clean Energy is targeting acquisitions of existing facilities up to 200 MW each, which have long-term PSAs in place for the facilities’ output. At this time, ALLETE Clean Energy expects acquisitions or development of new facilities will be primarily wind or solar facilities in North America. ALLETE Clean Energy is also targeting the development of new facilities up to 200 MW each, which will have long</w:t>
      </w:r>
      <w:r>
        <w:rPr>
          <w:rFonts w:ascii="MS PGothic" w:cs="MS PGothic" w:eastAsia="MS PGothic" w:hAnsi="MS PGothic"/>
          <w:sz w:val="17"/>
          <w:szCs w:val="17"/>
          <w:color w:val="auto"/>
        </w:rPr>
        <w:t>‑</w:t>
      </w:r>
      <w:r>
        <w:rPr>
          <w:rFonts w:ascii="Arial" w:cs="Arial" w:eastAsia="Arial" w:hAnsi="Arial"/>
          <w:sz w:val="17"/>
          <w:szCs w:val="17"/>
          <w:color w:val="auto"/>
        </w:rPr>
        <w:t>term PSAs in place for the output or may be sold upon completion.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Federal production tax credit qualification is important to the economics of project development, and ALLETE Clean Energy has invested in equipment to meet production tax credit safe harbor provisions which provides an opportunity to seek development of up to approximately 1,000 MW of production tax credit qualified wind projects through 2022. ALLETE Clean Energy will also invest approximately $80 million through 2020 for production tax credit requalification of up to approximately 500 WTGs at its Storm Lake I, Storm Lake II, Lake Benton and Condon wind energy facilities. We anticipate annual production tax credits relating to these projects of approximately $20 million in 2020, $17 million to $22 million annually in 2021 through 2027 and decreasing thereafter through 2030. Disruptions in our supply chains or a lack of available financing resulting from the ongoing COVID-19 pandemic, if they occur, could jeopardize our ability to complete certain capital projects in time to qualify them for production tax credits. (See Part II, Item 1A. Risk Factors.)</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2018, ALLETE Clean Energy announced that it will build, own and operate the South Peak wind project, an 80 MW wind energy facility in Montana, pursuant to a 15-year PSA with NorthWestern Corporation; construction was completed and tax equity funding was received in the second quarter of 2020.</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2019, ALLETE Clean Energy acquired the Diamond Spring wind project in Oklahoma from Apex Clean Energy. ALLETE Clean Energy will build, own and operate the approximately 300 MW wind energy facility. The Diamond Spring wind project is fully contracted to sell wind power under long-term power sales agreements. Construction is expected to be completed in late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10, 2020, ALLETE Clean Energy acquired the rights to the Caddo wind project in Oklahoma from Apex Clean Energy for approximately $8 million with additional payments required to be made at defined milestones. The full development of this approximately 300 MW wind project would involve the sale of energy to corporate customers under long-term power sales agreements.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operating portfolio of approximately 740 MW is subject to typical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740" w:type="dxa"/>
            <w:vAlign w:val="bottom"/>
          </w:tcPr>
          <w:p>
            <w:pPr>
              <w:jc w:val="center"/>
              <w:ind w:left="1170"/>
              <w:spacing w:after="0"/>
              <w:rPr>
                <w:sz w:val="20"/>
                <w:szCs w:val="20"/>
                <w:color w:val="auto"/>
              </w:rPr>
            </w:pPr>
            <w:r>
              <w:rPr>
                <w:rFonts w:ascii="Arial" w:cs="Arial" w:eastAsia="Arial" w:hAnsi="Arial"/>
                <w:sz w:val="18"/>
                <w:szCs w:val="18"/>
                <w:b w:val="1"/>
                <w:bCs w:val="1"/>
                <w:color w:val="auto"/>
                <w:w w:val="90"/>
              </w:rPr>
              <w:t>Location</w:t>
            </w:r>
          </w:p>
        </w:tc>
        <w:tc>
          <w:tcPr>
            <w:tcW w:w="1880" w:type="dxa"/>
            <w:vAlign w:val="bottom"/>
          </w:tcPr>
          <w:p>
            <w:pPr>
              <w:ind w:left="420"/>
              <w:spacing w:after="0"/>
              <w:rPr>
                <w:sz w:val="20"/>
                <w:szCs w:val="20"/>
                <w:color w:val="auto"/>
              </w:rPr>
            </w:pPr>
            <w:r>
              <w:rPr>
                <w:rFonts w:ascii="Arial" w:cs="Arial" w:eastAsia="Arial" w:hAnsi="Arial"/>
                <w:sz w:val="18"/>
                <w:szCs w:val="18"/>
                <w:b w:val="1"/>
                <w:bCs w:val="1"/>
                <w:color w:val="auto"/>
              </w:rPr>
              <w:t>Capacity MW</w:t>
            </w:r>
          </w:p>
        </w:tc>
        <w:tc>
          <w:tcPr>
            <w:tcW w:w="1480" w:type="dxa"/>
            <w:vAlign w:val="bottom"/>
          </w:tcPr>
          <w:p>
            <w:pPr>
              <w:ind w:left="400"/>
              <w:spacing w:after="0"/>
              <w:rPr>
                <w:sz w:val="20"/>
                <w:szCs w:val="20"/>
                <w:color w:val="auto"/>
              </w:rPr>
            </w:pPr>
            <w:r>
              <w:rPr>
                <w:rFonts w:ascii="Arial" w:cs="Arial" w:eastAsia="Arial" w:hAnsi="Arial"/>
                <w:sz w:val="18"/>
                <w:szCs w:val="18"/>
                <w:b w:val="1"/>
                <w:bCs w:val="1"/>
                <w:color w:val="auto"/>
              </w:rPr>
              <w:t>PSA MW</w:t>
            </w:r>
          </w:p>
        </w:tc>
        <w:tc>
          <w:tcPr>
            <w:tcW w:w="180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PSA Expiration</w:t>
            </w:r>
          </w:p>
        </w:tc>
      </w:tr>
      <w:tr>
        <w:trPr>
          <w:trHeight w:val="27"/>
        </w:trPr>
        <w:tc>
          <w:tcPr>
            <w:tcW w:w="33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8"/>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74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3"/>
              </w:rPr>
              <w:t>East</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101</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2024</w:t>
            </w:r>
          </w:p>
        </w:tc>
      </w:tr>
      <w:tr>
        <w:trPr>
          <w:trHeight w:val="237"/>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Chanarambie/Viking</w:t>
            </w:r>
          </w:p>
        </w:tc>
        <w:tc>
          <w:tcPr>
            <w:tcW w:w="274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3"/>
              </w:rPr>
              <w:t>Midwest</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98</w:t>
            </w:r>
          </w:p>
        </w:tc>
        <w:tc>
          <w:tcPr>
            <w:tcW w:w="14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PSA 1 </w:t>
            </w:r>
            <w:r>
              <w:rPr>
                <w:rFonts w:ascii="Arial" w:cs="Arial" w:eastAsia="Arial" w:hAnsi="Arial"/>
                <w:sz w:val="16"/>
                <w:szCs w:val="16"/>
                <w:i w:val="1"/>
                <w:iCs w:val="1"/>
                <w:color w:val="auto"/>
              </w:rPr>
              <w:t>(a)</w:t>
            </w:r>
          </w:p>
        </w:tc>
        <w:tc>
          <w:tcPr>
            <w:tcW w:w="27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2023</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PSA 2</w:t>
            </w:r>
          </w:p>
        </w:tc>
        <w:tc>
          <w:tcPr>
            <w:tcW w:w="27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88%</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89"/>
              </w:rPr>
              <w:t>2023</w:t>
            </w:r>
          </w:p>
        </w:tc>
      </w:tr>
      <w:tr>
        <w:trPr>
          <w:trHeight w:val="27"/>
        </w:trPr>
        <w:tc>
          <w:tcPr>
            <w:tcW w:w="33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74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7"/>
              </w:rPr>
              <w:t>West</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2022</w:t>
            </w:r>
          </w:p>
        </w:tc>
      </w:tr>
      <w:tr>
        <w:trPr>
          <w:trHeight w:val="237"/>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Glen Ullin</w:t>
            </w:r>
          </w:p>
        </w:tc>
        <w:tc>
          <w:tcPr>
            <w:tcW w:w="2740" w:type="dxa"/>
            <w:vAlign w:val="bottom"/>
            <w:tcBorders>
              <w:top w:val="single" w:sz="8" w:color="auto"/>
            </w:tcBorders>
          </w:tcPr>
          <w:p>
            <w:pPr>
              <w:jc w:val="center"/>
              <w:ind w:left="1170"/>
              <w:spacing w:after="0"/>
              <w:rPr>
                <w:sz w:val="20"/>
                <w:szCs w:val="20"/>
                <w:color w:val="auto"/>
              </w:rPr>
            </w:pPr>
            <w:r>
              <w:rPr>
                <w:rFonts w:ascii="Arial" w:cs="Arial" w:eastAsia="Arial" w:hAnsi="Arial"/>
                <w:sz w:val="18"/>
                <w:szCs w:val="18"/>
                <w:color w:val="auto"/>
                <w:w w:val="87"/>
              </w:rPr>
              <w:t>West</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106</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0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89"/>
              </w:rPr>
              <w:t>2039</w:t>
            </w:r>
          </w:p>
        </w:tc>
      </w:tr>
      <w:tr>
        <w:trPr>
          <w:trHeight w:val="27"/>
        </w:trPr>
        <w:tc>
          <w:tcPr>
            <w:tcW w:w="33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8"/>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Lake Benton</w:t>
            </w:r>
          </w:p>
        </w:tc>
        <w:tc>
          <w:tcPr>
            <w:tcW w:w="274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3"/>
              </w:rPr>
              <w:t>Midwest</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104</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2028</w:t>
            </w:r>
          </w:p>
        </w:tc>
      </w:tr>
      <w:tr>
        <w:trPr>
          <w:trHeight w:val="237"/>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South Peak</w:t>
            </w:r>
          </w:p>
        </w:tc>
        <w:tc>
          <w:tcPr>
            <w:tcW w:w="2740" w:type="dxa"/>
            <w:vAlign w:val="bottom"/>
            <w:tcBorders>
              <w:top w:val="single" w:sz="8" w:color="auto"/>
            </w:tcBorders>
          </w:tcPr>
          <w:p>
            <w:pPr>
              <w:jc w:val="center"/>
              <w:ind w:left="1170"/>
              <w:spacing w:after="0"/>
              <w:rPr>
                <w:sz w:val="20"/>
                <w:szCs w:val="20"/>
                <w:color w:val="auto"/>
              </w:rPr>
            </w:pPr>
            <w:r>
              <w:rPr>
                <w:rFonts w:ascii="Arial" w:cs="Arial" w:eastAsia="Arial" w:hAnsi="Arial"/>
                <w:sz w:val="18"/>
                <w:szCs w:val="18"/>
                <w:color w:val="auto"/>
                <w:w w:val="87"/>
              </w:rPr>
              <w:t>West</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80</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0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89"/>
              </w:rPr>
              <w:t>2035</w:t>
            </w:r>
          </w:p>
        </w:tc>
      </w:tr>
      <w:tr>
        <w:trPr>
          <w:trHeight w:val="27"/>
        </w:trPr>
        <w:tc>
          <w:tcPr>
            <w:tcW w:w="33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8"/>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w:t>
            </w:r>
          </w:p>
        </w:tc>
        <w:tc>
          <w:tcPr>
            <w:tcW w:w="274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3"/>
              </w:rPr>
              <w:t>Midwest</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108</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2027</w:t>
            </w:r>
          </w:p>
        </w:tc>
      </w:tr>
      <w:tr>
        <w:trPr>
          <w:trHeight w:val="237"/>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Storm Lake II</w:t>
            </w:r>
          </w:p>
        </w:tc>
        <w:tc>
          <w:tcPr>
            <w:tcW w:w="274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3"/>
              </w:rPr>
              <w:t>Midwest</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14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7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90%</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2022</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PSA 2</w:t>
            </w:r>
          </w:p>
        </w:tc>
        <w:tc>
          <w:tcPr>
            <w:tcW w:w="27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89"/>
              </w:rPr>
              <w:t>2032</w:t>
            </w:r>
          </w:p>
        </w:tc>
      </w:tr>
      <w:tr>
        <w:trPr>
          <w:trHeight w:val="27"/>
        </w:trPr>
        <w:tc>
          <w:tcPr>
            <w:tcW w:w="33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74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3"/>
              </w:rPr>
              <w:t>Midwest</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2028</w:t>
            </w:r>
          </w:p>
        </w:tc>
      </w:tr>
      <w:tr>
        <w:trPr>
          <w:trHeight w:val="20"/>
        </w:trPr>
        <w:tc>
          <w:tcPr>
            <w:tcW w:w="334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The PSA expiration assumes the exercise of all renewal options that ALLETE Clean Energy has the sole right to exercise.</w:t>
      </w:r>
    </w:p>
    <w:p>
      <w:pPr>
        <w:spacing w:after="0" w:line="391" w:lineRule="exact"/>
        <w:rPr>
          <w:rFonts w:ascii="Arial" w:cs="Arial" w:eastAsia="Arial" w:hAnsi="Arial"/>
          <w:sz w:val="16"/>
          <w:szCs w:val="16"/>
          <w:i w:val="1"/>
          <w:iCs w:val="1"/>
          <w:color w:val="auto"/>
        </w:rPr>
      </w:pPr>
    </w:p>
    <w:p>
      <w:pPr>
        <w:ind w:left="4320"/>
        <w:spacing w:after="0"/>
        <w:rPr>
          <w:rFonts w:ascii="Arial" w:cs="Arial" w:eastAsia="Arial" w:hAnsi="Arial"/>
          <w:sz w:val="16"/>
          <w:szCs w:val="16"/>
          <w:i w:val="1"/>
          <w:iCs w:val="1"/>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240"/>
          </w:cols>
          <w:pgMar w:left="320" w:top="101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4.6 million tons of lignite coal in 2020 (4.1 million tons were sold in 2019) and has sold 1.2 million tons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(1.1 million tons were sold for the three months ended March 31, 2019). BNI Energy operates under cost-plus fixed fee agreements extending through December 31, 2037.</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Investment in Nobles 2</w:t>
      </w:r>
      <w:r>
        <w:rPr>
          <w:rFonts w:ascii="Arial" w:cs="Arial" w:eastAsia="Arial" w:hAnsi="Arial"/>
          <w:sz w:val="17"/>
          <w:szCs w:val="17"/>
          <w:color w:val="auto"/>
        </w:rPr>
        <w:t>. Our wholly-owned subsidiary, ALLETE South Wind, owns 49 percent of Nobles 2, the entity that will own and operate a 250 MW</w:t>
      </w:r>
      <w:r>
        <w:rPr>
          <w:rFonts w:ascii="Arial" w:cs="Arial" w:eastAsia="Arial" w:hAnsi="Arial"/>
          <w:sz w:val="17"/>
          <w:szCs w:val="17"/>
          <w:i w:val="1"/>
          <w:iCs w:val="1"/>
          <w:color w:val="auto"/>
        </w:rPr>
        <w:t xml:space="preserve"> </w:t>
      </w:r>
      <w:r>
        <w:rPr>
          <w:rFonts w:ascii="Arial" w:cs="Arial" w:eastAsia="Arial" w:hAnsi="Arial"/>
          <w:sz w:val="17"/>
          <w:szCs w:val="17"/>
          <w:color w:val="auto"/>
        </w:rPr>
        <w:t>wind energy facility in southwestern Minnesota pursuant to a 20-year PPA with Minnesota Power. The wind energy facility will be built in Nobles County, Minnesota, and is expected to be completed in late 2020, with an estimated total project cost of approximately $350 million to $400 million. In the fourth quarter of 2019, we entered into a tax equity funding agreement to finance approximately $116 million of the project costs. We account for our investment in Nobles 2 under the equity method of accounting. As of March 31, 2020, our equity investment in Nobles 2 was $83.4 million ($56.0 million at December 31, 2019). In the three months ended March 31, 2020, we invested $27.4 million in Nobles 2, and in April 2020 we invested an additional $21.7 million. We expect to make approximately $65 million in additional investments in 2020.</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legacy Florida real estate investment. ALLETE Properties’ major project in Florida is Town Center</w:t>
      </w:r>
      <w:r>
        <w:rPr>
          <w:rFonts w:ascii="Arial" w:cs="Arial" w:eastAsia="Arial" w:hAnsi="Arial"/>
          <w:sz w:val="18"/>
          <w:szCs w:val="18"/>
          <w:i w:val="1"/>
          <w:iCs w:val="1"/>
          <w:color w:val="auto"/>
        </w:rPr>
        <w:t xml:space="preserve"> </w:t>
      </w:r>
      <w:r>
        <w:rPr>
          <w:rFonts w:ascii="Arial" w:cs="Arial" w:eastAsia="Arial" w:hAnsi="Arial"/>
          <w:sz w:val="18"/>
          <w:szCs w:val="18"/>
          <w:color w:val="auto"/>
        </w:rPr>
        <w:t>at Palm Coast, with approximately 800 acres of land available for sale. In addition to this project, ALLETE Properties has approximately 600 acres of other land available for sale. Market conditions can impact land sales and could result in our inability to cover our cost basis and operating expenses including fixed carrying costs such as community development district assessments and property taxes.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strategy incorporates the possibility of a bulk sale of the entire ALLETE Properties portfolio. Proceeds from a bulk sale would be strategically deployed to support growth initiatives at our Regulated Operations and ALLETE Clean Energy. ALLETE Properties also continues to pursue sales of individual parcels over time and will continue to maintain key entitlements and infrastructure.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ALLETE’s aggregate federal and multi-state statutory tax rate is approximately 28 percent for 2020. ALLETE also has tax credits and other tax adjustments that reduce the combined statutory rate to the effective tax rate. These tax credits and adjustments historically have included items such as investment tax credits, production tax credits, AFUDC</w:t>
      </w:r>
      <w:r>
        <w:rPr>
          <w:rFonts w:ascii="MS PGothic" w:cs="MS PGothic" w:eastAsia="MS PGothic" w:hAnsi="MS PGothic"/>
          <w:sz w:val="17"/>
          <w:szCs w:val="17"/>
          <w:color w:val="auto"/>
        </w:rPr>
        <w:t>‑</w:t>
      </w:r>
      <w:r>
        <w:rPr>
          <w:rFonts w:ascii="Arial" w:cs="Arial" w:eastAsia="Arial" w:hAnsi="Arial"/>
          <w:sz w:val="17"/>
          <w:szCs w:val="17"/>
          <w:color w:val="auto"/>
        </w:rPr>
        <w:t>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25 percent to 30 percent for 2020 primarily due to federal production tax credits as a result of wind energy generation. We also expect that our effective tax rate will be lower than the combined statutory rate over the next 10 years due to production tax credits attributable to our wind energy generation.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Liquidity Position. </w:t>
      </w:r>
      <w:r>
        <w:rPr>
          <w:rFonts w:ascii="Arial" w:cs="Arial" w:eastAsia="Arial" w:hAnsi="Arial"/>
          <w:sz w:val="16"/>
          <w:szCs w:val="16"/>
          <w:color w:val="auto"/>
        </w:rPr>
        <w:t>ALLETE is well-positioned to meet the Company’s liquidity needs; however, the Company is monitoring capital markets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financing sources in light of the ongoing COVID-19 pandemic. (See Part II, Item 1A. Risk Factors.) A disruption in capital markets could lead to increased borrowing costs or adversely impact our ability to access capital markets or other financing sources. If we are not able to access capital on acceptable terms in sufficient amounts and when needed, or at all, the ability to maintain our businesses or to implement our business plans would be adversely affected.</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As of March 31, 2020, we had cash and cash equivalents of $67.0 million, $340.5 million in available consolidated lines of credit, 2.9 million original issue shares of common stock available for issuance through a distribution agreement with Lampert Capital Markets, $90 million available for borrowing under a $200 million term loan entered into in January 2020 and a debt-to-capital ratio of 42 percent. (See </w:t>
      </w:r>
      <w:r>
        <w:rPr>
          <w:rFonts w:ascii="Arial" w:cs="Arial" w:eastAsia="Arial" w:hAnsi="Arial"/>
          <w:sz w:val="17"/>
          <w:szCs w:val="17"/>
          <w:i w:val="1"/>
          <w:iCs w:val="1"/>
          <w:color w:val="auto"/>
        </w:rPr>
        <w:t>Working Capital</w:t>
      </w:r>
      <w:r>
        <w:rPr>
          <w:rFonts w:ascii="Arial" w:cs="Arial" w:eastAsia="Arial" w:hAnsi="Arial"/>
          <w:sz w:val="17"/>
          <w:szCs w:val="17"/>
          <w:color w:val="auto"/>
        </w:rPr>
        <w:t>.)</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ALLETE has agreed to sell $140 million of the Company's first mortgage bonds to be issued on or before August 3, 2020, and on April 8, 2020, ALLETE entered into a $115 million term loan agreement with $95 million borrowed upon execution. (See Note 5. Short-Term and Long-Term Debt.) On April 29, 2020, we received approximately $70 million in cash from a third-party investor as part of a tax equity financing for ALLETE Clean Energy’s South Peak wind energy facility. The Company also has approximately $116 million in commitments from tax equity partners for our investment in Nobles 2, and the Company is actively seeking tax equity funding for ALLETE Clean Energy’s Diamond Spring wind project.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40"/>
          </w:cols>
          <w:pgMar w:left="320" w:top="1012"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2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32"/>
        </w:trPr>
        <w:tc>
          <w:tcPr>
            <w:tcW w:w="590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41"/>
        </w:trPr>
        <w:tc>
          <w:tcPr>
            <w:tcW w:w="5900" w:type="dxa"/>
            <w:vAlign w:val="bottom"/>
          </w:tcPr>
          <w:p>
            <w:pPr>
              <w:spacing w:after="0"/>
              <w:rPr>
                <w:sz w:val="24"/>
                <w:szCs w:val="24"/>
                <w:color w:val="auto"/>
              </w:rPr>
            </w:pPr>
          </w:p>
        </w:tc>
        <w:tc>
          <w:tcPr>
            <w:tcW w:w="212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90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640" w:type="dxa"/>
            <w:vAlign w:val="bottom"/>
          </w:tcPr>
          <w:p>
            <w:pPr>
              <w:spacing w:after="0"/>
              <w:rPr>
                <w:sz w:val="24"/>
                <w:szCs w:val="24"/>
                <w:color w:val="auto"/>
              </w:rPr>
            </w:pPr>
          </w:p>
        </w:tc>
      </w:tr>
      <w:tr>
        <w:trPr>
          <w:trHeight w:val="234"/>
        </w:trPr>
        <w:tc>
          <w:tcPr>
            <w:tcW w:w="5900" w:type="dxa"/>
            <w:vAlign w:val="bottom"/>
          </w:tcPr>
          <w:p>
            <w:pPr>
              <w:spacing w:after="0"/>
              <w:rPr>
                <w:sz w:val="20"/>
                <w:szCs w:val="20"/>
                <w:color w:val="auto"/>
              </w:rPr>
            </w:pPr>
          </w:p>
        </w:tc>
        <w:tc>
          <w:tcPr>
            <w:tcW w:w="21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9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$2,271.1</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$2,231.9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120" w:type="dxa"/>
            <w:vAlign w:val="bottom"/>
          </w:tcPr>
          <w:p>
            <w:pPr>
              <w:jc w:val="right"/>
              <w:ind w:right="270"/>
              <w:spacing w:after="0"/>
              <w:rPr>
                <w:sz w:val="20"/>
                <w:szCs w:val="20"/>
                <w:color w:val="auto"/>
              </w:rPr>
            </w:pPr>
            <w:r>
              <w:rPr>
                <w:rFonts w:ascii="Arial" w:cs="Arial" w:eastAsia="Arial" w:hAnsi="Arial"/>
                <w:sz w:val="18"/>
                <w:szCs w:val="18"/>
                <w:color w:val="auto"/>
              </w:rPr>
              <w:t>101.9</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103.7</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2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1,731.3</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1,622.6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590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$4,104.3</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16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$3,958.2</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9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2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w:t>
            </w:r>
          </w:p>
        </w:tc>
        <w:tc>
          <w:tcPr>
            <w:tcW w:w="2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8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1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$92.5</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1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88.8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100" w:type="dxa"/>
            <w:vAlign w:val="bottom"/>
          </w:tcPr>
          <w:p>
            <w:pPr>
              <w:jc w:val="right"/>
              <w:ind w:right="370"/>
              <w:spacing w:after="0"/>
              <w:rPr>
                <w:sz w:val="20"/>
                <w:szCs w:val="20"/>
                <w:color w:val="auto"/>
              </w:rPr>
            </w:pPr>
            <w:r>
              <w:rPr>
                <w:rFonts w:ascii="Arial" w:cs="Arial" w:eastAsia="Arial" w:hAnsi="Arial"/>
                <w:sz w:val="18"/>
                <w:szCs w:val="18"/>
                <w:color w:val="auto"/>
              </w:rPr>
              <w:t>(182.5)</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185.1</w:t>
            </w:r>
          </w:p>
        </w:tc>
      </w:tr>
      <w:tr>
        <w:trPr>
          <w:trHeight w:val="27"/>
        </w:trPr>
        <w:tc>
          <w:tcPr>
            <w:tcW w:w="8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1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80.1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r>
      <w:tr>
        <w:trPr>
          <w:trHeight w:val="237"/>
        </w:trPr>
        <w:tc>
          <w:tcPr>
            <w:tcW w:w="81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Cash Equivalents and Restricted Cash</w:t>
            </w:r>
          </w:p>
        </w:tc>
        <w:tc>
          <w:tcPr>
            <w:tcW w:w="2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(13.6)</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286.2</w:t>
            </w:r>
          </w:p>
        </w:tc>
      </w:tr>
      <w:tr>
        <w:trPr>
          <w:trHeight w:val="27"/>
        </w:trPr>
        <w:tc>
          <w:tcPr>
            <w:tcW w:w="8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1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$78.9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$365.2</w:t>
            </w:r>
          </w:p>
        </w:tc>
      </w:tr>
      <w:tr>
        <w:trPr>
          <w:trHeight w:val="20"/>
        </w:trPr>
        <w:tc>
          <w:tcPr>
            <w:tcW w:w="81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slightly higher in 2020 compared to 2019 as cash from operating activities in 2019 included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earnings resulting from the gain on sale of U.S. Water Services, the refund of Minnesota Power’s provision for tax reform, and the impact of U.S. Water Services prior to its sale. Cash from operating activities in 2020 reflected lower collections of accounts receivable due to timing and lower cash collected from current cost recovery riders.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higher in 2020 compared to 2019. Cash from investing activities in 2019 included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from the sale of U.S. Water Services. Cash used for investing activities in 2020 included higher additions to property, plant and equipment and additional payments for equity method investments compared to 2019.</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from financing activities was higher in 2020 compared to 2019 primarily due to lower repayments of long-term debt in 2020.</w:t>
      </w: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Additional working capital, if and when needed, generally is provided by consolidated bank lines of credit and the issuance of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long-term debt, common stock and commercial paper. As of March 31, 2020, we had consolidated bank lines of credit aggregating $407.0 million ($407.0 million as of December 31, 2019), the majority of which expire in January 2024. We had $66.3 million outstanding in standby letters of credit and $0.2 million outstanding draws under our lines of credit as of March 31, 2020 ($62.0 million in standby letters of credit and no outstanding draws as of December 31, 2019). In addition, as of March 31, 2020, we had 3.6 million original issue shares of our common stock available for issuance through Invest Direct, our direct stock purchase and dividend reinvestment plan, and 2.9 million original issue shares of common stock available for issuance through a distribution agreement with Lampert Capital Markets. The amount and timing of future sales of our securities will depend upon market conditions and our specific needs. In July 2019, we filed Registration Statement No. 333-232905, pursuant to which the remaining shares will continue to be offered for sale, from time to time.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During the three months ended March 31, 2020, we issued 0.1 million shares of common stock through Invest Direct, the Employee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Plan, and the Retirement Savings and Stock Ownership Plan, resulting in net proceeds of $3.3 million (0.1 million shares were issued for the three months ended March 31, 2019, resulting in net proceeds of $0.8 million). These shares of common stock were registered under Registration Statement Nos. 333-231030, 333-211075, 333-183051 and 333-162890.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5. Short-Term and Long-Term Debt for information regarding our financial covenants.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actuarially determined minimum contribution requirements and contributions required to avoid benefit restrictions for the defined benefit pension plans. (See Note 9. Pension and Other Postretirement Benefit Plans.)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ectPr>
          <w:pgSz w:w="11900" w:h="16838" w:orient="portrait"/>
          <w:cols w:equalWidth="0" w:num="1">
            <w:col w:w="11240"/>
          </w:cols>
          <w:pgMar w:left="320" w:top="1012"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240"/>
          </w:cols>
          <w:pgMar w:left="320" w:top="101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2019 Form 10-K, with additional disclosure in Note 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4300" w:type="dxa"/>
            <w:vAlign w:val="bottom"/>
          </w:tcPr>
          <w:p>
            <w:pPr>
              <w:jc w:val="center"/>
              <w:ind w:left="2752"/>
              <w:spacing w:after="0"/>
              <w:rPr>
                <w:sz w:val="20"/>
                <w:szCs w:val="20"/>
                <w:color w:val="auto"/>
              </w:rPr>
            </w:pPr>
            <w:r>
              <w:rPr>
                <w:rFonts w:ascii="Arial" w:cs="Arial" w:eastAsia="Arial" w:hAnsi="Arial"/>
                <w:sz w:val="18"/>
                <w:szCs w:val="18"/>
                <w:b w:val="1"/>
                <w:bCs w:val="1"/>
                <w:color w:val="auto"/>
                <w:w w:val="95"/>
              </w:rPr>
              <w:t>S&amp;P Global</w:t>
            </w:r>
          </w:p>
        </w:tc>
        <w:tc>
          <w:tcPr>
            <w:tcW w:w="1280" w:type="dxa"/>
            <w:vAlign w:val="bottom"/>
          </w:tcPr>
          <w:p>
            <w:pPr>
              <w:spacing w:after="0"/>
              <w:rPr>
                <w:sz w:val="18"/>
                <w:szCs w:val="18"/>
                <w:color w:val="auto"/>
              </w:rPr>
            </w:pPr>
          </w:p>
        </w:tc>
      </w:tr>
      <w:tr>
        <w:trPr>
          <w:trHeight w:val="234"/>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Credit Ratings</w:t>
            </w:r>
          </w:p>
        </w:tc>
        <w:tc>
          <w:tcPr>
            <w:tcW w:w="4300" w:type="dxa"/>
            <w:vAlign w:val="bottom"/>
          </w:tcPr>
          <w:p>
            <w:pPr>
              <w:jc w:val="center"/>
              <w:ind w:left="2752"/>
              <w:spacing w:after="0"/>
              <w:rPr>
                <w:sz w:val="20"/>
                <w:szCs w:val="20"/>
                <w:color w:val="auto"/>
              </w:rPr>
            </w:pPr>
            <w:r>
              <w:rPr>
                <w:rFonts w:ascii="Arial" w:cs="Arial" w:eastAsia="Arial" w:hAnsi="Arial"/>
                <w:sz w:val="18"/>
                <w:szCs w:val="18"/>
                <w:b w:val="1"/>
                <w:bCs w:val="1"/>
                <w:color w:val="auto"/>
                <w:w w:val="87"/>
              </w:rPr>
              <w:t>Ratings</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56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Issuer Credit Rating</w:t>
            </w:r>
          </w:p>
        </w:tc>
        <w:tc>
          <w:tcPr>
            <w:tcW w:w="4300" w:type="dxa"/>
            <w:vAlign w:val="bottom"/>
            <w:tcBorders>
              <w:bottom w:val="single" w:sz="8" w:color="CCEEFF"/>
            </w:tcBorders>
            <w:shd w:val="clear" w:color="auto" w:fill="CCEEFF"/>
          </w:tcPr>
          <w:p>
            <w:pPr>
              <w:jc w:val="center"/>
              <w:ind w:left="2732"/>
              <w:spacing w:after="0"/>
              <w:rPr>
                <w:sz w:val="20"/>
                <w:szCs w:val="20"/>
                <w:color w:val="auto"/>
              </w:rPr>
            </w:pPr>
            <w:r>
              <w:rPr>
                <w:rFonts w:ascii="Arial" w:cs="Arial" w:eastAsia="Arial" w:hAnsi="Arial"/>
                <w:sz w:val="18"/>
                <w:szCs w:val="18"/>
                <w:color w:val="auto"/>
                <w:w w:val="99"/>
              </w:rPr>
              <w:t>BBB</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Baa1</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4300" w:type="dxa"/>
            <w:vAlign w:val="bottom"/>
          </w:tcPr>
          <w:p>
            <w:pPr>
              <w:jc w:val="center"/>
              <w:ind w:left="2732"/>
              <w:spacing w:after="0"/>
              <w:rPr>
                <w:sz w:val="20"/>
                <w:szCs w:val="20"/>
                <w:color w:val="auto"/>
              </w:rPr>
            </w:pPr>
            <w:r>
              <w:rPr>
                <w:rFonts w:ascii="Arial" w:cs="Arial" w:eastAsia="Arial" w:hAnsi="Arial"/>
                <w:sz w:val="18"/>
                <w:szCs w:val="18"/>
                <w:color w:val="auto"/>
                <w:w w:val="99"/>
              </w:rPr>
              <w:t>A-2</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P-2</w:t>
            </w:r>
          </w:p>
        </w:tc>
      </w:tr>
      <w:tr>
        <w:trPr>
          <w:trHeight w:val="27"/>
        </w:trPr>
        <w:tc>
          <w:tcPr>
            <w:tcW w:w="56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Mortgage Bonds</w:t>
            </w:r>
          </w:p>
        </w:tc>
        <w:tc>
          <w:tcPr>
            <w:tcW w:w="4300" w:type="dxa"/>
            <w:vAlign w:val="bottom"/>
            <w:tcBorders>
              <w:bottom w:val="single" w:sz="8" w:color="CCEEFF"/>
            </w:tcBorders>
            <w:shd w:val="clear" w:color="auto" w:fill="CCEEFF"/>
          </w:tcPr>
          <w:p>
            <w:pPr>
              <w:jc w:val="center"/>
              <w:ind w:left="2752"/>
              <w:spacing w:after="0"/>
              <w:rPr>
                <w:sz w:val="20"/>
                <w:szCs w:val="20"/>
                <w:color w:val="auto"/>
              </w:rPr>
            </w:pPr>
            <w:r>
              <w:rPr>
                <w:rFonts w:ascii="Arial" w:cs="Arial" w:eastAsia="Arial" w:hAnsi="Arial"/>
                <w:sz w:val="16"/>
                <w:szCs w:val="16"/>
                <w:i w:val="1"/>
                <w:iCs w:val="1"/>
                <w:color w:val="auto"/>
                <w:w w:val="91"/>
              </w:rPr>
              <w:t>(a)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00"/>
        </w:trPr>
        <w:tc>
          <w:tcPr>
            <w:tcW w:w="56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4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22, 2020, S&amp;P Global Ratings downgraded ALLETE’s long-term issuer credit rating to BBB stable from BBB+ outlook negative and affirmed its short-term rating at A-2. S&amp;P Global Ratings noted the impacts of debt coverage ratios going forward along with the lack of a revenue decoupling mechanism at Minnesota Power combined with the large commercial and industrial presence in its service territory as its rationale for the downgrade.</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Capital Requirements. </w:t>
      </w:r>
      <w:r>
        <w:rPr>
          <w:rFonts w:ascii="Arial" w:cs="Arial" w:eastAsia="Arial" w:hAnsi="Arial"/>
          <w:sz w:val="17"/>
          <w:szCs w:val="17"/>
          <w:color w:val="auto"/>
        </w:rPr>
        <w:t>Our capital expenditures for 2020 are expected to be approximately $535 million; however, the Company is evaluating its planned</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expenditures and may make adjustments to mitigate impacts of the ongoing COVID-19 pandemic, if appropriate. At this time, we do not have an update to the amount of capital expenditures expected in 2020 due to uncertainty regarding the extent and duration of the COVID-19 pandemic. For the three months ended March 31, 2020, capital expenditures totaled $161.8 million ($85.1 million for the three months ended March 31, 2019). The expenditures were primarily made in the Regulated Operations and ALLETE Clean Energy segments.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ALLETE had 1,352 employees, of which 1,328 were full-time.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Minnesota Power and SWL&amp;P have an aggregate of 471 employees who are members of International Brotherhood of Electrical Workers (IBEW) Local 31. The current labor agreements with IBEW Local 31 expire on April 30, 2023, for Minnesota Power and February 1, 2021, for SWL&amp;P.</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Energy has 181 employees, of which 135 are subject to a labor agreement with IBEW Local 1593. The current labor agreement with IBEW Local 1593 expires on March 31, 2023.</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101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March 31, 2020,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March 31, 2020, an increase of 100 basis points in interest rates would impact the amount of pre-tax interest expense by $2.6 million. This amount was determined by considering the impact of a hypothetical 100 basis point increase to the average variable interest rate on the variable rate debt outstanding as of March 31, 2020.</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2020, evaluations were performed, under the supervision and with the participation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240"/>
          </w:cols>
          <w:pgMar w:left="320" w:top="101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4. CONTROLS AND PROCEDURES (Continued)</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9. Commitments, Guarantees and Contingencies to the Consolidated Financial Statements in our 2019 Form 10-K and Note 2. Regulatory Matters and Note 6. Commitments, Guarantees and Contingencies herein. Such information is incorporated herein by reference.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2019 Form 10-K includes a detailed discussion of our risk factors. The information presented below updates, and should be read in conjunction with, the risk factors disclosed in Part I, Item 1A. Risk Factors of our 2019 Form 10-K.</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could be materially adversely affected by the ongoing COVID-19 pandemic for which we are unable to predict the ultimate impact as the extent and duration of the COVID-19 pandemic is uncertain.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ongoing COVID-19 pandemic has resulted in widespread impacts on the global economy and on our employees, customers, contractors, and suppliers. There is considerable uncertainty regarding the extent to which COVID-19 will spread and the extent and duration of measures to try to contain the virus, such as travel bans and restrictions, quarantines, shelter-in-place orders (including those in effect in areas our businesses operate), and business and government shutdowns. We are responding to the COVID-19 pandemic by taking steps to mitigate the potential risks to us posed by its spread and have implemented our company-wide business continuity plans in response to the pandemic. These plans guide our emergency response, business continuity, and the precautionary measures we are taking on behalf of employees and the public. We have taken additional precautions for our employees who work in the field and for employees who continue to work in our facilities, and we have implemented work from home policies where appropriate. We continue to implement physical and cyber-security measures to ensure that our systems remain functional in order to both serve our operational needs with a remote workforce and keep them running to ensure uninterrupted service to our customers.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ongoing COVID-19 pandemic and related federal and state government responses has led to a disruption of economic activity, and could result in an extended disruption of economic activity. This disruption has resulted and is expected to continue to result in reduced sales and revenue from commercial, municipal and industrial customers as well as an increase in uncollectible accounts from residential and commercial customers. The states of Minnesota and Wisconsin issued stay-at-home or shelter-in-place orders in March 2020 that remain in effect, and many non-essential commercial and industrial customers are operating at reduced levels or are temporarily closed or idled. In addition, as a result of the COVID-19 pandemic, Cliffs temporarily idled its Northshore Mining operation, Hibbing Taconite temporarily idled production and USS Corporation indefinitely idled its Keetac plant as well as announced a temporary partial shutdown at its Minntac plant, each of which are served by Minnesota Power. (See Outlook – Regulated Operations – Industrial Customers and Prospective Additional Load.) The current disruption of economic activity or an extended disruption of economic activity may lead to additional adverse impacts on our taconite mining, paper, pulp and secondary wood products, and pipeline customers’ operations including further reduced production or the temporary idling or indefinite shutdown of other facilities, which would result in lower sales and revenue from these customers. In Minnesota Power’s service territory, we have also voluntarily and as requested by state regulators extended Minnesota’s cold weather rule as well as temporarily suspended disconnections for non-payment and waved late payment charges for residential and small business customers. In SWL&amp;P’s service territory, we have implemented state regulator requested customer service actions to further limit service disconnections and late payment charges for residential, commercial and industrial customers.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101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We could be materially adversely affected by the ongoing COVID-19 pandemic for which we are unable to predict the ultimate impact as the extent and duration of the COVID-19 pandemic is uncertain (Continued)</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monitoring the capital markets and has access to liquidity to enable us to operate our businesses and fund capital projects; however, a disruption in capital markets could lead to increased borrowing costs or adversely impact our ability to access capital markets or other financing sources. If we are not able to access capital on acceptable terms in sufficient amounts and when needed, or at all, the ability to maintain our businesses or to implement our business plans would be adversely affected. In addition, the performance of capital markets impacts the values of the assets that are held in trust to satisfy future obligations under our pension and other postretirement benefit plans. A decline in the market value of these assets would increase the funding requirements under our benefit plans and future costs recognized for the benefit plans if the asset market values do not recover. The Company is also monitoring supply chains for key materials, supplies and services for our operations and large capital projects. We have received notices of force majeure from certain suppliers and the pandemic could result in a disruption to our supply chains which could adversely impact our operations and capital projects; however, there has been limited impact on our supply chains as to the availability of materials, supplies and services to date. In addition, disruptions in our supply chains or a lack of available financing could jeopardize our ability to complete certain capital projects in time to qualify them for production tax credits.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will continue to monitor developments affecting our workforce, operations and customers, and we will take additional precautions that we determine are necessary in order to mitigate the impacts of the COVID-19 pandemic. Despite our efforts to manage these impacts to the Company, their ultimate impact also depends on factors beyond our control, including the duration and severity of this pandemic as well as governmental and third-party actions taken to contain its spread and mitigate its public health effects. As a result, we cannot predict the ultimate impact of the COVID-19 pandemic and whether it will have a material impact on our liquidity, financial position, results of operations and cash flows.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40"/>
          </w:cols>
          <w:pgMar w:left="320" w:top="101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 w:lineRule="exact"/>
        <w:rPr>
          <w:sz w:val="20"/>
          <w:szCs w:val="20"/>
          <w:color w:val="auto"/>
        </w:rPr>
      </w:pPr>
    </w:p>
    <w:p>
      <w:pPr>
        <w:ind w:left="1280" w:hanging="1245"/>
        <w:spacing w:after="0"/>
        <w:tabs>
          <w:tab w:leader="none" w:pos="1280" w:val="left"/>
        </w:tabs>
        <w:numPr>
          <w:ilvl w:val="0"/>
          <w:numId w:val="12"/>
        </w:numPr>
        <w:rPr>
          <w:rFonts w:ascii="Arial" w:cs="Arial" w:eastAsia="Arial" w:hAnsi="Arial"/>
          <w:sz w:val="18"/>
          <w:szCs w:val="18"/>
          <w:u w:val="single" w:color="auto"/>
          <w:color w:val="0000FF"/>
        </w:rPr>
      </w:pPr>
      <w:hyperlink r:id="rId11">
        <w:r>
          <w:rPr>
            <w:rFonts w:ascii="Arial" w:cs="Arial" w:eastAsia="Arial" w:hAnsi="Arial"/>
            <w:sz w:val="18"/>
            <w:szCs w:val="18"/>
            <w:u w:val="single" w:color="auto"/>
            <w:color w:val="0000FF"/>
          </w:rPr>
          <w:t>Bylaws, as amended effective April 13, 2020 (filed as Exhibit 3 to the April 14, 2020, Form 8-K, File No. 1-3548).</w:t>
        </w:r>
      </w:hyperlink>
    </w:p>
    <w:p>
      <w:pPr>
        <w:spacing w:after="0" w:line="63" w:lineRule="exact"/>
        <w:rPr>
          <w:sz w:val="20"/>
          <w:szCs w:val="20"/>
          <w:color w:val="auto"/>
        </w:rPr>
      </w:pPr>
    </w:p>
    <w:p>
      <w:pPr>
        <w:jc w:val="both"/>
        <w:ind w:left="1280" w:right="20" w:hanging="1245"/>
        <w:spacing w:after="0" w:line="263" w:lineRule="auto"/>
        <w:tabs>
          <w:tab w:leader="none" w:pos="1280" w:val="left"/>
        </w:tabs>
        <w:numPr>
          <w:ilvl w:val="0"/>
          <w:numId w:val="13"/>
        </w:numPr>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Term Loan Agreement dated as of April 6, 2020, among ALLETE, Inc., as Borrower, the Lenders party hereto, U.S. Bank National</w:t>
        </w:r>
      </w:hyperlink>
      <w:r>
        <w:rPr>
          <w:rFonts w:ascii="Arial" w:cs="Arial" w:eastAsia="Arial" w:hAnsi="Arial"/>
          <w:sz w:val="18"/>
          <w:szCs w:val="18"/>
          <w:u w:val="single" w:color="auto"/>
          <w:color w:val="0000FF"/>
        </w:rPr>
        <w:t xml:space="preserve"> </w:t>
      </w:r>
      <w:hyperlink w:anchor="page48">
        <w:r>
          <w:rPr>
            <w:rFonts w:ascii="Arial" w:cs="Arial" w:eastAsia="Arial" w:hAnsi="Arial"/>
            <w:sz w:val="18"/>
            <w:szCs w:val="18"/>
            <w:u w:val="single" w:color="auto"/>
            <w:color w:val="0000FF"/>
          </w:rPr>
          <w:t>Association, as Administrative Agent and CoBank, ACB, J.P. Morgan Chase Bank, N.A. and Bank of America, N.A., as Co-</w:t>
        </w:r>
      </w:hyperlink>
      <w:hyperlink w:anchor="page48">
        <w:r>
          <w:rPr>
            <w:rFonts w:ascii="Arial" w:cs="Arial" w:eastAsia="Arial" w:hAnsi="Arial"/>
            <w:sz w:val="18"/>
            <w:szCs w:val="18"/>
            <w:u w:val="single" w:color="auto"/>
            <w:color w:val="0000FF"/>
          </w:rPr>
          <w:t>Documentation Agents and U.S. Bank National Association as Lead Arranger and Book Runner.</w:t>
        </w:r>
      </w:hyperlink>
    </w:p>
    <w:p>
      <w:pPr>
        <w:spacing w:after="0" w:line="9"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70"/>
        </w:trPr>
        <w:tc>
          <w:tcPr>
            <w:tcW w:w="860" w:type="dxa"/>
            <w:vAlign w:val="bottom"/>
            <w:shd w:val="clear" w:color="auto" w:fill="CCEEFF"/>
          </w:tcPr>
          <w:p>
            <w:pPr>
              <w:ind w:left="40"/>
              <w:spacing w:after="0"/>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31(a)</w:t>
              </w:r>
            </w:hyperlink>
          </w:p>
        </w:tc>
        <w:tc>
          <w:tcPr>
            <w:tcW w:w="2280" w:type="dxa"/>
            <w:vAlign w:val="bottom"/>
            <w:shd w:val="clear" w:color="auto" w:fill="CCEEFF"/>
          </w:tcPr>
          <w:p>
            <w:pPr>
              <w:ind w:left="420"/>
              <w:spacing w:after="0"/>
              <w:rPr>
                <w:rFonts w:ascii="Arial" w:cs="Arial" w:eastAsia="Arial" w:hAnsi="Arial"/>
                <w:sz w:val="18"/>
                <w:szCs w:val="18"/>
                <w:u w:val="single" w:color="auto"/>
                <w:color w:val="0000FF"/>
                <w:w w:val="90"/>
              </w:rPr>
            </w:pPr>
            <w:hyperlink w:anchor="page147">
              <w:r>
                <w:rPr>
                  <w:rFonts w:ascii="Arial" w:cs="Arial" w:eastAsia="Arial" w:hAnsi="Arial"/>
                  <w:sz w:val="18"/>
                  <w:szCs w:val="18"/>
                  <w:u w:val="single" w:color="auto"/>
                  <w:color w:val="0000FF"/>
                  <w:w w:val="90"/>
                </w:rPr>
                <w:t>Rule 13a-14(a)/15d-14(a)</w:t>
              </w:r>
            </w:hyperlink>
          </w:p>
        </w:tc>
        <w:tc>
          <w:tcPr>
            <w:tcW w:w="8100" w:type="dxa"/>
            <w:vAlign w:val="bottom"/>
            <w:shd w:val="clear" w:color="auto" w:fill="CCEEFF"/>
          </w:tcPr>
          <w:p>
            <w:pPr>
              <w:ind w:left="20"/>
              <w:spacing w:after="0"/>
              <w:rPr>
                <w:rFonts w:ascii="Arial" w:cs="Arial" w:eastAsia="Arial" w:hAnsi="Arial"/>
                <w:sz w:val="18"/>
                <w:szCs w:val="18"/>
                <w:u w:val="single" w:color="auto"/>
                <w:color w:val="0000FF"/>
                <w:w w:val="98"/>
              </w:rPr>
            </w:pPr>
            <w:hyperlink w:anchor="page147">
              <w:r>
                <w:rPr>
                  <w:rFonts w:ascii="Arial" w:cs="Arial" w:eastAsia="Arial" w:hAnsi="Arial"/>
                  <w:sz w:val="18"/>
                  <w:szCs w:val="18"/>
                  <w:u w:val="single" w:color="auto"/>
                  <w:color w:val="0000FF"/>
                  <w:w w:val="98"/>
                </w:rPr>
                <w:t>Certification by the Chief Executive Officer Pursuant to Section 302 of the Sarbanes-Oxley Act of 2002.</w:t>
              </w:r>
            </w:hyperlink>
          </w:p>
        </w:tc>
      </w:tr>
      <w:tr>
        <w:trPr>
          <w:trHeight w:val="243"/>
        </w:trPr>
        <w:tc>
          <w:tcPr>
            <w:tcW w:w="860" w:type="dxa"/>
            <w:vAlign w:val="bottom"/>
          </w:tcPr>
          <w:p>
            <w:pPr>
              <w:ind w:left="40"/>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31(b)</w:t>
              </w:r>
            </w:hyperlink>
          </w:p>
        </w:tc>
        <w:tc>
          <w:tcPr>
            <w:tcW w:w="2280" w:type="dxa"/>
            <w:vAlign w:val="bottom"/>
          </w:tcPr>
          <w:p>
            <w:pPr>
              <w:ind w:left="420"/>
              <w:spacing w:after="0"/>
              <w:rPr>
                <w:rFonts w:ascii="Arial" w:cs="Arial" w:eastAsia="Arial" w:hAnsi="Arial"/>
                <w:sz w:val="18"/>
                <w:szCs w:val="18"/>
                <w:u w:val="single" w:color="auto"/>
                <w:color w:val="0000FF"/>
                <w:w w:val="90"/>
              </w:rPr>
            </w:pPr>
            <w:hyperlink w:anchor="page148">
              <w:r>
                <w:rPr>
                  <w:rFonts w:ascii="Arial" w:cs="Arial" w:eastAsia="Arial" w:hAnsi="Arial"/>
                  <w:sz w:val="18"/>
                  <w:szCs w:val="18"/>
                  <w:u w:val="single" w:color="auto"/>
                  <w:color w:val="0000FF"/>
                  <w:w w:val="90"/>
                </w:rPr>
                <w:t>Rule 13a-14(a)/15d-14(a)</w:t>
              </w:r>
            </w:hyperlink>
          </w:p>
        </w:tc>
        <w:tc>
          <w:tcPr>
            <w:tcW w:w="8100" w:type="dxa"/>
            <w:vAlign w:val="bottom"/>
          </w:tcPr>
          <w:p>
            <w:pPr>
              <w:ind w:left="20"/>
              <w:spacing w:after="0"/>
              <w:rPr>
                <w:rFonts w:ascii="Arial" w:cs="Arial" w:eastAsia="Arial" w:hAnsi="Arial"/>
                <w:sz w:val="18"/>
                <w:szCs w:val="18"/>
                <w:u w:val="single" w:color="auto"/>
                <w:color w:val="0000FF"/>
                <w:w w:val="99"/>
              </w:rPr>
            </w:pPr>
            <w:hyperlink w:anchor="page148">
              <w:r>
                <w:rPr>
                  <w:rFonts w:ascii="Arial" w:cs="Arial" w:eastAsia="Arial" w:hAnsi="Arial"/>
                  <w:sz w:val="18"/>
                  <w:szCs w:val="18"/>
                  <w:u w:val="single" w:color="auto"/>
                  <w:color w:val="0000FF"/>
                  <w:w w:val="99"/>
                </w:rPr>
                <w:t>Certification by the Chief Financial Officer Pursuant to Section 302 of the Sarbanes-Oxley Act of 2002.</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p>
    <w:p>
      <w:pPr>
        <w:ind w:left="1280" w:right="40" w:hanging="1245"/>
        <w:spacing w:after="0" w:line="277" w:lineRule="auto"/>
        <w:tabs>
          <w:tab w:leader="none" w:pos="1280" w:val="left"/>
        </w:tabs>
        <w:numPr>
          <w:ilvl w:val="0"/>
          <w:numId w:val="14"/>
        </w:numPr>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Section 1350 Certification of Periodic Report by the Chief Executive Officer and the Chief Financial Officer Pursuant to Section 906 of</w:t>
        </w:r>
      </w:hyperlink>
      <w:r>
        <w:rPr>
          <w:rFonts w:ascii="Arial" w:cs="Arial" w:eastAsia="Arial" w:hAnsi="Arial"/>
          <w:sz w:val="18"/>
          <w:szCs w:val="18"/>
          <w:u w:val="single" w:color="auto"/>
          <w:color w:val="0000FF"/>
        </w:rPr>
        <w:t xml:space="preserve"> </w:t>
      </w:r>
      <w:hyperlink w:anchor="page149">
        <w:r>
          <w:rPr>
            <w:rFonts w:ascii="Arial" w:cs="Arial" w:eastAsia="Arial" w:hAnsi="Arial"/>
            <w:sz w:val="18"/>
            <w:szCs w:val="18"/>
            <w:u w:val="single" w:color="auto"/>
            <w:color w:val="0000FF"/>
          </w:rPr>
          <w:t>the Sarbanes-Oxley Act of 2002.</w:t>
        </w:r>
      </w:hyperlink>
    </w:p>
    <w:p>
      <w:pPr>
        <w:spacing w:after="0" w:line="8" w:lineRule="exact"/>
        <w:rPr>
          <w:rFonts w:ascii="Arial" w:cs="Arial" w:eastAsia="Arial" w:hAnsi="Arial"/>
          <w:sz w:val="18"/>
          <w:szCs w:val="18"/>
          <w:u w:val="single" w:color="auto"/>
          <w:color w:val="0000FF"/>
        </w:rPr>
      </w:pPr>
    </w:p>
    <w:p>
      <w:pPr>
        <w:ind w:left="40"/>
        <w:spacing w:after="0"/>
        <w:tabs>
          <w:tab w:leader="none" w:pos="12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95</w:t>
      </w:r>
      <w:r>
        <w:rPr>
          <w:sz w:val="20"/>
          <w:szCs w:val="20"/>
          <w:color w:val="auto"/>
        </w:rPr>
        <w:tab/>
      </w:r>
      <w:hyperlink w:anchor="page150">
        <w:r>
          <w:rPr>
            <w:rFonts w:ascii="Arial" w:cs="Arial" w:eastAsia="Arial" w:hAnsi="Arial"/>
            <w:sz w:val="18"/>
            <w:szCs w:val="18"/>
            <w:u w:val="single" w:color="auto"/>
            <w:color w:val="0000FF"/>
          </w:rPr>
          <w:t>Mine Safety.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39" w:lineRule="exact"/>
        <w:rPr>
          <w:rFonts w:ascii="Arial" w:cs="Arial" w:eastAsia="Arial" w:hAnsi="Arial"/>
          <w:sz w:val="18"/>
          <w:szCs w:val="18"/>
          <w:u w:val="single" w:color="auto"/>
          <w:color w:val="0000FF"/>
        </w:rPr>
      </w:pPr>
    </w:p>
    <w:p>
      <w:pPr>
        <w:jc w:val="both"/>
        <w:ind w:left="1280" w:right="40" w:hanging="1245"/>
        <w:spacing w:after="0" w:line="306" w:lineRule="auto"/>
        <w:tabs>
          <w:tab w:leader="none" w:pos="1280" w:val="left"/>
        </w:tabs>
        <w:numPr>
          <w:ilvl w:val="0"/>
          <w:numId w:val="15"/>
        </w:numPr>
        <w:rPr>
          <w:rFonts w:ascii="Arial" w:cs="Arial" w:eastAsia="Arial" w:hAnsi="Arial"/>
          <w:sz w:val="16"/>
          <w:szCs w:val="16"/>
          <w:b w:val="1"/>
          <w:bCs w:val="1"/>
          <w:u w:val="single" w:color="auto"/>
          <w:color w:val="0000FF"/>
        </w:rPr>
      </w:pPr>
      <w:hyperlink w:anchor="page151">
        <w:r>
          <w:rPr>
            <w:rFonts w:ascii="Arial" w:cs="Arial" w:eastAsia="Arial" w:hAnsi="Arial"/>
            <w:sz w:val="16"/>
            <w:szCs w:val="16"/>
            <w:b w:val="1"/>
            <w:bCs w:val="1"/>
            <w:u w:val="single" w:color="auto"/>
            <w:color w:val="0000FF"/>
          </w:rPr>
          <w:t>ALLETE News Release dated May 6, 2020, announcing 2020 first quarter earnings. (This exhibit has been furnished and shall</w:t>
        </w:r>
      </w:hyperlink>
      <w:r>
        <w:rPr>
          <w:rFonts w:ascii="Arial" w:cs="Arial" w:eastAsia="Arial" w:hAnsi="Arial"/>
          <w:sz w:val="16"/>
          <w:szCs w:val="16"/>
          <w:b w:val="1"/>
          <w:bCs w:val="1"/>
          <w:u w:val="single" w:color="auto"/>
          <w:color w:val="0000FF"/>
        </w:rPr>
        <w:t xml:space="preserve"> </w:t>
      </w:r>
      <w:hyperlink w:anchor="page151">
        <w:r>
          <w:rPr>
            <w:rFonts w:ascii="Arial" w:cs="Arial" w:eastAsia="Arial" w:hAnsi="Arial"/>
            <w:sz w:val="16"/>
            <w:szCs w:val="16"/>
            <w:b w:val="1"/>
            <w:bCs w:val="1"/>
            <w:u w:val="single" w:color="auto"/>
            <w:color w:val="0000FF"/>
          </w:rPr>
          <w:t>not be deemed “filed” for purposes of Section 18 of the Securities Exchange Act of 1934, nor shall it be deemed incorporated by</w:t>
        </w:r>
      </w:hyperlink>
      <w:r>
        <w:rPr>
          <w:rFonts w:ascii="Arial" w:cs="Arial" w:eastAsia="Arial" w:hAnsi="Arial"/>
          <w:sz w:val="16"/>
          <w:szCs w:val="16"/>
          <w:b w:val="1"/>
          <w:bCs w:val="1"/>
          <w:u w:val="single" w:color="auto"/>
          <w:color w:val="0000FF"/>
        </w:rPr>
        <w:t xml:space="preserve"> </w:t>
      </w:r>
      <w:hyperlink w:anchor="page151">
        <w:r>
          <w:rPr>
            <w:rFonts w:ascii="Arial" w:cs="Arial" w:eastAsia="Arial" w:hAnsi="Arial"/>
            <w:sz w:val="16"/>
            <w:szCs w:val="16"/>
            <w:b w:val="1"/>
            <w:bCs w:val="1"/>
            <w:u w:val="single" w:color="auto"/>
            <w:color w:val="0000FF"/>
          </w:rPr>
          <w:t>reference in any filing under the Securities Act of 1933, except as shall be expressly set forth by specific reference in such filing.)</w:t>
        </w:r>
      </w:hyperlink>
    </w:p>
    <w:p>
      <w:pPr>
        <w:spacing w:after="0" w:line="2" w:lineRule="exact"/>
        <w:rPr>
          <w:rFonts w:ascii="Arial" w:cs="Arial" w:eastAsia="Arial" w:hAnsi="Arial"/>
          <w:sz w:val="16"/>
          <w:szCs w:val="16"/>
          <w:b w:val="1"/>
          <w:bCs w:val="1"/>
          <w:u w:val="single" w:color="auto"/>
          <w:color w:val="0000FF"/>
        </w:rPr>
      </w:pPr>
    </w:p>
    <w:tbl>
      <w:tblPr>
        <w:tblLayout w:type="fixed"/>
        <w:tblInd w:w="0" w:type="dxa"/>
        <w:tblCellMar>
          <w:top w:w="0" w:type="dxa"/>
          <w:left w:w="0" w:type="dxa"/>
          <w:bottom w:w="0" w:type="dxa"/>
          <w:right w:w="0" w:type="dxa"/>
        </w:tblCellMar>
      </w:tblPr>
      <w:tr>
        <w:trPr>
          <w:trHeight w:val="216"/>
        </w:trPr>
        <w:tc>
          <w:tcPr>
            <w:tcW w:w="1000" w:type="dxa"/>
            <w:vAlign w:val="bottom"/>
          </w:tcPr>
          <w:p>
            <w:pPr>
              <w:ind w:left="40"/>
              <w:spacing w:after="0"/>
              <w:rPr>
                <w:sz w:val="20"/>
                <w:szCs w:val="20"/>
                <w:color w:val="auto"/>
              </w:rPr>
            </w:pPr>
            <w:r>
              <w:rPr>
                <w:rFonts w:ascii="Arial" w:cs="Arial" w:eastAsia="Arial" w:hAnsi="Arial"/>
                <w:sz w:val="18"/>
                <w:szCs w:val="18"/>
                <w:color w:val="auto"/>
              </w:rPr>
              <w:t>101.INS</w:t>
            </w:r>
          </w:p>
        </w:tc>
        <w:tc>
          <w:tcPr>
            <w:tcW w:w="10240" w:type="dxa"/>
            <w:vAlign w:val="bottom"/>
          </w:tcPr>
          <w:p>
            <w:pPr>
              <w:ind w:left="280"/>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 embedded</w:t>
            </w:r>
          </w:p>
        </w:tc>
      </w:tr>
      <w:tr>
        <w:trPr>
          <w:trHeight w:val="230"/>
        </w:trPr>
        <w:tc>
          <w:tcPr>
            <w:tcW w:w="100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within the Inline XBRL document.</w:t>
            </w:r>
          </w:p>
        </w:tc>
      </w:tr>
      <w:tr>
        <w:trPr>
          <w:trHeight w:val="27"/>
        </w:trPr>
        <w:tc>
          <w:tcPr>
            <w:tcW w:w="1000" w:type="dxa"/>
            <w:vAlign w:val="bottom"/>
          </w:tcPr>
          <w:p>
            <w:pPr>
              <w:spacing w:after="0"/>
              <w:rPr>
                <w:sz w:val="2"/>
                <w:szCs w:val="2"/>
                <w:color w:val="auto"/>
              </w:rPr>
            </w:pPr>
          </w:p>
        </w:tc>
        <w:tc>
          <w:tcPr>
            <w:tcW w:w="1024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Schema</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101.CAL</w:t>
            </w:r>
          </w:p>
        </w:tc>
        <w:tc>
          <w:tcPr>
            <w:tcW w:w="10240" w:type="dxa"/>
            <w:vAlign w:val="bottom"/>
          </w:tcPr>
          <w:p>
            <w:pPr>
              <w:ind w:left="280"/>
              <w:spacing w:after="0"/>
              <w:rPr>
                <w:sz w:val="20"/>
                <w:szCs w:val="20"/>
                <w:color w:val="auto"/>
              </w:rPr>
            </w:pPr>
            <w:r>
              <w:rPr>
                <w:rFonts w:ascii="Arial" w:cs="Arial" w:eastAsia="Arial" w:hAnsi="Arial"/>
                <w:sz w:val="18"/>
                <w:szCs w:val="18"/>
                <w:color w:val="auto"/>
              </w:rPr>
              <w:t>XBRL Calculation</w:t>
            </w:r>
          </w:p>
        </w:tc>
      </w:tr>
      <w:tr>
        <w:trPr>
          <w:trHeight w:val="27"/>
        </w:trPr>
        <w:tc>
          <w:tcPr>
            <w:tcW w:w="1000" w:type="dxa"/>
            <w:vAlign w:val="bottom"/>
          </w:tcPr>
          <w:p>
            <w:pPr>
              <w:spacing w:after="0"/>
              <w:rPr>
                <w:sz w:val="2"/>
                <w:szCs w:val="2"/>
                <w:color w:val="auto"/>
              </w:rPr>
            </w:pPr>
          </w:p>
        </w:tc>
        <w:tc>
          <w:tcPr>
            <w:tcW w:w="1024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Definition</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101.LAB</w:t>
            </w:r>
          </w:p>
        </w:tc>
        <w:tc>
          <w:tcPr>
            <w:tcW w:w="10240" w:type="dxa"/>
            <w:vAlign w:val="bottom"/>
          </w:tcPr>
          <w:p>
            <w:pPr>
              <w:ind w:left="280"/>
              <w:spacing w:after="0"/>
              <w:rPr>
                <w:sz w:val="20"/>
                <w:szCs w:val="20"/>
                <w:color w:val="auto"/>
              </w:rPr>
            </w:pPr>
            <w:r>
              <w:rPr>
                <w:rFonts w:ascii="Arial" w:cs="Arial" w:eastAsia="Arial" w:hAnsi="Arial"/>
                <w:sz w:val="18"/>
                <w:szCs w:val="18"/>
                <w:color w:val="auto"/>
              </w:rPr>
              <w:t>XBRL Label</w:t>
            </w:r>
          </w:p>
        </w:tc>
      </w:tr>
      <w:tr>
        <w:trPr>
          <w:trHeight w:val="27"/>
        </w:trPr>
        <w:tc>
          <w:tcPr>
            <w:tcW w:w="1000" w:type="dxa"/>
            <w:vAlign w:val="bottom"/>
          </w:tcPr>
          <w:p>
            <w:pPr>
              <w:spacing w:after="0"/>
              <w:rPr>
                <w:sz w:val="2"/>
                <w:szCs w:val="2"/>
                <w:color w:val="auto"/>
              </w:rPr>
            </w:pPr>
          </w:p>
        </w:tc>
        <w:tc>
          <w:tcPr>
            <w:tcW w:w="1024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Presentation</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104</w:t>
            </w:r>
          </w:p>
        </w:tc>
        <w:tc>
          <w:tcPr>
            <w:tcW w:w="10240" w:type="dxa"/>
            <w:vAlign w:val="bottom"/>
          </w:tcPr>
          <w:p>
            <w:pPr>
              <w:ind w:left="28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rFonts w:ascii="Arial" w:cs="Arial" w:eastAsia="Arial" w:hAnsi="Arial"/>
          <w:sz w:val="16"/>
          <w:szCs w:val="16"/>
          <w:b w:val="1"/>
          <w:bCs w:val="1"/>
          <w:u w:val="single" w:color="auto"/>
          <w:color w:val="0000FF"/>
        </w:rPr>
      </w:pPr>
    </w:p>
    <w:p>
      <w:pPr>
        <w:spacing w:after="0" w:line="240" w:lineRule="exact"/>
        <w:rPr>
          <w:rFonts w:ascii="Arial" w:cs="Arial" w:eastAsia="Arial" w:hAnsi="Arial"/>
          <w:sz w:val="16"/>
          <w:szCs w:val="16"/>
          <w:b w:val="1"/>
          <w:bCs w:val="1"/>
          <w:u w:val="single" w:color="auto"/>
          <w:color w:val="0000FF"/>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rFonts w:ascii="Arial" w:cs="Arial" w:eastAsia="Arial" w:hAnsi="Arial"/>
          <w:sz w:val="16"/>
          <w:szCs w:val="16"/>
          <w:b w:val="1"/>
          <w:bCs w:val="1"/>
          <w:u w:val="single" w:color="auto"/>
          <w:color w:val="0000FF"/>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40"/>
          </w:cols>
          <w:pgMar w:left="320" w:top="101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4"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tabs>
          <w:tab w:leader="none" w:pos="7640" w:val="left"/>
        </w:tabs>
        <w:rPr>
          <w:sz w:val="20"/>
          <w:szCs w:val="20"/>
          <w:color w:val="auto"/>
        </w:rPr>
      </w:pPr>
      <w:r>
        <w:rPr>
          <w:rFonts w:ascii="Arial" w:cs="Arial" w:eastAsia="Arial" w:hAnsi="Arial"/>
          <w:sz w:val="18"/>
          <w:szCs w:val="18"/>
          <w:color w:val="auto"/>
        </w:rPr>
        <w:t>May 6, 2020</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634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spacing w:after="0"/>
        <w:tabs>
          <w:tab w:leader="none" w:pos="7620" w:val="left"/>
        </w:tabs>
        <w:rPr>
          <w:sz w:val="20"/>
          <w:szCs w:val="20"/>
          <w:color w:val="auto"/>
        </w:rPr>
      </w:pPr>
      <w:r>
        <w:rPr>
          <w:rFonts w:ascii="Arial" w:cs="Arial" w:eastAsia="Arial" w:hAnsi="Arial"/>
          <w:sz w:val="18"/>
          <w:szCs w:val="18"/>
          <w:color w:val="auto"/>
        </w:rPr>
        <w:t>May 6, 2020</w:t>
      </w:r>
      <w:r>
        <w:rPr>
          <w:sz w:val="20"/>
          <w:szCs w:val="20"/>
          <w:color w:val="auto"/>
        </w:rPr>
        <w:tab/>
      </w:r>
      <w:r>
        <w:rPr>
          <w:rFonts w:ascii="Arial" w:cs="Arial" w:eastAsia="Arial" w:hAnsi="Arial"/>
          <w:sz w:val="16"/>
          <w:szCs w:val="16"/>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634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Steven W. Morris</w:t>
      </w:r>
    </w:p>
    <w:p>
      <w:pPr>
        <w:spacing w:after="0" w:line="6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Vice President, Controller and Chief Accounting Officer</w:t>
      </w:r>
    </w:p>
    <w:p>
      <w:pPr>
        <w:spacing w:after="0" w:line="6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40"/>
          </w:cols>
          <w:pgMar w:left="320" w:top="101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TERM LOAN AGREEMENT</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dated as of April 8, 2020</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among</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ALLETE, INC.,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as Borrower,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Lenders Party Hereto,</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U.S. BANK NATIONAL ASSOCIATION,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Administrative Agent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COBANK, ACB,</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JPMORGAN CHASE BANK, N.A.</w:t>
      </w:r>
    </w:p>
    <w:p>
      <w:pPr>
        <w:jc w:val="center"/>
        <w:ind w:right="40"/>
        <w:spacing w:after="0"/>
        <w:rPr>
          <w:sz w:val="20"/>
          <w:szCs w:val="20"/>
          <w:color w:val="auto"/>
        </w:rPr>
      </w:pPr>
      <w:r>
        <w:rPr>
          <w:rFonts w:ascii="Arial" w:cs="Arial" w:eastAsia="Arial" w:hAnsi="Arial"/>
          <w:sz w:val="20"/>
          <w:szCs w:val="20"/>
          <w:b w:val="1"/>
          <w:bCs w:val="1"/>
          <w:color w:val="auto"/>
        </w:rPr>
        <w:t>and</w:t>
      </w:r>
    </w:p>
    <w:p>
      <w:pPr>
        <w:ind w:left="4400"/>
        <w:spacing w:after="0"/>
        <w:rPr>
          <w:sz w:val="20"/>
          <w:szCs w:val="20"/>
          <w:color w:val="auto"/>
        </w:rPr>
      </w:pPr>
      <w:r>
        <w:rPr>
          <w:rFonts w:ascii="Arial" w:cs="Arial" w:eastAsia="Arial" w:hAnsi="Arial"/>
          <w:sz w:val="20"/>
          <w:szCs w:val="20"/>
          <w:b w:val="1"/>
          <w:bCs w:val="1"/>
          <w:color w:val="auto"/>
        </w:rPr>
        <w:t>BANK OF AMERICA, N.A.,</w:t>
      </w:r>
    </w:p>
    <w:p>
      <w:pPr>
        <w:ind w:left="4400"/>
        <w:spacing w:after="0"/>
        <w:rPr>
          <w:sz w:val="20"/>
          <w:szCs w:val="20"/>
          <w:color w:val="auto"/>
        </w:rPr>
      </w:pPr>
      <w:r>
        <w:rPr>
          <w:rFonts w:ascii="Arial" w:cs="Arial" w:eastAsia="Arial" w:hAnsi="Arial"/>
          <w:sz w:val="20"/>
          <w:szCs w:val="20"/>
          <w:b w:val="1"/>
          <w:bCs w:val="1"/>
          <w:color w:val="auto"/>
        </w:rPr>
        <w:t>as Co-Documentation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U.S. BANK NATIONAL ASSOCIATION</w:t>
      </w:r>
    </w:p>
    <w:p>
      <w:pPr>
        <w:spacing w:after="0" w:line="22"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Lead Arranger and Book 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736653273 11074672</w:t>
      </w:r>
    </w:p>
    <w:p>
      <w:pPr>
        <w:sectPr>
          <w:pgSz w:w="11900" w:h="16838" w:orient="portrait"/>
          <w:cols w:equalWidth="0" w:num="1">
            <w:col w:w="11240"/>
          </w:cols>
          <w:pgMar w:left="320" w:top="118" w:right="339" w:bottom="1440" w:gutter="0" w:footer="0" w:header="0"/>
        </w:sectPr>
      </w:pPr>
    </w:p>
    <w:bookmarkStart w:id="48" w:name="page49"/>
    <w:bookmarkEnd w:id="48"/>
    <w:p>
      <w:pPr>
        <w:ind w:left="10460"/>
        <w:spacing w:after="0"/>
        <w:rPr>
          <w:sz w:val="20"/>
          <w:szCs w:val="20"/>
          <w:color w:val="auto"/>
        </w:rPr>
      </w:pPr>
      <w:r>
        <w:rPr>
          <w:rFonts w:ascii="Arial" w:cs="Arial" w:eastAsia="Arial" w:hAnsi="Arial"/>
          <w:sz w:val="18"/>
          <w:szCs w:val="18"/>
          <w:b w:val="1"/>
          <w:bCs w:val="1"/>
          <w:color w:val="auto"/>
        </w:rPr>
        <w:t>Exhibit 4</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TABLE OF CONTENTS</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1.</w:t>
            </w:r>
          </w:p>
        </w:tc>
        <w:tc>
          <w:tcPr>
            <w:tcW w:w="4220" w:type="dxa"/>
            <w:vAlign w:val="bottom"/>
            <w:gridSpan w:val="4"/>
          </w:tcPr>
          <w:p>
            <w:pPr>
              <w:ind w:left="260"/>
              <w:spacing w:after="0"/>
              <w:rPr>
                <w:sz w:val="20"/>
                <w:szCs w:val="20"/>
                <w:color w:val="auto"/>
              </w:rPr>
            </w:pPr>
            <w:r>
              <w:rPr>
                <w:rFonts w:ascii="Arial" w:cs="Arial" w:eastAsia="Arial" w:hAnsi="Arial"/>
                <w:sz w:val="20"/>
                <w:szCs w:val="20"/>
                <w:b w:val="1"/>
                <w:bCs w:val="1"/>
                <w:color w:val="auto"/>
              </w:rPr>
              <w:t>DEFINITIONS AND INTERPRETATION  1</w:t>
            </w:r>
          </w:p>
        </w:tc>
        <w:tc>
          <w:tcPr>
            <w:tcW w:w="14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317"/>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1.1.</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rPr>
              <w:t>DEFINED TERMS  1</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9"/>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1.2.</w:t>
            </w:r>
          </w:p>
        </w:tc>
        <w:tc>
          <w:tcPr>
            <w:tcW w:w="5020" w:type="dxa"/>
            <w:vAlign w:val="bottom"/>
            <w:gridSpan w:val="4"/>
          </w:tcPr>
          <w:p>
            <w:pPr>
              <w:ind w:left="120"/>
              <w:spacing w:after="0"/>
              <w:rPr>
                <w:sz w:val="20"/>
                <w:szCs w:val="20"/>
                <w:color w:val="auto"/>
              </w:rPr>
            </w:pPr>
            <w:r>
              <w:rPr>
                <w:rFonts w:ascii="Arial" w:cs="Arial" w:eastAsia="Arial" w:hAnsi="Arial"/>
                <w:sz w:val="20"/>
                <w:szCs w:val="20"/>
                <w:color w:val="auto"/>
                <w:w w:val="97"/>
              </w:rPr>
              <w:t>CLASSIFICATION OF LOANS AND BORROWINGS  20</w:t>
            </w:r>
          </w:p>
        </w:tc>
        <w:tc>
          <w:tcPr>
            <w:tcW w:w="2520" w:type="dxa"/>
            <w:vAlign w:val="bottom"/>
          </w:tcPr>
          <w:p>
            <w:pPr>
              <w:spacing w:after="0"/>
              <w:rPr>
                <w:sz w:val="19"/>
                <w:szCs w:val="19"/>
                <w:color w:val="auto"/>
              </w:rPr>
            </w:pP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1.3.</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rPr>
              <w:t>TERMS GENERALLY  20</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29"/>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1.4.</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w w:val="96"/>
              </w:rPr>
              <w:t>ACCOUNTING TERMS; GAAP</w:t>
            </w:r>
          </w:p>
        </w:tc>
        <w:tc>
          <w:tcPr>
            <w:tcW w:w="800" w:type="dxa"/>
            <w:vAlign w:val="bottom"/>
          </w:tcPr>
          <w:p>
            <w:pPr>
              <w:jc w:val="right"/>
              <w:ind w:right="361"/>
              <w:spacing w:after="0"/>
              <w:rPr>
                <w:sz w:val="20"/>
                <w:szCs w:val="20"/>
                <w:color w:val="auto"/>
              </w:rPr>
            </w:pPr>
            <w:r>
              <w:rPr>
                <w:rFonts w:ascii="Arial" w:cs="Arial" w:eastAsia="Arial" w:hAnsi="Arial"/>
                <w:sz w:val="20"/>
                <w:szCs w:val="20"/>
                <w:color w:val="auto"/>
              </w:rPr>
              <w:t>21</w:t>
            </w: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29"/>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1.5.</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rPr>
              <w:t>LIBOR NOTIFICATION  21</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1.6.</w:t>
            </w:r>
          </w:p>
        </w:tc>
        <w:tc>
          <w:tcPr>
            <w:tcW w:w="1200" w:type="dxa"/>
            <w:vAlign w:val="bottom"/>
          </w:tcPr>
          <w:p>
            <w:pPr>
              <w:ind w:left="120"/>
              <w:spacing w:after="0"/>
              <w:rPr>
                <w:sz w:val="20"/>
                <w:szCs w:val="20"/>
                <w:color w:val="auto"/>
              </w:rPr>
            </w:pPr>
            <w:r>
              <w:rPr>
                <w:rFonts w:ascii="Arial" w:cs="Arial" w:eastAsia="Arial" w:hAnsi="Arial"/>
                <w:sz w:val="20"/>
                <w:szCs w:val="20"/>
                <w:color w:val="auto"/>
                <w:w w:val="97"/>
              </w:rPr>
              <w:t>ROUNDING</w:t>
            </w:r>
          </w:p>
        </w:tc>
        <w:tc>
          <w:tcPr>
            <w:tcW w:w="1620" w:type="dxa"/>
            <w:vAlign w:val="bottom"/>
          </w:tcPr>
          <w:p>
            <w:pPr>
              <w:jc w:val="right"/>
              <w:ind w:right="1161"/>
              <w:spacing w:after="0"/>
              <w:rPr>
                <w:sz w:val="20"/>
                <w:szCs w:val="20"/>
                <w:color w:val="auto"/>
              </w:rPr>
            </w:pPr>
            <w:r>
              <w:rPr>
                <w:rFonts w:ascii="Arial" w:cs="Arial" w:eastAsia="Arial" w:hAnsi="Arial"/>
                <w:sz w:val="20"/>
                <w:szCs w:val="20"/>
                <w:color w:val="auto"/>
              </w:rPr>
              <w:t>21</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5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1.7.</w:t>
            </w:r>
          </w:p>
        </w:tc>
        <w:tc>
          <w:tcPr>
            <w:tcW w:w="1200" w:type="dxa"/>
            <w:vAlign w:val="bottom"/>
          </w:tcPr>
          <w:p>
            <w:pPr>
              <w:ind w:left="120"/>
              <w:spacing w:after="0"/>
              <w:rPr>
                <w:sz w:val="20"/>
                <w:szCs w:val="20"/>
                <w:color w:val="auto"/>
              </w:rPr>
            </w:pPr>
            <w:r>
              <w:rPr>
                <w:rFonts w:ascii="Arial" w:cs="Arial" w:eastAsia="Arial" w:hAnsi="Arial"/>
                <w:sz w:val="20"/>
                <w:szCs w:val="20"/>
                <w:color w:val="auto"/>
              </w:rPr>
              <w:t>DIVISIONS</w:t>
            </w:r>
          </w:p>
        </w:tc>
        <w:tc>
          <w:tcPr>
            <w:tcW w:w="1620" w:type="dxa"/>
            <w:vAlign w:val="bottom"/>
          </w:tcPr>
          <w:p>
            <w:pPr>
              <w:jc w:val="right"/>
              <w:ind w:right="1221"/>
              <w:spacing w:after="0"/>
              <w:rPr>
                <w:sz w:val="20"/>
                <w:szCs w:val="20"/>
                <w:color w:val="auto"/>
              </w:rPr>
            </w:pPr>
            <w:r>
              <w:rPr>
                <w:rFonts w:ascii="Arial" w:cs="Arial" w:eastAsia="Arial" w:hAnsi="Arial"/>
                <w:sz w:val="20"/>
                <w:szCs w:val="20"/>
                <w:color w:val="auto"/>
              </w:rPr>
              <w:t>21</w:t>
            </w:r>
          </w:p>
        </w:tc>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2.</w:t>
            </w:r>
          </w:p>
        </w:tc>
        <w:tc>
          <w:tcPr>
            <w:tcW w:w="1800" w:type="dxa"/>
            <w:vAlign w:val="bottom"/>
            <w:gridSpan w:val="2"/>
          </w:tcPr>
          <w:p>
            <w:pPr>
              <w:ind w:left="260"/>
              <w:spacing w:after="0"/>
              <w:rPr>
                <w:sz w:val="20"/>
                <w:szCs w:val="20"/>
                <w:color w:val="auto"/>
              </w:rPr>
            </w:pPr>
            <w:r>
              <w:rPr>
                <w:rFonts w:ascii="Arial" w:cs="Arial" w:eastAsia="Arial" w:hAnsi="Arial"/>
                <w:sz w:val="20"/>
                <w:szCs w:val="20"/>
                <w:b w:val="1"/>
                <w:bCs w:val="1"/>
                <w:color w:val="auto"/>
              </w:rPr>
              <w:t>THE CREDITS</w:t>
            </w:r>
          </w:p>
        </w:tc>
        <w:tc>
          <w:tcPr>
            <w:tcW w:w="1620" w:type="dxa"/>
            <w:vAlign w:val="bottom"/>
          </w:tcPr>
          <w:p>
            <w:pPr>
              <w:jc w:val="right"/>
              <w:ind w:right="1301"/>
              <w:spacing w:after="0"/>
              <w:rPr>
                <w:sz w:val="20"/>
                <w:szCs w:val="20"/>
                <w:color w:val="auto"/>
              </w:rPr>
            </w:pPr>
            <w:r>
              <w:rPr>
                <w:rFonts w:ascii="Arial" w:cs="Arial" w:eastAsia="Arial" w:hAnsi="Arial"/>
                <w:sz w:val="20"/>
                <w:szCs w:val="20"/>
                <w:b w:val="1"/>
                <w:bCs w:val="1"/>
                <w:color w:val="auto"/>
                <w:w w:val="89"/>
              </w:rPr>
              <w:t>22</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17"/>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2.1.</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rPr>
              <w:t>COMMITMENTS  22</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2.2.</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rPr>
              <w:t>LOANS AND BORROWINGS</w:t>
            </w:r>
          </w:p>
        </w:tc>
        <w:tc>
          <w:tcPr>
            <w:tcW w:w="800" w:type="dxa"/>
            <w:vAlign w:val="bottom"/>
          </w:tcPr>
          <w:p>
            <w:pPr>
              <w:jc w:val="right"/>
              <w:ind w:right="501"/>
              <w:spacing w:after="0"/>
              <w:rPr>
                <w:sz w:val="20"/>
                <w:szCs w:val="20"/>
                <w:color w:val="auto"/>
              </w:rPr>
            </w:pPr>
            <w:r>
              <w:rPr>
                <w:rFonts w:ascii="Arial" w:cs="Arial" w:eastAsia="Arial" w:hAnsi="Arial"/>
                <w:sz w:val="20"/>
                <w:szCs w:val="20"/>
                <w:color w:val="auto"/>
                <w:w w:val="80"/>
              </w:rPr>
              <w:t>22</w:t>
            </w: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29"/>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2.3.</w:t>
            </w:r>
          </w:p>
        </w:tc>
        <w:tc>
          <w:tcPr>
            <w:tcW w:w="3620" w:type="dxa"/>
            <w:vAlign w:val="bottom"/>
            <w:gridSpan w:val="3"/>
          </w:tcPr>
          <w:p>
            <w:pPr>
              <w:ind w:left="120"/>
              <w:spacing w:after="0"/>
              <w:rPr>
                <w:sz w:val="20"/>
                <w:szCs w:val="20"/>
                <w:color w:val="auto"/>
              </w:rPr>
            </w:pPr>
            <w:r>
              <w:rPr>
                <w:rFonts w:ascii="Arial" w:cs="Arial" w:eastAsia="Arial" w:hAnsi="Arial"/>
                <w:sz w:val="20"/>
                <w:szCs w:val="20"/>
                <w:color w:val="auto"/>
              </w:rPr>
              <w:t>REQUESTS FOR BORROWINGS  23</w:t>
            </w: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29"/>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2.4.</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w w:val="98"/>
              </w:rPr>
              <w:t>FUNDING OF BORROWINGS</w:t>
            </w:r>
          </w:p>
        </w:tc>
        <w:tc>
          <w:tcPr>
            <w:tcW w:w="800" w:type="dxa"/>
            <w:vAlign w:val="bottom"/>
          </w:tcPr>
          <w:p>
            <w:pPr>
              <w:jc w:val="right"/>
              <w:ind w:right="441"/>
              <w:spacing w:after="0"/>
              <w:rPr>
                <w:sz w:val="20"/>
                <w:szCs w:val="20"/>
                <w:color w:val="auto"/>
              </w:rPr>
            </w:pPr>
            <w:r>
              <w:rPr>
                <w:rFonts w:ascii="Arial" w:cs="Arial" w:eastAsia="Arial" w:hAnsi="Arial"/>
                <w:sz w:val="20"/>
                <w:szCs w:val="20"/>
                <w:color w:val="auto"/>
              </w:rPr>
              <w:t>23</w:t>
            </w: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2.5.</w:t>
            </w:r>
          </w:p>
        </w:tc>
        <w:tc>
          <w:tcPr>
            <w:tcW w:w="5020" w:type="dxa"/>
            <w:vAlign w:val="bottom"/>
            <w:gridSpan w:val="4"/>
          </w:tcPr>
          <w:p>
            <w:pPr>
              <w:ind w:left="120"/>
              <w:spacing w:after="0"/>
              <w:rPr>
                <w:sz w:val="20"/>
                <w:szCs w:val="20"/>
                <w:color w:val="auto"/>
              </w:rPr>
            </w:pPr>
            <w:r>
              <w:rPr>
                <w:rFonts w:ascii="Arial" w:cs="Arial" w:eastAsia="Arial" w:hAnsi="Arial"/>
                <w:sz w:val="20"/>
                <w:szCs w:val="20"/>
                <w:color w:val="auto"/>
                <w:w w:val="97"/>
              </w:rPr>
              <w:t>TERMINATION AND REDUCTION OF COMMITMENTS</w:t>
            </w:r>
          </w:p>
        </w:tc>
        <w:tc>
          <w:tcPr>
            <w:tcW w:w="2520" w:type="dxa"/>
            <w:vAlign w:val="bottom"/>
          </w:tcPr>
          <w:p>
            <w:pPr>
              <w:jc w:val="right"/>
              <w:ind w:right="2081"/>
              <w:spacing w:after="0"/>
              <w:rPr>
                <w:sz w:val="20"/>
                <w:szCs w:val="20"/>
                <w:color w:val="auto"/>
              </w:rPr>
            </w:pPr>
            <w:r>
              <w:rPr>
                <w:rFonts w:ascii="Arial" w:cs="Arial" w:eastAsia="Arial" w:hAnsi="Arial"/>
                <w:sz w:val="20"/>
                <w:szCs w:val="20"/>
                <w:color w:val="auto"/>
              </w:rPr>
              <w:t>24</w:t>
            </w:r>
          </w:p>
        </w:tc>
      </w:tr>
      <w:tr>
        <w:trPr>
          <w:trHeight w:val="229"/>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2.6.</w:t>
            </w:r>
          </w:p>
        </w:tc>
        <w:tc>
          <w:tcPr>
            <w:tcW w:w="5020" w:type="dxa"/>
            <w:vAlign w:val="bottom"/>
            <w:gridSpan w:val="4"/>
          </w:tcPr>
          <w:p>
            <w:pPr>
              <w:ind w:left="120"/>
              <w:spacing w:after="0"/>
              <w:rPr>
                <w:sz w:val="20"/>
                <w:szCs w:val="20"/>
                <w:color w:val="auto"/>
              </w:rPr>
            </w:pPr>
            <w:r>
              <w:rPr>
                <w:rFonts w:ascii="Arial" w:cs="Arial" w:eastAsia="Arial" w:hAnsi="Arial"/>
                <w:sz w:val="20"/>
                <w:szCs w:val="20"/>
                <w:color w:val="auto"/>
              </w:rPr>
              <w:t>REPAYMENT OF LOANS; EVIDENCE OF DEBT  24</w:t>
            </w:r>
          </w:p>
        </w:tc>
        <w:tc>
          <w:tcPr>
            <w:tcW w:w="2520" w:type="dxa"/>
            <w:vAlign w:val="bottom"/>
          </w:tcPr>
          <w:p>
            <w:pPr>
              <w:spacing w:after="0"/>
              <w:rPr>
                <w:sz w:val="19"/>
                <w:szCs w:val="19"/>
                <w:color w:val="auto"/>
              </w:rPr>
            </w:pPr>
          </w:p>
        </w:tc>
      </w:tr>
      <w:tr>
        <w:trPr>
          <w:trHeight w:val="229"/>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2.7.</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w w:val="96"/>
              </w:rPr>
              <w:t>PREPAYMENT OF LOANS  25</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2.8.</w:t>
            </w:r>
          </w:p>
        </w:tc>
        <w:tc>
          <w:tcPr>
            <w:tcW w:w="7540" w:type="dxa"/>
            <w:vAlign w:val="bottom"/>
            <w:gridSpan w:val="5"/>
          </w:tcPr>
          <w:p>
            <w:pPr>
              <w:ind w:left="120"/>
              <w:spacing w:after="0" w:line="230" w:lineRule="exact"/>
              <w:rPr>
                <w:sz w:val="20"/>
                <w:szCs w:val="20"/>
                <w:color w:val="auto"/>
              </w:rPr>
            </w:pPr>
            <w:r>
              <w:rPr>
                <w:rFonts w:ascii="Arial" w:cs="Arial" w:eastAsia="Arial" w:hAnsi="Arial"/>
                <w:sz w:val="20"/>
                <w:szCs w:val="20"/>
                <w:color w:val="auto"/>
                <w:w w:val="98"/>
              </w:rPr>
              <w:t>PAYMENTS GENERALLY; PRO RATA TREATMENT; SHARING OF SET</w:t>
            </w:r>
            <w:r>
              <w:rPr>
                <w:rFonts w:ascii="MS PGothic" w:cs="MS PGothic" w:eastAsia="MS PGothic" w:hAnsi="MS PGothic"/>
                <w:sz w:val="20"/>
                <w:szCs w:val="20"/>
                <w:color w:val="auto"/>
                <w:w w:val="98"/>
              </w:rPr>
              <w:t>‑</w:t>
            </w:r>
            <w:r>
              <w:rPr>
                <w:rFonts w:ascii="Arial" w:cs="Arial" w:eastAsia="Arial" w:hAnsi="Arial"/>
                <w:sz w:val="20"/>
                <w:szCs w:val="20"/>
                <w:color w:val="auto"/>
                <w:w w:val="98"/>
              </w:rPr>
              <w:t>OFFS  25</w:t>
            </w:r>
          </w:p>
        </w:tc>
      </w:tr>
      <w:tr>
        <w:trPr>
          <w:trHeight w:val="229"/>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2.9.</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rPr>
              <w:t>DEFAULTING LENDERS  27</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50"/>
        </w:trPr>
        <w:tc>
          <w:tcPr>
            <w:tcW w:w="4780" w:type="dxa"/>
            <w:vAlign w:val="bottom"/>
            <w:gridSpan w:val="4"/>
          </w:tcPr>
          <w:p>
            <w:pPr>
              <w:ind w:left="660"/>
              <w:spacing w:after="0"/>
              <w:rPr>
                <w:sz w:val="20"/>
                <w:szCs w:val="20"/>
                <w:color w:val="auto"/>
              </w:rPr>
            </w:pPr>
            <w:r>
              <w:rPr>
                <w:rFonts w:ascii="Arial" w:cs="Arial" w:eastAsia="Arial" w:hAnsi="Arial"/>
                <w:sz w:val="20"/>
                <w:szCs w:val="20"/>
                <w:color w:val="auto"/>
                <w:w w:val="95"/>
              </w:rPr>
              <w:t>SECTION 2.10.  INCREMENTAL TERM LOANS</w:t>
            </w:r>
          </w:p>
        </w:tc>
        <w:tc>
          <w:tcPr>
            <w:tcW w:w="800" w:type="dxa"/>
            <w:vAlign w:val="bottom"/>
          </w:tcPr>
          <w:p>
            <w:pPr>
              <w:jc w:val="right"/>
              <w:ind w:right="301"/>
              <w:spacing w:after="0"/>
              <w:rPr>
                <w:sz w:val="20"/>
                <w:szCs w:val="20"/>
                <w:color w:val="auto"/>
              </w:rPr>
            </w:pPr>
            <w:r>
              <w:rPr>
                <w:rFonts w:ascii="Arial" w:cs="Arial" w:eastAsia="Arial" w:hAnsi="Arial"/>
                <w:sz w:val="20"/>
                <w:szCs w:val="20"/>
                <w:color w:val="auto"/>
              </w:rPr>
              <w:t>27</w:t>
            </w:r>
          </w:p>
        </w:tc>
        <w:tc>
          <w:tcPr>
            <w:tcW w:w="140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337"/>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3.</w:t>
            </w:r>
          </w:p>
        </w:tc>
        <w:tc>
          <w:tcPr>
            <w:tcW w:w="5620" w:type="dxa"/>
            <w:vAlign w:val="bottom"/>
            <w:gridSpan w:val="5"/>
          </w:tcPr>
          <w:p>
            <w:pPr>
              <w:ind w:left="260"/>
              <w:spacing w:after="0"/>
              <w:rPr>
                <w:sz w:val="20"/>
                <w:szCs w:val="20"/>
                <w:color w:val="auto"/>
              </w:rPr>
            </w:pPr>
            <w:r>
              <w:rPr>
                <w:rFonts w:ascii="Arial" w:cs="Arial" w:eastAsia="Arial" w:hAnsi="Arial"/>
                <w:sz w:val="20"/>
                <w:szCs w:val="20"/>
                <w:b w:val="1"/>
                <w:bCs w:val="1"/>
                <w:color w:val="auto"/>
              </w:rPr>
              <w:t>INTEREST, FEES, YIELD PROTECTION, ETC  29</w:t>
            </w:r>
          </w:p>
        </w:tc>
        <w:tc>
          <w:tcPr>
            <w:tcW w:w="2520" w:type="dxa"/>
            <w:vAlign w:val="bottom"/>
          </w:tcPr>
          <w:p>
            <w:pPr>
              <w:spacing w:after="0"/>
              <w:rPr>
                <w:sz w:val="24"/>
                <w:szCs w:val="24"/>
                <w:color w:val="auto"/>
              </w:rPr>
            </w:pPr>
          </w:p>
        </w:tc>
      </w:tr>
      <w:tr>
        <w:trPr>
          <w:trHeight w:val="317"/>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3.1.</w:t>
            </w:r>
          </w:p>
        </w:tc>
        <w:tc>
          <w:tcPr>
            <w:tcW w:w="1200" w:type="dxa"/>
            <w:vAlign w:val="bottom"/>
          </w:tcPr>
          <w:p>
            <w:pPr>
              <w:ind w:left="120"/>
              <w:spacing w:after="0"/>
              <w:rPr>
                <w:sz w:val="20"/>
                <w:szCs w:val="20"/>
                <w:color w:val="auto"/>
              </w:rPr>
            </w:pPr>
            <w:r>
              <w:rPr>
                <w:rFonts w:ascii="Arial" w:cs="Arial" w:eastAsia="Arial" w:hAnsi="Arial"/>
                <w:sz w:val="20"/>
                <w:szCs w:val="20"/>
                <w:color w:val="auto"/>
              </w:rPr>
              <w:t>INTEREST</w:t>
            </w:r>
          </w:p>
        </w:tc>
        <w:tc>
          <w:tcPr>
            <w:tcW w:w="1620" w:type="dxa"/>
            <w:vAlign w:val="bottom"/>
          </w:tcPr>
          <w:p>
            <w:pPr>
              <w:jc w:val="right"/>
              <w:ind w:right="1281"/>
              <w:spacing w:after="0"/>
              <w:rPr>
                <w:sz w:val="20"/>
                <w:szCs w:val="20"/>
                <w:color w:val="auto"/>
              </w:rPr>
            </w:pPr>
            <w:r>
              <w:rPr>
                <w:rFonts w:ascii="Arial" w:cs="Arial" w:eastAsia="Arial" w:hAnsi="Arial"/>
                <w:sz w:val="20"/>
                <w:szCs w:val="20"/>
                <w:color w:val="auto"/>
                <w:w w:val="98"/>
              </w:rPr>
              <w:t>29</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3.2.</w:t>
            </w:r>
          </w:p>
        </w:tc>
        <w:tc>
          <w:tcPr>
            <w:tcW w:w="5020" w:type="dxa"/>
            <w:vAlign w:val="bottom"/>
            <w:gridSpan w:val="4"/>
          </w:tcPr>
          <w:p>
            <w:pPr>
              <w:ind w:left="120"/>
              <w:spacing w:after="0"/>
              <w:rPr>
                <w:sz w:val="20"/>
                <w:szCs w:val="20"/>
                <w:color w:val="auto"/>
              </w:rPr>
            </w:pPr>
            <w:r>
              <w:rPr>
                <w:rFonts w:ascii="Arial" w:cs="Arial" w:eastAsia="Arial" w:hAnsi="Arial"/>
                <w:sz w:val="20"/>
                <w:szCs w:val="20"/>
                <w:color w:val="auto"/>
                <w:w w:val="96"/>
              </w:rPr>
              <w:t>INTEREST ELECTIONS RELATING TO BORROWINGS</w:t>
            </w:r>
          </w:p>
        </w:tc>
        <w:tc>
          <w:tcPr>
            <w:tcW w:w="2520" w:type="dxa"/>
            <w:vAlign w:val="bottom"/>
          </w:tcPr>
          <w:p>
            <w:pPr>
              <w:jc w:val="right"/>
              <w:ind w:right="2161"/>
              <w:spacing w:after="0"/>
              <w:rPr>
                <w:sz w:val="20"/>
                <w:szCs w:val="20"/>
                <w:color w:val="auto"/>
              </w:rPr>
            </w:pPr>
            <w:r>
              <w:rPr>
                <w:rFonts w:ascii="Arial" w:cs="Arial" w:eastAsia="Arial" w:hAnsi="Arial"/>
                <w:sz w:val="20"/>
                <w:szCs w:val="20"/>
                <w:color w:val="auto"/>
              </w:rPr>
              <w:t>29</w:t>
            </w:r>
          </w:p>
        </w:tc>
      </w:tr>
      <w:tr>
        <w:trPr>
          <w:trHeight w:val="229"/>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3.3.</w:t>
            </w:r>
          </w:p>
        </w:tc>
        <w:tc>
          <w:tcPr>
            <w:tcW w:w="1200" w:type="dxa"/>
            <w:vAlign w:val="bottom"/>
          </w:tcPr>
          <w:p>
            <w:pPr>
              <w:ind w:left="120"/>
              <w:spacing w:after="0"/>
              <w:rPr>
                <w:sz w:val="20"/>
                <w:szCs w:val="20"/>
                <w:color w:val="auto"/>
              </w:rPr>
            </w:pPr>
            <w:r>
              <w:rPr>
                <w:rFonts w:ascii="Arial" w:cs="Arial" w:eastAsia="Arial" w:hAnsi="Arial"/>
                <w:sz w:val="20"/>
                <w:szCs w:val="20"/>
                <w:color w:val="auto"/>
              </w:rPr>
              <w:t>FEES  30</w:t>
            </w:r>
          </w:p>
        </w:tc>
        <w:tc>
          <w:tcPr>
            <w:tcW w:w="1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3.4.</w:t>
            </w:r>
          </w:p>
        </w:tc>
        <w:tc>
          <w:tcPr>
            <w:tcW w:w="7540" w:type="dxa"/>
            <w:vAlign w:val="bottom"/>
            <w:gridSpan w:val="5"/>
          </w:tcPr>
          <w:p>
            <w:pPr>
              <w:ind w:left="120"/>
              <w:spacing w:after="0"/>
              <w:rPr>
                <w:sz w:val="20"/>
                <w:szCs w:val="20"/>
                <w:color w:val="auto"/>
              </w:rPr>
            </w:pPr>
            <w:r>
              <w:rPr>
                <w:rFonts w:ascii="Arial" w:cs="Arial" w:eastAsia="Arial" w:hAnsi="Arial"/>
                <w:sz w:val="20"/>
                <w:szCs w:val="20"/>
                <w:color w:val="auto"/>
                <w:w w:val="96"/>
              </w:rPr>
              <w:t>AVAILABILITY OF TYPES OF BORROWINGS; ADEQUACY OF INTEREST RATE  31</w:t>
            </w: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3.5.</w:t>
            </w:r>
          </w:p>
        </w:tc>
        <w:tc>
          <w:tcPr>
            <w:tcW w:w="3620" w:type="dxa"/>
            <w:vAlign w:val="bottom"/>
            <w:gridSpan w:val="3"/>
          </w:tcPr>
          <w:p>
            <w:pPr>
              <w:ind w:left="120"/>
              <w:spacing w:after="0"/>
              <w:rPr>
                <w:sz w:val="20"/>
                <w:szCs w:val="20"/>
                <w:color w:val="auto"/>
              </w:rPr>
            </w:pPr>
            <w:r>
              <w:rPr>
                <w:rFonts w:ascii="Arial" w:cs="Arial" w:eastAsia="Arial" w:hAnsi="Arial"/>
                <w:sz w:val="20"/>
                <w:szCs w:val="20"/>
                <w:color w:val="auto"/>
              </w:rPr>
              <w:t>INCREASED COSTS; ILLEGALITY  33</w:t>
            </w: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3.6.</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w w:val="95"/>
              </w:rPr>
              <w:t>BREAK FUNDING PAYMENTS</w:t>
            </w:r>
          </w:p>
        </w:tc>
        <w:tc>
          <w:tcPr>
            <w:tcW w:w="800" w:type="dxa"/>
            <w:vAlign w:val="bottom"/>
          </w:tcPr>
          <w:p>
            <w:pPr>
              <w:jc w:val="right"/>
              <w:ind w:right="321"/>
              <w:spacing w:after="0"/>
              <w:rPr>
                <w:sz w:val="20"/>
                <w:szCs w:val="20"/>
                <w:color w:val="auto"/>
              </w:rPr>
            </w:pPr>
            <w:r>
              <w:rPr>
                <w:rFonts w:ascii="Arial" w:cs="Arial" w:eastAsia="Arial" w:hAnsi="Arial"/>
                <w:sz w:val="20"/>
                <w:szCs w:val="20"/>
                <w:color w:val="auto"/>
              </w:rPr>
              <w:t>35</w:t>
            </w: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3.7.</w:t>
            </w:r>
          </w:p>
        </w:tc>
        <w:tc>
          <w:tcPr>
            <w:tcW w:w="3620" w:type="dxa"/>
            <w:vAlign w:val="bottom"/>
            <w:gridSpan w:val="3"/>
          </w:tcPr>
          <w:p>
            <w:pPr>
              <w:ind w:left="120"/>
              <w:spacing w:after="0"/>
              <w:rPr>
                <w:sz w:val="20"/>
                <w:szCs w:val="20"/>
                <w:color w:val="auto"/>
              </w:rPr>
            </w:pPr>
            <w:r>
              <w:rPr>
                <w:rFonts w:ascii="Arial" w:cs="Arial" w:eastAsia="Arial" w:hAnsi="Arial"/>
                <w:sz w:val="20"/>
                <w:szCs w:val="20"/>
                <w:color w:val="auto"/>
                <w:w w:val="95"/>
              </w:rPr>
              <w:t>WITHHOLDING OF TAXES; GROSS-UP</w:t>
            </w:r>
          </w:p>
        </w:tc>
        <w:tc>
          <w:tcPr>
            <w:tcW w:w="1400" w:type="dxa"/>
            <w:vAlign w:val="bottom"/>
          </w:tcPr>
          <w:p>
            <w:pPr>
              <w:jc w:val="right"/>
              <w:ind w:right="961"/>
              <w:spacing w:after="0"/>
              <w:rPr>
                <w:sz w:val="20"/>
                <w:szCs w:val="20"/>
                <w:color w:val="auto"/>
              </w:rPr>
            </w:pPr>
            <w:r>
              <w:rPr>
                <w:rFonts w:ascii="Arial" w:cs="Arial" w:eastAsia="Arial" w:hAnsi="Arial"/>
                <w:sz w:val="20"/>
                <w:szCs w:val="20"/>
                <w:color w:val="auto"/>
              </w:rPr>
              <w:t>35</w:t>
            </w:r>
          </w:p>
        </w:tc>
        <w:tc>
          <w:tcPr>
            <w:tcW w:w="2520" w:type="dxa"/>
            <w:vAlign w:val="bottom"/>
          </w:tcPr>
          <w:p>
            <w:pPr>
              <w:spacing w:after="0"/>
              <w:rPr>
                <w:sz w:val="19"/>
                <w:szCs w:val="19"/>
                <w:color w:val="auto"/>
              </w:rPr>
            </w:pPr>
          </w:p>
        </w:tc>
      </w:tr>
      <w:tr>
        <w:trPr>
          <w:trHeight w:val="229"/>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3.8.</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rPr>
              <w:t>MITIGATION OBLIGATIONS</w:t>
            </w:r>
          </w:p>
        </w:tc>
        <w:tc>
          <w:tcPr>
            <w:tcW w:w="800" w:type="dxa"/>
            <w:vAlign w:val="bottom"/>
          </w:tcPr>
          <w:p>
            <w:pPr>
              <w:jc w:val="right"/>
              <w:ind w:right="481"/>
              <w:spacing w:after="0"/>
              <w:rPr>
                <w:sz w:val="20"/>
                <w:szCs w:val="20"/>
                <w:color w:val="auto"/>
              </w:rPr>
            </w:pPr>
            <w:r>
              <w:rPr>
                <w:rFonts w:ascii="Arial" w:cs="Arial" w:eastAsia="Arial" w:hAnsi="Arial"/>
                <w:sz w:val="20"/>
                <w:szCs w:val="20"/>
                <w:color w:val="auto"/>
                <w:w w:val="89"/>
              </w:rPr>
              <w:t>39</w:t>
            </w: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3.9.</w:t>
            </w:r>
          </w:p>
        </w:tc>
        <w:tc>
          <w:tcPr>
            <w:tcW w:w="3620" w:type="dxa"/>
            <w:vAlign w:val="bottom"/>
            <w:gridSpan w:val="3"/>
          </w:tcPr>
          <w:p>
            <w:pPr>
              <w:ind w:left="120"/>
              <w:spacing w:after="0"/>
              <w:rPr>
                <w:sz w:val="20"/>
                <w:szCs w:val="20"/>
                <w:color w:val="auto"/>
              </w:rPr>
            </w:pPr>
            <w:r>
              <w:rPr>
                <w:rFonts w:ascii="Arial" w:cs="Arial" w:eastAsia="Arial" w:hAnsi="Arial"/>
                <w:sz w:val="20"/>
                <w:szCs w:val="20"/>
                <w:color w:val="auto"/>
              </w:rPr>
              <w:t>EEA FINANCIAL INSTITUTIONS  39</w:t>
            </w: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50"/>
        </w:trPr>
        <w:tc>
          <w:tcPr>
            <w:tcW w:w="6980" w:type="dxa"/>
            <w:vAlign w:val="bottom"/>
            <w:gridSpan w:val="6"/>
          </w:tcPr>
          <w:p>
            <w:pPr>
              <w:ind w:left="660"/>
              <w:spacing w:after="0"/>
              <w:rPr>
                <w:sz w:val="20"/>
                <w:szCs w:val="20"/>
                <w:color w:val="auto"/>
              </w:rPr>
            </w:pPr>
            <w:r>
              <w:rPr>
                <w:rFonts w:ascii="Arial" w:cs="Arial" w:eastAsia="Arial" w:hAnsi="Arial"/>
                <w:sz w:val="20"/>
                <w:szCs w:val="20"/>
                <w:color w:val="auto"/>
              </w:rPr>
              <w:t>SECTION 3.10.  PLAN ASSETS; PROHIBITED TRANSACTIONS  40</w:t>
            </w:r>
          </w:p>
        </w:tc>
        <w:tc>
          <w:tcPr>
            <w:tcW w:w="2520" w:type="dxa"/>
            <w:vAlign w:val="bottom"/>
          </w:tcPr>
          <w:p>
            <w:pPr>
              <w:spacing w:after="0"/>
              <w:rPr>
                <w:sz w:val="21"/>
                <w:szCs w:val="21"/>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4.</w:t>
            </w:r>
          </w:p>
        </w:tc>
        <w:tc>
          <w:tcPr>
            <w:tcW w:w="4220" w:type="dxa"/>
            <w:vAlign w:val="bottom"/>
            <w:gridSpan w:val="4"/>
          </w:tcPr>
          <w:p>
            <w:pPr>
              <w:ind w:left="260"/>
              <w:spacing w:after="0"/>
              <w:rPr>
                <w:sz w:val="20"/>
                <w:szCs w:val="20"/>
                <w:color w:val="auto"/>
              </w:rPr>
            </w:pPr>
            <w:r>
              <w:rPr>
                <w:rFonts w:ascii="Arial" w:cs="Arial" w:eastAsia="Arial" w:hAnsi="Arial"/>
                <w:sz w:val="20"/>
                <w:szCs w:val="20"/>
                <w:b w:val="1"/>
                <w:bCs w:val="1"/>
                <w:color w:val="auto"/>
              </w:rPr>
              <w:t>REPRESENTATIONS AND WARRANTIES</w:t>
            </w:r>
          </w:p>
        </w:tc>
        <w:tc>
          <w:tcPr>
            <w:tcW w:w="1400" w:type="dxa"/>
            <w:vAlign w:val="bottom"/>
          </w:tcPr>
          <w:p>
            <w:pPr>
              <w:jc w:val="right"/>
              <w:ind w:right="1081"/>
              <w:spacing w:after="0"/>
              <w:rPr>
                <w:sz w:val="20"/>
                <w:szCs w:val="20"/>
                <w:color w:val="auto"/>
              </w:rPr>
            </w:pPr>
            <w:r>
              <w:rPr>
                <w:rFonts w:ascii="Arial" w:cs="Arial" w:eastAsia="Arial" w:hAnsi="Arial"/>
                <w:sz w:val="20"/>
                <w:szCs w:val="20"/>
                <w:b w:val="1"/>
                <w:bCs w:val="1"/>
                <w:color w:val="auto"/>
                <w:w w:val="89"/>
              </w:rPr>
              <w:t>40</w:t>
            </w:r>
          </w:p>
        </w:tc>
        <w:tc>
          <w:tcPr>
            <w:tcW w:w="2520" w:type="dxa"/>
            <w:vAlign w:val="bottom"/>
          </w:tcPr>
          <w:p>
            <w:pPr>
              <w:spacing w:after="0"/>
              <w:rPr>
                <w:sz w:val="24"/>
                <w:szCs w:val="24"/>
                <w:color w:val="auto"/>
              </w:rPr>
            </w:pPr>
          </w:p>
        </w:tc>
      </w:tr>
      <w:tr>
        <w:trPr>
          <w:trHeight w:val="317"/>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4.1.</w:t>
            </w:r>
          </w:p>
        </w:tc>
        <w:tc>
          <w:tcPr>
            <w:tcW w:w="3620" w:type="dxa"/>
            <w:vAlign w:val="bottom"/>
            <w:gridSpan w:val="3"/>
          </w:tcPr>
          <w:p>
            <w:pPr>
              <w:ind w:left="120"/>
              <w:spacing w:after="0"/>
              <w:rPr>
                <w:sz w:val="20"/>
                <w:szCs w:val="20"/>
                <w:color w:val="auto"/>
              </w:rPr>
            </w:pPr>
            <w:r>
              <w:rPr>
                <w:rFonts w:ascii="Arial" w:cs="Arial" w:eastAsia="Arial" w:hAnsi="Arial"/>
                <w:sz w:val="20"/>
                <w:szCs w:val="20"/>
                <w:color w:val="auto"/>
              </w:rPr>
              <w:t>ORGANIZATION; POWERS  40</w:t>
            </w:r>
          </w:p>
        </w:tc>
        <w:tc>
          <w:tcPr>
            <w:tcW w:w="1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9"/>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4.2.</w:t>
            </w:r>
          </w:p>
        </w:tc>
        <w:tc>
          <w:tcPr>
            <w:tcW w:w="3620" w:type="dxa"/>
            <w:vAlign w:val="bottom"/>
            <w:gridSpan w:val="3"/>
          </w:tcPr>
          <w:p>
            <w:pPr>
              <w:ind w:left="120"/>
              <w:spacing w:after="0"/>
              <w:rPr>
                <w:sz w:val="20"/>
                <w:szCs w:val="20"/>
                <w:color w:val="auto"/>
              </w:rPr>
            </w:pPr>
            <w:r>
              <w:rPr>
                <w:rFonts w:ascii="Arial" w:cs="Arial" w:eastAsia="Arial" w:hAnsi="Arial"/>
                <w:sz w:val="20"/>
                <w:szCs w:val="20"/>
                <w:color w:val="auto"/>
              </w:rPr>
              <w:t>AUTHORIZATION; ENFORCEABILITY</w:t>
            </w:r>
          </w:p>
        </w:tc>
        <w:tc>
          <w:tcPr>
            <w:tcW w:w="1400" w:type="dxa"/>
            <w:vAlign w:val="bottom"/>
          </w:tcPr>
          <w:p>
            <w:pPr>
              <w:jc w:val="right"/>
              <w:ind w:right="1021"/>
              <w:spacing w:after="0"/>
              <w:rPr>
                <w:sz w:val="20"/>
                <w:szCs w:val="20"/>
                <w:color w:val="auto"/>
              </w:rPr>
            </w:pPr>
            <w:r>
              <w:rPr>
                <w:rFonts w:ascii="Arial" w:cs="Arial" w:eastAsia="Arial" w:hAnsi="Arial"/>
                <w:sz w:val="20"/>
                <w:szCs w:val="20"/>
                <w:color w:val="auto"/>
              </w:rPr>
              <w:t>40</w:t>
            </w:r>
          </w:p>
        </w:tc>
        <w:tc>
          <w:tcPr>
            <w:tcW w:w="2520" w:type="dxa"/>
            <w:vAlign w:val="bottom"/>
          </w:tcPr>
          <w:p>
            <w:pPr>
              <w:spacing w:after="0"/>
              <w:rPr>
                <w:sz w:val="19"/>
                <w:szCs w:val="19"/>
                <w:color w:val="auto"/>
              </w:rPr>
            </w:pP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4.3.</w:t>
            </w:r>
          </w:p>
        </w:tc>
        <w:tc>
          <w:tcPr>
            <w:tcW w:w="5020" w:type="dxa"/>
            <w:vAlign w:val="bottom"/>
            <w:gridSpan w:val="4"/>
          </w:tcPr>
          <w:p>
            <w:pPr>
              <w:ind w:left="120"/>
              <w:spacing w:after="0"/>
              <w:rPr>
                <w:sz w:val="20"/>
                <w:szCs w:val="20"/>
                <w:color w:val="auto"/>
              </w:rPr>
            </w:pPr>
            <w:r>
              <w:rPr>
                <w:rFonts w:ascii="Arial" w:cs="Arial" w:eastAsia="Arial" w:hAnsi="Arial"/>
                <w:sz w:val="20"/>
                <w:szCs w:val="20"/>
                <w:color w:val="auto"/>
              </w:rPr>
              <w:t>GOVERNMENTAL APPROVALS; NO CONFLICTS  40</w:t>
            </w:r>
          </w:p>
        </w:tc>
        <w:tc>
          <w:tcPr>
            <w:tcW w:w="2520" w:type="dxa"/>
            <w:vAlign w:val="bottom"/>
          </w:tcPr>
          <w:p>
            <w:pPr>
              <w:spacing w:after="0"/>
              <w:rPr>
                <w:sz w:val="19"/>
                <w:szCs w:val="19"/>
                <w:color w:val="auto"/>
              </w:rPr>
            </w:pP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4.4.</w:t>
            </w:r>
          </w:p>
        </w:tc>
        <w:tc>
          <w:tcPr>
            <w:tcW w:w="7540" w:type="dxa"/>
            <w:vAlign w:val="bottom"/>
            <w:gridSpan w:val="5"/>
          </w:tcPr>
          <w:p>
            <w:pPr>
              <w:ind w:left="120"/>
              <w:spacing w:after="0"/>
              <w:rPr>
                <w:sz w:val="20"/>
                <w:szCs w:val="20"/>
                <w:color w:val="auto"/>
              </w:rPr>
            </w:pPr>
            <w:r>
              <w:rPr>
                <w:rFonts w:ascii="Arial" w:cs="Arial" w:eastAsia="Arial" w:hAnsi="Arial"/>
                <w:sz w:val="20"/>
                <w:szCs w:val="20"/>
                <w:color w:val="auto"/>
              </w:rPr>
              <w:t>FINANCIAL CONDITION; NO MATERIAL ADVERSE CHANGE  40</w:t>
            </w: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4.5.</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rPr>
              <w:t>LITIGATION  41</w:t>
            </w: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29"/>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4.6.</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w w:val="98"/>
              </w:rPr>
              <w:t>ENVIRONMENTAL MATTERS</w:t>
            </w:r>
          </w:p>
        </w:tc>
        <w:tc>
          <w:tcPr>
            <w:tcW w:w="800" w:type="dxa"/>
            <w:vAlign w:val="bottom"/>
          </w:tcPr>
          <w:p>
            <w:pPr>
              <w:jc w:val="right"/>
              <w:ind w:right="361"/>
              <w:spacing w:after="0"/>
              <w:rPr>
                <w:sz w:val="20"/>
                <w:szCs w:val="20"/>
                <w:color w:val="auto"/>
              </w:rPr>
            </w:pPr>
            <w:r>
              <w:rPr>
                <w:rFonts w:ascii="Arial" w:cs="Arial" w:eastAsia="Arial" w:hAnsi="Arial"/>
                <w:sz w:val="20"/>
                <w:szCs w:val="20"/>
                <w:color w:val="auto"/>
              </w:rPr>
              <w:t>41</w:t>
            </w: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4.7.</w:t>
            </w:r>
          </w:p>
        </w:tc>
        <w:tc>
          <w:tcPr>
            <w:tcW w:w="3620" w:type="dxa"/>
            <w:vAlign w:val="bottom"/>
            <w:gridSpan w:val="3"/>
          </w:tcPr>
          <w:p>
            <w:pPr>
              <w:ind w:left="120"/>
              <w:spacing w:after="0"/>
              <w:rPr>
                <w:sz w:val="20"/>
                <w:szCs w:val="20"/>
                <w:color w:val="auto"/>
              </w:rPr>
            </w:pPr>
            <w:r>
              <w:rPr>
                <w:rFonts w:ascii="Arial" w:cs="Arial" w:eastAsia="Arial" w:hAnsi="Arial"/>
                <w:sz w:val="20"/>
                <w:szCs w:val="20"/>
                <w:color w:val="auto"/>
                <w:w w:val="98"/>
              </w:rPr>
              <w:t>INVESTMENT COMPANY STATUS  41</w:t>
            </w: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4.8.</w:t>
            </w:r>
          </w:p>
        </w:tc>
        <w:tc>
          <w:tcPr>
            <w:tcW w:w="1200" w:type="dxa"/>
            <w:vAlign w:val="bottom"/>
          </w:tcPr>
          <w:p>
            <w:pPr>
              <w:ind w:left="120"/>
              <w:spacing w:after="0"/>
              <w:rPr>
                <w:sz w:val="20"/>
                <w:szCs w:val="20"/>
                <w:color w:val="auto"/>
              </w:rPr>
            </w:pPr>
            <w:r>
              <w:rPr>
                <w:rFonts w:ascii="Arial" w:cs="Arial" w:eastAsia="Arial" w:hAnsi="Arial"/>
                <w:sz w:val="20"/>
                <w:szCs w:val="20"/>
                <w:color w:val="auto"/>
              </w:rPr>
              <w:t>ERISA  41</w:t>
            </w:r>
          </w:p>
        </w:tc>
        <w:tc>
          <w:tcPr>
            <w:tcW w:w="1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50"/>
        </w:trPr>
        <w:tc>
          <w:tcPr>
            <w:tcW w:w="1960" w:type="dxa"/>
            <w:vAlign w:val="bottom"/>
            <w:gridSpan w:val="2"/>
          </w:tcPr>
          <w:p>
            <w:pPr>
              <w:ind w:left="660"/>
              <w:spacing w:after="0"/>
              <w:rPr>
                <w:sz w:val="20"/>
                <w:szCs w:val="20"/>
                <w:color w:val="auto"/>
              </w:rPr>
            </w:pPr>
            <w:r>
              <w:rPr>
                <w:rFonts w:ascii="Arial" w:cs="Arial" w:eastAsia="Arial" w:hAnsi="Arial"/>
                <w:sz w:val="20"/>
                <w:szCs w:val="20"/>
                <w:color w:val="auto"/>
              </w:rPr>
              <w:t>SECTION 4.9.</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rPr>
              <w:t>DISCLOSURE  41</w:t>
            </w:r>
          </w:p>
        </w:tc>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520" w:type="dxa"/>
            <w:vAlign w:val="bottom"/>
          </w:tcPr>
          <w:p>
            <w:pPr>
              <w:spacing w:after="0"/>
              <w:rPr>
                <w:sz w:val="21"/>
                <w:szCs w:val="21"/>
                <w:color w:val="auto"/>
              </w:rPr>
            </w:pPr>
          </w:p>
        </w:tc>
      </w:tr>
    </w:tbl>
    <w:p>
      <w:pPr>
        <w:spacing w:after="0" w:line="19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40"/>
          </w:cols>
          <w:pgMar w:left="320" w:top="118" w:right="339" w:bottom="1440" w:gutter="0" w:footer="0" w:header="0"/>
        </w:sectPr>
      </w:pPr>
    </w:p>
    <w:bookmarkStart w:id="49" w:name="page50"/>
    <w:bookmarkEnd w:id="49"/>
    <w:p>
      <w:pPr>
        <w:ind w:left="10500"/>
        <w:spacing w:after="0"/>
        <w:rPr>
          <w:sz w:val="20"/>
          <w:szCs w:val="20"/>
          <w:color w:val="auto"/>
        </w:rPr>
      </w:pPr>
      <w:r>
        <w:rPr>
          <w:rFonts w:ascii="Arial" w:cs="Arial" w:eastAsia="Arial" w:hAnsi="Arial"/>
          <w:sz w:val="19"/>
          <w:szCs w:val="19"/>
          <w:color w:val="auto"/>
        </w:rPr>
        <w:t>Exhibit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TABLE OF CONTENTS</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3"/>
          </w:tcPr>
          <w:p>
            <w:pPr>
              <w:ind w:left="660"/>
              <w:spacing w:after="0"/>
              <w:rPr>
                <w:sz w:val="20"/>
                <w:szCs w:val="20"/>
                <w:color w:val="auto"/>
              </w:rPr>
            </w:pPr>
            <w:r>
              <w:rPr>
                <w:rFonts w:ascii="Arial" w:cs="Arial" w:eastAsia="Arial" w:hAnsi="Arial"/>
                <w:sz w:val="20"/>
                <w:szCs w:val="20"/>
                <w:color w:val="auto"/>
                <w:w w:val="98"/>
              </w:rPr>
              <w:t>SECTION 4.10.  SUBSIDIARIES  42</w:t>
            </w: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7240" w:type="dxa"/>
            <w:vAlign w:val="bottom"/>
            <w:gridSpan w:val="6"/>
          </w:tcPr>
          <w:p>
            <w:pPr>
              <w:ind w:left="660"/>
              <w:spacing w:after="0"/>
              <w:rPr>
                <w:sz w:val="20"/>
                <w:szCs w:val="20"/>
                <w:color w:val="auto"/>
              </w:rPr>
            </w:pPr>
            <w:r>
              <w:rPr>
                <w:rFonts w:ascii="Arial" w:cs="Arial" w:eastAsia="Arial" w:hAnsi="Arial"/>
                <w:sz w:val="20"/>
                <w:szCs w:val="20"/>
                <w:color w:val="auto"/>
                <w:w w:val="94"/>
              </w:rPr>
              <w:t>SECTION 4.11.  USE OF PROCEEDS; FEDERAL RESERVE REGULATIONS</w:t>
            </w:r>
          </w:p>
        </w:tc>
        <w:tc>
          <w:tcPr>
            <w:tcW w:w="3060" w:type="dxa"/>
            <w:vAlign w:val="bottom"/>
          </w:tcPr>
          <w:p>
            <w:pPr>
              <w:jc w:val="right"/>
              <w:ind w:right="2681"/>
              <w:spacing w:after="0"/>
              <w:rPr>
                <w:sz w:val="20"/>
                <w:szCs w:val="20"/>
                <w:color w:val="auto"/>
              </w:rPr>
            </w:pPr>
            <w:r>
              <w:rPr>
                <w:rFonts w:ascii="Arial" w:cs="Arial" w:eastAsia="Arial" w:hAnsi="Arial"/>
                <w:sz w:val="20"/>
                <w:szCs w:val="20"/>
                <w:color w:val="auto"/>
              </w:rPr>
              <w:t>42</w:t>
            </w:r>
          </w:p>
        </w:tc>
      </w:tr>
      <w:tr>
        <w:trPr>
          <w:trHeight w:val="229"/>
        </w:trPr>
        <w:tc>
          <w:tcPr>
            <w:tcW w:w="10300" w:type="dxa"/>
            <w:vAlign w:val="bottom"/>
            <w:gridSpan w:val="7"/>
          </w:tcPr>
          <w:p>
            <w:pPr>
              <w:ind w:left="660"/>
              <w:spacing w:after="0"/>
              <w:rPr>
                <w:sz w:val="20"/>
                <w:szCs w:val="20"/>
                <w:color w:val="auto"/>
              </w:rPr>
            </w:pPr>
            <w:r>
              <w:rPr>
                <w:rFonts w:ascii="Arial" w:cs="Arial" w:eastAsia="Arial" w:hAnsi="Arial"/>
                <w:sz w:val="20"/>
                <w:szCs w:val="20"/>
                <w:color w:val="auto"/>
              </w:rPr>
              <w:t>SECTION 4.12.  ANTI-MONEY LAUNDERING AND ANTI-TERRORISM FINANCE LAWS  42</w:t>
            </w:r>
          </w:p>
        </w:tc>
      </w:tr>
      <w:tr>
        <w:trPr>
          <w:trHeight w:val="229"/>
        </w:trPr>
        <w:tc>
          <w:tcPr>
            <w:tcW w:w="5480" w:type="dxa"/>
            <w:vAlign w:val="bottom"/>
            <w:gridSpan w:val="5"/>
          </w:tcPr>
          <w:p>
            <w:pPr>
              <w:ind w:left="660"/>
              <w:spacing w:after="0"/>
              <w:rPr>
                <w:sz w:val="20"/>
                <w:szCs w:val="20"/>
                <w:color w:val="auto"/>
              </w:rPr>
            </w:pPr>
            <w:r>
              <w:rPr>
                <w:rFonts w:ascii="Arial" w:cs="Arial" w:eastAsia="Arial" w:hAnsi="Arial"/>
                <w:sz w:val="20"/>
                <w:szCs w:val="20"/>
                <w:color w:val="auto"/>
                <w:w w:val="93"/>
              </w:rPr>
              <w:t>SECTION 4.13.  FOREIGN CORRUPT PRACTICES ACT</w:t>
            </w:r>
          </w:p>
        </w:tc>
        <w:tc>
          <w:tcPr>
            <w:tcW w:w="1760" w:type="dxa"/>
            <w:vAlign w:val="bottom"/>
          </w:tcPr>
          <w:p>
            <w:pPr>
              <w:jc w:val="right"/>
              <w:ind w:right="1301"/>
              <w:spacing w:after="0"/>
              <w:rPr>
                <w:sz w:val="20"/>
                <w:szCs w:val="20"/>
                <w:color w:val="auto"/>
              </w:rPr>
            </w:pPr>
            <w:r>
              <w:rPr>
                <w:rFonts w:ascii="Arial" w:cs="Arial" w:eastAsia="Arial" w:hAnsi="Arial"/>
                <w:sz w:val="20"/>
                <w:szCs w:val="20"/>
                <w:color w:val="auto"/>
              </w:rPr>
              <w:t>42</w:t>
            </w:r>
          </w:p>
        </w:tc>
        <w:tc>
          <w:tcPr>
            <w:tcW w:w="3060" w:type="dxa"/>
            <w:vAlign w:val="bottom"/>
          </w:tcPr>
          <w:p>
            <w:pPr>
              <w:spacing w:after="0"/>
              <w:rPr>
                <w:sz w:val="19"/>
                <w:szCs w:val="19"/>
                <w:color w:val="auto"/>
              </w:rPr>
            </w:pPr>
          </w:p>
        </w:tc>
      </w:tr>
      <w:tr>
        <w:trPr>
          <w:trHeight w:val="250"/>
        </w:trPr>
        <w:tc>
          <w:tcPr>
            <w:tcW w:w="3880" w:type="dxa"/>
            <w:vAlign w:val="bottom"/>
            <w:gridSpan w:val="3"/>
          </w:tcPr>
          <w:p>
            <w:pPr>
              <w:ind w:left="660"/>
              <w:spacing w:after="0"/>
              <w:rPr>
                <w:sz w:val="20"/>
                <w:szCs w:val="20"/>
                <w:color w:val="auto"/>
              </w:rPr>
            </w:pPr>
            <w:r>
              <w:rPr>
                <w:rFonts w:ascii="Arial" w:cs="Arial" w:eastAsia="Arial" w:hAnsi="Arial"/>
                <w:sz w:val="20"/>
                <w:szCs w:val="20"/>
                <w:color w:val="auto"/>
                <w:w w:val="97"/>
              </w:rPr>
              <w:t>SECTION 4.14.  SANCTIONS LAWS</w:t>
            </w:r>
          </w:p>
        </w:tc>
        <w:tc>
          <w:tcPr>
            <w:tcW w:w="640" w:type="dxa"/>
            <w:vAlign w:val="bottom"/>
          </w:tcPr>
          <w:p>
            <w:pPr>
              <w:jc w:val="right"/>
              <w:ind w:right="241"/>
              <w:spacing w:after="0"/>
              <w:rPr>
                <w:sz w:val="20"/>
                <w:szCs w:val="20"/>
                <w:color w:val="auto"/>
              </w:rPr>
            </w:pPr>
            <w:r>
              <w:rPr>
                <w:rFonts w:ascii="Arial" w:cs="Arial" w:eastAsia="Arial" w:hAnsi="Arial"/>
                <w:sz w:val="20"/>
                <w:szCs w:val="20"/>
                <w:color w:val="auto"/>
              </w:rPr>
              <w:t>42</w:t>
            </w:r>
          </w:p>
        </w:tc>
        <w:tc>
          <w:tcPr>
            <w:tcW w:w="9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5.</w:t>
            </w:r>
          </w:p>
        </w:tc>
        <w:tc>
          <w:tcPr>
            <w:tcW w:w="2520" w:type="dxa"/>
            <w:vAlign w:val="bottom"/>
            <w:gridSpan w:val="2"/>
          </w:tcPr>
          <w:p>
            <w:pPr>
              <w:ind w:left="260"/>
              <w:spacing w:after="0"/>
              <w:rPr>
                <w:sz w:val="20"/>
                <w:szCs w:val="20"/>
                <w:color w:val="auto"/>
              </w:rPr>
            </w:pPr>
            <w:r>
              <w:rPr>
                <w:rFonts w:ascii="Arial" w:cs="Arial" w:eastAsia="Arial" w:hAnsi="Arial"/>
                <w:sz w:val="20"/>
                <w:szCs w:val="20"/>
                <w:b w:val="1"/>
                <w:bCs w:val="1"/>
                <w:color w:val="auto"/>
              </w:rPr>
              <w:t>CONDITIONS  43</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17"/>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5.1.</w:t>
            </w:r>
          </w:p>
        </w:tc>
        <w:tc>
          <w:tcPr>
            <w:tcW w:w="2520" w:type="dxa"/>
            <w:vAlign w:val="bottom"/>
            <w:gridSpan w:val="2"/>
          </w:tcPr>
          <w:p>
            <w:pPr>
              <w:ind w:left="80"/>
              <w:spacing w:after="0"/>
              <w:rPr>
                <w:sz w:val="20"/>
                <w:szCs w:val="20"/>
                <w:color w:val="auto"/>
              </w:rPr>
            </w:pPr>
            <w:r>
              <w:rPr>
                <w:rFonts w:ascii="Arial" w:cs="Arial" w:eastAsia="Arial" w:hAnsi="Arial"/>
                <w:sz w:val="20"/>
                <w:szCs w:val="20"/>
                <w:color w:val="auto"/>
              </w:rPr>
              <w:t>EFFECTIVENESS  43</w:t>
            </w: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50"/>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5.2.</w:t>
            </w:r>
          </w:p>
        </w:tc>
        <w:tc>
          <w:tcPr>
            <w:tcW w:w="2520" w:type="dxa"/>
            <w:vAlign w:val="bottom"/>
            <w:gridSpan w:val="2"/>
          </w:tcPr>
          <w:p>
            <w:pPr>
              <w:ind w:left="80"/>
              <w:spacing w:after="0"/>
              <w:rPr>
                <w:sz w:val="20"/>
                <w:szCs w:val="20"/>
                <w:color w:val="auto"/>
              </w:rPr>
            </w:pPr>
            <w:r>
              <w:rPr>
                <w:rFonts w:ascii="Arial" w:cs="Arial" w:eastAsia="Arial" w:hAnsi="Arial"/>
                <w:sz w:val="20"/>
                <w:szCs w:val="20"/>
                <w:color w:val="auto"/>
              </w:rPr>
              <w:t>EACH CREDIT EVENT  44</w:t>
            </w:r>
          </w:p>
        </w:tc>
        <w:tc>
          <w:tcPr>
            <w:tcW w:w="9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6.</w:t>
            </w:r>
          </w:p>
        </w:tc>
        <w:tc>
          <w:tcPr>
            <w:tcW w:w="3160" w:type="dxa"/>
            <w:vAlign w:val="bottom"/>
            <w:gridSpan w:val="3"/>
          </w:tcPr>
          <w:p>
            <w:pPr>
              <w:ind w:left="260"/>
              <w:spacing w:after="0"/>
              <w:rPr>
                <w:sz w:val="20"/>
                <w:szCs w:val="20"/>
                <w:color w:val="auto"/>
              </w:rPr>
            </w:pPr>
            <w:r>
              <w:rPr>
                <w:rFonts w:ascii="Arial" w:cs="Arial" w:eastAsia="Arial" w:hAnsi="Arial"/>
                <w:sz w:val="20"/>
                <w:szCs w:val="20"/>
                <w:b w:val="1"/>
                <w:bCs w:val="1"/>
                <w:color w:val="auto"/>
              </w:rPr>
              <w:t>AFFIRMATIVE COVENANTS</w:t>
            </w:r>
          </w:p>
        </w:tc>
        <w:tc>
          <w:tcPr>
            <w:tcW w:w="960" w:type="dxa"/>
            <w:vAlign w:val="bottom"/>
          </w:tcPr>
          <w:p>
            <w:pPr>
              <w:jc w:val="right"/>
              <w:ind w:right="661"/>
              <w:spacing w:after="0"/>
              <w:rPr>
                <w:sz w:val="20"/>
                <w:szCs w:val="20"/>
                <w:color w:val="auto"/>
              </w:rPr>
            </w:pPr>
            <w:r>
              <w:rPr>
                <w:rFonts w:ascii="Arial" w:cs="Arial" w:eastAsia="Arial" w:hAnsi="Arial"/>
                <w:sz w:val="20"/>
                <w:szCs w:val="20"/>
                <w:b w:val="1"/>
                <w:bCs w:val="1"/>
                <w:color w:val="auto"/>
                <w:w w:val="80"/>
              </w:rPr>
              <w:t>45</w:t>
            </w:r>
          </w:p>
        </w:tc>
        <w:tc>
          <w:tcPr>
            <w:tcW w:w="17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17"/>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6.1.</w:t>
            </w:r>
          </w:p>
        </w:tc>
        <w:tc>
          <w:tcPr>
            <w:tcW w:w="5240" w:type="dxa"/>
            <w:vAlign w:val="bottom"/>
            <w:gridSpan w:val="4"/>
          </w:tcPr>
          <w:p>
            <w:pPr>
              <w:ind w:left="80"/>
              <w:spacing w:after="0"/>
              <w:rPr>
                <w:sz w:val="20"/>
                <w:szCs w:val="20"/>
                <w:color w:val="auto"/>
              </w:rPr>
            </w:pPr>
            <w:r>
              <w:rPr>
                <w:rFonts w:ascii="Arial" w:cs="Arial" w:eastAsia="Arial" w:hAnsi="Arial"/>
                <w:sz w:val="20"/>
                <w:szCs w:val="20"/>
                <w:color w:val="auto"/>
              </w:rPr>
              <w:t>FINANCIAL STATEMENTS AND OTHER INFORMATION</w:t>
            </w:r>
          </w:p>
        </w:tc>
        <w:tc>
          <w:tcPr>
            <w:tcW w:w="3060" w:type="dxa"/>
            <w:vAlign w:val="bottom"/>
          </w:tcPr>
          <w:p>
            <w:pPr>
              <w:jc w:val="right"/>
              <w:ind w:right="2761"/>
              <w:spacing w:after="0"/>
              <w:rPr>
                <w:sz w:val="20"/>
                <w:szCs w:val="20"/>
                <w:color w:val="auto"/>
              </w:rPr>
            </w:pPr>
            <w:r>
              <w:rPr>
                <w:rFonts w:ascii="Arial" w:cs="Arial" w:eastAsia="Arial" w:hAnsi="Arial"/>
                <w:sz w:val="20"/>
                <w:szCs w:val="20"/>
                <w:color w:val="auto"/>
                <w:w w:val="80"/>
              </w:rPr>
              <w:t>45</w:t>
            </w:r>
          </w:p>
        </w:tc>
      </w:tr>
      <w:tr>
        <w:trPr>
          <w:trHeight w:val="229"/>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6.2.</w:t>
            </w:r>
          </w:p>
        </w:tc>
        <w:tc>
          <w:tcPr>
            <w:tcW w:w="3480" w:type="dxa"/>
            <w:vAlign w:val="bottom"/>
            <w:gridSpan w:val="3"/>
          </w:tcPr>
          <w:p>
            <w:pPr>
              <w:ind w:left="80"/>
              <w:spacing w:after="0"/>
              <w:rPr>
                <w:sz w:val="20"/>
                <w:szCs w:val="20"/>
                <w:color w:val="auto"/>
              </w:rPr>
            </w:pPr>
            <w:r>
              <w:rPr>
                <w:rFonts w:ascii="Arial" w:cs="Arial" w:eastAsia="Arial" w:hAnsi="Arial"/>
                <w:sz w:val="20"/>
                <w:szCs w:val="20"/>
                <w:color w:val="auto"/>
                <w:w w:val="97"/>
              </w:rPr>
              <w:t>NOTICES OF MATERIAL EVENTS  46</w:t>
            </w:r>
          </w:p>
        </w:tc>
        <w:tc>
          <w:tcPr>
            <w:tcW w:w="17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6.3.</w:t>
            </w:r>
          </w:p>
        </w:tc>
        <w:tc>
          <w:tcPr>
            <w:tcW w:w="1880" w:type="dxa"/>
            <w:vAlign w:val="bottom"/>
          </w:tcPr>
          <w:p>
            <w:pPr>
              <w:ind w:left="80"/>
              <w:spacing w:after="0"/>
              <w:rPr>
                <w:sz w:val="20"/>
                <w:szCs w:val="20"/>
                <w:color w:val="auto"/>
              </w:rPr>
            </w:pPr>
            <w:r>
              <w:rPr>
                <w:rFonts w:ascii="Arial" w:cs="Arial" w:eastAsia="Arial" w:hAnsi="Arial"/>
                <w:sz w:val="20"/>
                <w:szCs w:val="20"/>
                <w:color w:val="auto"/>
                <w:w w:val="97"/>
              </w:rPr>
              <w:t>LEGAL EXISTENCE</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47</w:t>
            </w:r>
          </w:p>
        </w:tc>
        <w:tc>
          <w:tcPr>
            <w:tcW w:w="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29"/>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6.4.</w:t>
            </w:r>
          </w:p>
        </w:tc>
        <w:tc>
          <w:tcPr>
            <w:tcW w:w="1880" w:type="dxa"/>
            <w:vAlign w:val="bottom"/>
          </w:tcPr>
          <w:p>
            <w:pPr>
              <w:ind w:left="80"/>
              <w:spacing w:after="0"/>
              <w:rPr>
                <w:sz w:val="20"/>
                <w:szCs w:val="20"/>
                <w:color w:val="auto"/>
              </w:rPr>
            </w:pPr>
            <w:r>
              <w:rPr>
                <w:rFonts w:ascii="Arial" w:cs="Arial" w:eastAsia="Arial" w:hAnsi="Arial"/>
                <w:sz w:val="20"/>
                <w:szCs w:val="20"/>
                <w:color w:val="auto"/>
              </w:rPr>
              <w:t>TAXES  47</w:t>
            </w: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29"/>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6.5.</w:t>
            </w:r>
          </w:p>
        </w:tc>
        <w:tc>
          <w:tcPr>
            <w:tcW w:w="1880" w:type="dxa"/>
            <w:vAlign w:val="bottom"/>
          </w:tcPr>
          <w:p>
            <w:pPr>
              <w:ind w:left="80"/>
              <w:spacing w:after="0"/>
              <w:rPr>
                <w:sz w:val="20"/>
                <w:szCs w:val="20"/>
                <w:color w:val="auto"/>
              </w:rPr>
            </w:pPr>
            <w:r>
              <w:rPr>
                <w:rFonts w:ascii="Arial" w:cs="Arial" w:eastAsia="Arial" w:hAnsi="Arial"/>
                <w:sz w:val="20"/>
                <w:szCs w:val="20"/>
                <w:color w:val="auto"/>
              </w:rPr>
              <w:t>INSURANCE  47</w:t>
            </w: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6.6.</w:t>
            </w:r>
          </w:p>
        </w:tc>
        <w:tc>
          <w:tcPr>
            <w:tcW w:w="3480" w:type="dxa"/>
            <w:vAlign w:val="bottom"/>
            <w:gridSpan w:val="3"/>
          </w:tcPr>
          <w:p>
            <w:pPr>
              <w:ind w:left="80"/>
              <w:spacing w:after="0"/>
              <w:rPr>
                <w:sz w:val="20"/>
                <w:szCs w:val="20"/>
                <w:color w:val="auto"/>
              </w:rPr>
            </w:pPr>
            <w:r>
              <w:rPr>
                <w:rFonts w:ascii="Arial" w:cs="Arial" w:eastAsia="Arial" w:hAnsi="Arial"/>
                <w:sz w:val="20"/>
                <w:szCs w:val="20"/>
                <w:color w:val="auto"/>
              </w:rPr>
              <w:t>CONDITION OF PROPERTY  47</w:t>
            </w:r>
          </w:p>
        </w:tc>
        <w:tc>
          <w:tcPr>
            <w:tcW w:w="17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29"/>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6.7.</w:t>
            </w:r>
          </w:p>
        </w:tc>
        <w:tc>
          <w:tcPr>
            <w:tcW w:w="5240" w:type="dxa"/>
            <w:vAlign w:val="bottom"/>
            <w:gridSpan w:val="4"/>
          </w:tcPr>
          <w:p>
            <w:pPr>
              <w:ind w:left="80"/>
              <w:spacing w:after="0"/>
              <w:rPr>
                <w:sz w:val="20"/>
                <w:szCs w:val="20"/>
                <w:color w:val="auto"/>
              </w:rPr>
            </w:pPr>
            <w:r>
              <w:rPr>
                <w:rFonts w:ascii="Arial" w:cs="Arial" w:eastAsia="Arial" w:hAnsi="Arial"/>
                <w:sz w:val="20"/>
                <w:szCs w:val="20"/>
                <w:color w:val="auto"/>
              </w:rPr>
              <w:t>OBSERVANCE OF LEGAL REQUIREMENTS  47</w:t>
            </w:r>
          </w:p>
        </w:tc>
        <w:tc>
          <w:tcPr>
            <w:tcW w:w="3060" w:type="dxa"/>
            <w:vAlign w:val="bottom"/>
          </w:tcPr>
          <w:p>
            <w:pPr>
              <w:spacing w:after="0"/>
              <w:rPr>
                <w:sz w:val="19"/>
                <w:szCs w:val="19"/>
                <w:color w:val="auto"/>
              </w:rPr>
            </w:pPr>
          </w:p>
        </w:tc>
      </w:tr>
      <w:tr>
        <w:trPr>
          <w:trHeight w:val="250"/>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6.8.</w:t>
            </w:r>
          </w:p>
        </w:tc>
        <w:tc>
          <w:tcPr>
            <w:tcW w:w="8300" w:type="dxa"/>
            <w:vAlign w:val="bottom"/>
            <w:gridSpan w:val="5"/>
          </w:tcPr>
          <w:p>
            <w:pPr>
              <w:ind w:left="80"/>
              <w:spacing w:after="0"/>
              <w:rPr>
                <w:sz w:val="20"/>
                <w:szCs w:val="20"/>
                <w:color w:val="auto"/>
              </w:rPr>
            </w:pPr>
            <w:r>
              <w:rPr>
                <w:rFonts w:ascii="Arial" w:cs="Arial" w:eastAsia="Arial" w:hAnsi="Arial"/>
                <w:sz w:val="20"/>
                <w:szCs w:val="20"/>
                <w:color w:val="auto"/>
              </w:rPr>
              <w:t>INSPECTION OF PROPERTY; BOOKS AND RECORDS; DISCUSSIONS  48</w:t>
            </w:r>
          </w:p>
        </w:tc>
      </w:tr>
      <w:tr>
        <w:trPr>
          <w:trHeight w:val="338"/>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7.</w:t>
            </w:r>
          </w:p>
        </w:tc>
        <w:tc>
          <w:tcPr>
            <w:tcW w:w="3160" w:type="dxa"/>
            <w:vAlign w:val="bottom"/>
            <w:gridSpan w:val="3"/>
          </w:tcPr>
          <w:p>
            <w:pPr>
              <w:ind w:left="260"/>
              <w:spacing w:after="0"/>
              <w:rPr>
                <w:sz w:val="20"/>
                <w:szCs w:val="20"/>
                <w:color w:val="auto"/>
              </w:rPr>
            </w:pPr>
            <w:r>
              <w:rPr>
                <w:rFonts w:ascii="Arial" w:cs="Arial" w:eastAsia="Arial" w:hAnsi="Arial"/>
                <w:sz w:val="20"/>
                <w:szCs w:val="20"/>
                <w:b w:val="1"/>
                <w:bCs w:val="1"/>
                <w:color w:val="auto"/>
              </w:rPr>
              <w:t>NEGATIVE COVENANTS  48</w:t>
            </w: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17"/>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7.1.</w:t>
            </w:r>
          </w:p>
        </w:tc>
        <w:tc>
          <w:tcPr>
            <w:tcW w:w="1880" w:type="dxa"/>
            <w:vAlign w:val="bottom"/>
          </w:tcPr>
          <w:p>
            <w:pPr>
              <w:ind w:left="80"/>
              <w:spacing w:after="0"/>
              <w:rPr>
                <w:sz w:val="20"/>
                <w:szCs w:val="20"/>
                <w:color w:val="auto"/>
              </w:rPr>
            </w:pPr>
            <w:r>
              <w:rPr>
                <w:rFonts w:ascii="Arial" w:cs="Arial" w:eastAsia="Arial" w:hAnsi="Arial"/>
                <w:sz w:val="20"/>
                <w:szCs w:val="20"/>
                <w:color w:val="auto"/>
              </w:rPr>
              <w:t>LIENS  48</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29"/>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7.2.</w:t>
            </w:r>
          </w:p>
        </w:tc>
        <w:tc>
          <w:tcPr>
            <w:tcW w:w="3480" w:type="dxa"/>
            <w:vAlign w:val="bottom"/>
            <w:gridSpan w:val="3"/>
          </w:tcPr>
          <w:p>
            <w:pPr>
              <w:ind w:left="80"/>
              <w:spacing w:after="0"/>
              <w:rPr>
                <w:sz w:val="20"/>
                <w:szCs w:val="20"/>
                <w:color w:val="auto"/>
              </w:rPr>
            </w:pPr>
            <w:r>
              <w:rPr>
                <w:rFonts w:ascii="Arial" w:cs="Arial" w:eastAsia="Arial" w:hAnsi="Arial"/>
                <w:sz w:val="20"/>
                <w:szCs w:val="20"/>
                <w:color w:val="auto"/>
              </w:rPr>
              <w:t>MERGER; CONSOLIDATION  50</w:t>
            </w:r>
          </w:p>
        </w:tc>
        <w:tc>
          <w:tcPr>
            <w:tcW w:w="17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7.3.</w:t>
            </w:r>
          </w:p>
        </w:tc>
        <w:tc>
          <w:tcPr>
            <w:tcW w:w="3480" w:type="dxa"/>
            <w:vAlign w:val="bottom"/>
            <w:gridSpan w:val="3"/>
          </w:tcPr>
          <w:p>
            <w:pPr>
              <w:ind w:left="80"/>
              <w:spacing w:after="0"/>
              <w:rPr>
                <w:sz w:val="20"/>
                <w:szCs w:val="20"/>
                <w:color w:val="auto"/>
              </w:rPr>
            </w:pPr>
            <w:r>
              <w:rPr>
                <w:rFonts w:ascii="Arial" w:cs="Arial" w:eastAsia="Arial" w:hAnsi="Arial"/>
                <w:sz w:val="20"/>
                <w:szCs w:val="20"/>
                <w:color w:val="auto"/>
              </w:rPr>
              <w:t>TRANSACTIONS WITH AFFILIATES</w:t>
            </w:r>
          </w:p>
        </w:tc>
        <w:tc>
          <w:tcPr>
            <w:tcW w:w="1760" w:type="dxa"/>
            <w:vAlign w:val="bottom"/>
          </w:tcPr>
          <w:p>
            <w:pPr>
              <w:jc w:val="right"/>
              <w:ind w:right="1461"/>
              <w:spacing w:after="0"/>
              <w:rPr>
                <w:sz w:val="20"/>
                <w:szCs w:val="20"/>
                <w:color w:val="auto"/>
              </w:rPr>
            </w:pPr>
            <w:r>
              <w:rPr>
                <w:rFonts w:ascii="Arial" w:cs="Arial" w:eastAsia="Arial" w:hAnsi="Arial"/>
                <w:sz w:val="20"/>
                <w:szCs w:val="20"/>
                <w:color w:val="auto"/>
                <w:w w:val="80"/>
              </w:rPr>
              <w:t>50</w:t>
            </w:r>
          </w:p>
        </w:tc>
        <w:tc>
          <w:tcPr>
            <w:tcW w:w="3060" w:type="dxa"/>
            <w:vAlign w:val="bottom"/>
          </w:tcPr>
          <w:p>
            <w:pPr>
              <w:spacing w:after="0"/>
              <w:rPr>
                <w:sz w:val="19"/>
                <w:szCs w:val="19"/>
                <w:color w:val="auto"/>
              </w:rPr>
            </w:pPr>
          </w:p>
        </w:tc>
      </w:tr>
      <w:tr>
        <w:trPr>
          <w:trHeight w:val="229"/>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7.4.</w:t>
            </w:r>
          </w:p>
        </w:tc>
        <w:tc>
          <w:tcPr>
            <w:tcW w:w="3480" w:type="dxa"/>
            <w:vAlign w:val="bottom"/>
            <w:gridSpan w:val="3"/>
          </w:tcPr>
          <w:p>
            <w:pPr>
              <w:ind w:left="80"/>
              <w:spacing w:after="0"/>
              <w:rPr>
                <w:sz w:val="20"/>
                <w:szCs w:val="20"/>
                <w:color w:val="auto"/>
              </w:rPr>
            </w:pPr>
            <w:r>
              <w:rPr>
                <w:rFonts w:ascii="Arial" w:cs="Arial" w:eastAsia="Arial" w:hAnsi="Arial"/>
                <w:sz w:val="20"/>
                <w:szCs w:val="20"/>
                <w:color w:val="auto"/>
              </w:rPr>
              <w:t>PERMITTED HEDGE AGREEMENTS</w:t>
            </w:r>
          </w:p>
        </w:tc>
        <w:tc>
          <w:tcPr>
            <w:tcW w:w="1760" w:type="dxa"/>
            <w:vAlign w:val="bottom"/>
          </w:tcPr>
          <w:p>
            <w:pPr>
              <w:jc w:val="right"/>
              <w:ind w:right="1461"/>
              <w:spacing w:after="0"/>
              <w:rPr>
                <w:sz w:val="20"/>
                <w:szCs w:val="20"/>
                <w:color w:val="auto"/>
              </w:rPr>
            </w:pPr>
            <w:r>
              <w:rPr>
                <w:rFonts w:ascii="Arial" w:cs="Arial" w:eastAsia="Arial" w:hAnsi="Arial"/>
                <w:sz w:val="20"/>
                <w:szCs w:val="20"/>
                <w:color w:val="auto"/>
                <w:w w:val="80"/>
              </w:rPr>
              <w:t>51</w:t>
            </w:r>
          </w:p>
        </w:tc>
        <w:tc>
          <w:tcPr>
            <w:tcW w:w="30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7.5.</w:t>
            </w:r>
          </w:p>
        </w:tc>
        <w:tc>
          <w:tcPr>
            <w:tcW w:w="3480" w:type="dxa"/>
            <w:vAlign w:val="bottom"/>
            <w:gridSpan w:val="3"/>
          </w:tcPr>
          <w:p>
            <w:pPr>
              <w:ind w:left="80"/>
              <w:spacing w:after="0"/>
              <w:rPr>
                <w:sz w:val="20"/>
                <w:szCs w:val="20"/>
                <w:color w:val="auto"/>
              </w:rPr>
            </w:pPr>
            <w:r>
              <w:rPr>
                <w:rFonts w:ascii="Arial" w:cs="Arial" w:eastAsia="Arial" w:hAnsi="Arial"/>
                <w:sz w:val="20"/>
                <w:szCs w:val="20"/>
                <w:color w:val="auto"/>
              </w:rPr>
              <w:t>FINANCIAL COVENANT  51</w:t>
            </w:r>
          </w:p>
        </w:tc>
        <w:tc>
          <w:tcPr>
            <w:tcW w:w="17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7.6.</w:t>
            </w:r>
          </w:p>
        </w:tc>
        <w:tc>
          <w:tcPr>
            <w:tcW w:w="8300" w:type="dxa"/>
            <w:vAlign w:val="bottom"/>
            <w:gridSpan w:val="5"/>
          </w:tcPr>
          <w:p>
            <w:pPr>
              <w:ind w:left="80"/>
              <w:spacing w:after="0"/>
              <w:rPr>
                <w:sz w:val="20"/>
                <w:szCs w:val="20"/>
                <w:color w:val="auto"/>
              </w:rPr>
            </w:pPr>
            <w:r>
              <w:rPr>
                <w:rFonts w:ascii="Arial" w:cs="Arial" w:eastAsia="Arial" w:hAnsi="Arial"/>
                <w:sz w:val="20"/>
                <w:szCs w:val="20"/>
                <w:color w:val="auto"/>
                <w:w w:val="96"/>
              </w:rPr>
              <w:t>ANTI-MONEY LAUNDERING AND ANTI-TERRORISM FINANCE LAWS; FOREIGN CORRUPT</w:t>
            </w:r>
          </w:p>
        </w:tc>
      </w:tr>
      <w:tr>
        <w:trPr>
          <w:trHeight w:val="250"/>
        </w:trPr>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300" w:type="dxa"/>
            <w:vAlign w:val="bottom"/>
            <w:gridSpan w:val="5"/>
          </w:tcPr>
          <w:p>
            <w:pPr>
              <w:ind w:left="80"/>
              <w:spacing w:after="0"/>
              <w:rPr>
                <w:sz w:val="20"/>
                <w:szCs w:val="20"/>
                <w:color w:val="auto"/>
              </w:rPr>
            </w:pPr>
            <w:r>
              <w:rPr>
                <w:rFonts w:ascii="Arial" w:cs="Arial" w:eastAsia="Arial" w:hAnsi="Arial"/>
                <w:sz w:val="20"/>
                <w:szCs w:val="20"/>
                <w:color w:val="auto"/>
              </w:rPr>
              <w:t>PRACTICES ACT; SANCTIONS LAWS; RESTRICTED PERSON  51</w:t>
            </w:r>
          </w:p>
        </w:tc>
      </w:tr>
      <w:tr>
        <w:trPr>
          <w:trHeight w:val="338"/>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8.</w:t>
            </w:r>
          </w:p>
        </w:tc>
        <w:tc>
          <w:tcPr>
            <w:tcW w:w="2520" w:type="dxa"/>
            <w:vAlign w:val="bottom"/>
            <w:gridSpan w:val="2"/>
          </w:tcPr>
          <w:p>
            <w:pPr>
              <w:ind w:left="260"/>
              <w:spacing w:after="0"/>
              <w:rPr>
                <w:sz w:val="20"/>
                <w:szCs w:val="20"/>
                <w:color w:val="auto"/>
              </w:rPr>
            </w:pPr>
            <w:r>
              <w:rPr>
                <w:rFonts w:ascii="Arial" w:cs="Arial" w:eastAsia="Arial" w:hAnsi="Arial"/>
                <w:sz w:val="20"/>
                <w:szCs w:val="20"/>
                <w:b w:val="1"/>
                <w:bCs w:val="1"/>
                <w:color w:val="auto"/>
              </w:rPr>
              <w:t>EVENTS OF DEFAULT</w:t>
            </w:r>
          </w:p>
        </w:tc>
        <w:tc>
          <w:tcPr>
            <w:tcW w:w="640" w:type="dxa"/>
            <w:vAlign w:val="bottom"/>
          </w:tcPr>
          <w:p>
            <w:pPr>
              <w:jc w:val="right"/>
              <w:ind w:right="321"/>
              <w:spacing w:after="0"/>
              <w:rPr>
                <w:sz w:val="20"/>
                <w:szCs w:val="20"/>
                <w:color w:val="auto"/>
              </w:rPr>
            </w:pPr>
            <w:r>
              <w:rPr>
                <w:rFonts w:ascii="Arial" w:cs="Arial" w:eastAsia="Arial" w:hAnsi="Arial"/>
                <w:sz w:val="20"/>
                <w:szCs w:val="20"/>
                <w:b w:val="1"/>
                <w:bCs w:val="1"/>
                <w:color w:val="auto"/>
                <w:w w:val="89"/>
              </w:rPr>
              <w:t>51</w:t>
            </w: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38"/>
        </w:trPr>
        <w:tc>
          <w:tcPr>
            <w:tcW w:w="1360" w:type="dxa"/>
            <w:vAlign w:val="bottom"/>
          </w:tcPr>
          <w:p>
            <w:pPr>
              <w:spacing w:after="0"/>
              <w:rPr>
                <w:sz w:val="20"/>
                <w:szCs w:val="20"/>
                <w:color w:val="auto"/>
              </w:rPr>
            </w:pPr>
            <w:r>
              <w:rPr>
                <w:rFonts w:ascii="Arial" w:cs="Arial" w:eastAsia="Arial" w:hAnsi="Arial"/>
                <w:sz w:val="20"/>
                <w:szCs w:val="20"/>
                <w:b w:val="1"/>
                <w:bCs w:val="1"/>
                <w:color w:val="auto"/>
              </w:rPr>
              <w:t>ARTICLE 9.</w:t>
            </w:r>
          </w:p>
        </w:tc>
        <w:tc>
          <w:tcPr>
            <w:tcW w:w="4120" w:type="dxa"/>
            <w:vAlign w:val="bottom"/>
            <w:gridSpan w:val="4"/>
          </w:tcPr>
          <w:p>
            <w:pPr>
              <w:ind w:left="260"/>
              <w:spacing w:after="0"/>
              <w:rPr>
                <w:sz w:val="20"/>
                <w:szCs w:val="20"/>
                <w:color w:val="auto"/>
              </w:rPr>
            </w:pPr>
            <w:r>
              <w:rPr>
                <w:rFonts w:ascii="Arial" w:cs="Arial" w:eastAsia="Arial" w:hAnsi="Arial"/>
                <w:sz w:val="20"/>
                <w:szCs w:val="20"/>
                <w:b w:val="1"/>
                <w:bCs w:val="1"/>
                <w:color w:val="auto"/>
              </w:rPr>
              <w:t>THE ADMINISTRATIVE AGENT  54</w:t>
            </w:r>
          </w:p>
        </w:tc>
        <w:tc>
          <w:tcPr>
            <w:tcW w:w="17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17"/>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9.1.</w:t>
            </w:r>
          </w:p>
        </w:tc>
        <w:tc>
          <w:tcPr>
            <w:tcW w:w="5240" w:type="dxa"/>
            <w:vAlign w:val="bottom"/>
            <w:gridSpan w:val="4"/>
          </w:tcPr>
          <w:p>
            <w:pPr>
              <w:ind w:left="80"/>
              <w:spacing w:after="0"/>
              <w:rPr>
                <w:sz w:val="20"/>
                <w:szCs w:val="20"/>
                <w:color w:val="auto"/>
              </w:rPr>
            </w:pPr>
            <w:r>
              <w:rPr>
                <w:rFonts w:ascii="Arial" w:cs="Arial" w:eastAsia="Arial" w:hAnsi="Arial"/>
                <w:sz w:val="20"/>
                <w:szCs w:val="20"/>
                <w:color w:val="auto"/>
              </w:rPr>
              <w:t>APPOINTMENT AND AUTHORITY  54</w:t>
            </w:r>
          </w:p>
        </w:tc>
        <w:tc>
          <w:tcPr>
            <w:tcW w:w="3060" w:type="dxa"/>
            <w:vAlign w:val="bottom"/>
          </w:tcPr>
          <w:p>
            <w:pPr>
              <w:spacing w:after="0"/>
              <w:rPr>
                <w:sz w:val="24"/>
                <w:szCs w:val="24"/>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9.2.</w:t>
            </w:r>
          </w:p>
        </w:tc>
        <w:tc>
          <w:tcPr>
            <w:tcW w:w="2520" w:type="dxa"/>
            <w:vAlign w:val="bottom"/>
            <w:gridSpan w:val="2"/>
          </w:tcPr>
          <w:p>
            <w:pPr>
              <w:ind w:left="80"/>
              <w:spacing w:after="0"/>
              <w:rPr>
                <w:sz w:val="20"/>
                <w:szCs w:val="20"/>
                <w:color w:val="auto"/>
              </w:rPr>
            </w:pPr>
            <w:r>
              <w:rPr>
                <w:rFonts w:ascii="Arial" w:cs="Arial" w:eastAsia="Arial" w:hAnsi="Arial"/>
                <w:sz w:val="20"/>
                <w:szCs w:val="20"/>
                <w:color w:val="auto"/>
                <w:w w:val="98"/>
              </w:rPr>
              <w:t>RIGHTS AS A LENDER  54</w:t>
            </w:r>
          </w:p>
        </w:tc>
        <w:tc>
          <w:tcPr>
            <w:tcW w:w="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9.3.</w:t>
            </w:r>
          </w:p>
        </w:tc>
        <w:tc>
          <w:tcPr>
            <w:tcW w:w="3480" w:type="dxa"/>
            <w:vAlign w:val="bottom"/>
            <w:gridSpan w:val="3"/>
          </w:tcPr>
          <w:p>
            <w:pPr>
              <w:ind w:left="80"/>
              <w:spacing w:after="0"/>
              <w:rPr>
                <w:sz w:val="20"/>
                <w:szCs w:val="20"/>
                <w:color w:val="auto"/>
              </w:rPr>
            </w:pPr>
            <w:r>
              <w:rPr>
                <w:rFonts w:ascii="Arial" w:cs="Arial" w:eastAsia="Arial" w:hAnsi="Arial"/>
                <w:sz w:val="20"/>
                <w:szCs w:val="20"/>
                <w:color w:val="auto"/>
              </w:rPr>
              <w:t>EXCULPATORY PROVISIONS  54</w:t>
            </w:r>
          </w:p>
        </w:tc>
        <w:tc>
          <w:tcPr>
            <w:tcW w:w="17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9.4.</w:t>
            </w:r>
          </w:p>
        </w:tc>
        <w:tc>
          <w:tcPr>
            <w:tcW w:w="5240" w:type="dxa"/>
            <w:vAlign w:val="bottom"/>
            <w:gridSpan w:val="4"/>
          </w:tcPr>
          <w:p>
            <w:pPr>
              <w:ind w:left="80"/>
              <w:spacing w:after="0"/>
              <w:rPr>
                <w:sz w:val="20"/>
                <w:szCs w:val="20"/>
                <w:color w:val="auto"/>
              </w:rPr>
            </w:pPr>
            <w:r>
              <w:rPr>
                <w:rFonts w:ascii="Arial" w:cs="Arial" w:eastAsia="Arial" w:hAnsi="Arial"/>
                <w:sz w:val="20"/>
                <w:szCs w:val="20"/>
                <w:color w:val="auto"/>
              </w:rPr>
              <w:t>RELIANCE BY ADMINISTRATIVE AGENT  55</w:t>
            </w:r>
          </w:p>
        </w:tc>
        <w:tc>
          <w:tcPr>
            <w:tcW w:w="3060" w:type="dxa"/>
            <w:vAlign w:val="bottom"/>
          </w:tcPr>
          <w:p>
            <w:pPr>
              <w:spacing w:after="0"/>
              <w:rPr>
                <w:sz w:val="19"/>
                <w:szCs w:val="19"/>
                <w:color w:val="auto"/>
              </w:rPr>
            </w:pPr>
          </w:p>
        </w:tc>
      </w:tr>
      <w:tr>
        <w:trPr>
          <w:trHeight w:val="229"/>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9.5.</w:t>
            </w:r>
          </w:p>
        </w:tc>
        <w:tc>
          <w:tcPr>
            <w:tcW w:w="2520" w:type="dxa"/>
            <w:vAlign w:val="bottom"/>
            <w:gridSpan w:val="2"/>
          </w:tcPr>
          <w:p>
            <w:pPr>
              <w:ind w:left="80"/>
              <w:spacing w:after="0"/>
              <w:rPr>
                <w:sz w:val="20"/>
                <w:szCs w:val="20"/>
                <w:color w:val="auto"/>
              </w:rPr>
            </w:pPr>
            <w:r>
              <w:rPr>
                <w:rFonts w:ascii="Arial" w:cs="Arial" w:eastAsia="Arial" w:hAnsi="Arial"/>
                <w:sz w:val="20"/>
                <w:szCs w:val="20"/>
                <w:color w:val="auto"/>
              </w:rPr>
              <w:t>DELEGATION OF DUTIES</w:t>
            </w:r>
          </w:p>
        </w:tc>
        <w:tc>
          <w:tcPr>
            <w:tcW w:w="960" w:type="dxa"/>
            <w:vAlign w:val="bottom"/>
          </w:tcPr>
          <w:p>
            <w:pPr>
              <w:jc w:val="right"/>
              <w:ind w:right="621"/>
              <w:spacing w:after="0"/>
              <w:rPr>
                <w:sz w:val="20"/>
                <w:szCs w:val="20"/>
                <w:color w:val="auto"/>
              </w:rPr>
            </w:pPr>
            <w:r>
              <w:rPr>
                <w:rFonts w:ascii="Arial" w:cs="Arial" w:eastAsia="Arial" w:hAnsi="Arial"/>
                <w:sz w:val="20"/>
                <w:szCs w:val="20"/>
                <w:color w:val="auto"/>
                <w:w w:val="98"/>
              </w:rPr>
              <w:t>55</w:t>
            </w:r>
          </w:p>
        </w:tc>
        <w:tc>
          <w:tcPr>
            <w:tcW w:w="17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9.6.</w:t>
            </w:r>
          </w:p>
        </w:tc>
        <w:tc>
          <w:tcPr>
            <w:tcW w:w="5240" w:type="dxa"/>
            <w:vAlign w:val="bottom"/>
            <w:gridSpan w:val="4"/>
          </w:tcPr>
          <w:p>
            <w:pPr>
              <w:ind w:left="80"/>
              <w:spacing w:after="0"/>
              <w:rPr>
                <w:sz w:val="20"/>
                <w:szCs w:val="20"/>
                <w:color w:val="auto"/>
              </w:rPr>
            </w:pPr>
            <w:r>
              <w:rPr>
                <w:rFonts w:ascii="Arial" w:cs="Arial" w:eastAsia="Arial" w:hAnsi="Arial"/>
                <w:sz w:val="20"/>
                <w:szCs w:val="20"/>
                <w:color w:val="auto"/>
              </w:rPr>
              <w:t>RESIGNATION OF ADMINISTRATIVE AGENT  56</w:t>
            </w:r>
          </w:p>
        </w:tc>
        <w:tc>
          <w:tcPr>
            <w:tcW w:w="30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9.7.</w:t>
            </w:r>
          </w:p>
        </w:tc>
        <w:tc>
          <w:tcPr>
            <w:tcW w:w="5240" w:type="dxa"/>
            <w:vAlign w:val="bottom"/>
            <w:gridSpan w:val="4"/>
          </w:tcPr>
          <w:p>
            <w:pPr>
              <w:ind w:left="80"/>
              <w:spacing w:after="0"/>
              <w:rPr>
                <w:sz w:val="20"/>
                <w:szCs w:val="20"/>
                <w:color w:val="auto"/>
              </w:rPr>
            </w:pPr>
            <w:r>
              <w:rPr>
                <w:rFonts w:ascii="Arial" w:cs="Arial" w:eastAsia="Arial" w:hAnsi="Arial"/>
                <w:sz w:val="20"/>
                <w:szCs w:val="20"/>
                <w:color w:val="auto"/>
                <w:w w:val="96"/>
              </w:rPr>
              <w:t>NON-RELIANCE ON AGENTS AND OTHER LENDERS  56</w:t>
            </w:r>
          </w:p>
        </w:tc>
        <w:tc>
          <w:tcPr>
            <w:tcW w:w="30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9.8.</w:t>
            </w:r>
          </w:p>
        </w:tc>
        <w:tc>
          <w:tcPr>
            <w:tcW w:w="1880" w:type="dxa"/>
            <w:vAlign w:val="bottom"/>
          </w:tcPr>
          <w:p>
            <w:pPr>
              <w:ind w:left="80"/>
              <w:spacing w:after="0"/>
              <w:rPr>
                <w:sz w:val="20"/>
                <w:szCs w:val="20"/>
                <w:color w:val="auto"/>
              </w:rPr>
            </w:pPr>
            <w:r>
              <w:rPr>
                <w:rFonts w:ascii="Arial" w:cs="Arial" w:eastAsia="Arial" w:hAnsi="Arial"/>
                <w:sz w:val="20"/>
                <w:szCs w:val="20"/>
                <w:color w:val="auto"/>
                <w:w w:val="96"/>
              </w:rPr>
              <w:t>NO OTHER DUTIES</w:t>
            </w:r>
          </w:p>
        </w:tc>
        <w:tc>
          <w:tcPr>
            <w:tcW w:w="640" w:type="dxa"/>
            <w:vAlign w:val="bottom"/>
          </w:tcPr>
          <w:p>
            <w:pPr>
              <w:jc w:val="right"/>
              <w:ind w:right="201"/>
              <w:spacing w:after="0"/>
              <w:rPr>
                <w:sz w:val="20"/>
                <w:szCs w:val="20"/>
                <w:color w:val="auto"/>
              </w:rPr>
            </w:pPr>
            <w:r>
              <w:rPr>
                <w:rFonts w:ascii="Arial" w:cs="Arial" w:eastAsia="Arial" w:hAnsi="Arial"/>
                <w:sz w:val="20"/>
                <w:szCs w:val="20"/>
                <w:color w:val="auto"/>
              </w:rPr>
              <w:t>57</w:t>
            </w:r>
          </w:p>
        </w:tc>
        <w:tc>
          <w:tcPr>
            <w:tcW w:w="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0"/>
        </w:trPr>
        <w:tc>
          <w:tcPr>
            <w:tcW w:w="2000" w:type="dxa"/>
            <w:vAlign w:val="bottom"/>
            <w:gridSpan w:val="2"/>
          </w:tcPr>
          <w:p>
            <w:pPr>
              <w:ind w:left="660"/>
              <w:spacing w:after="0"/>
              <w:rPr>
                <w:sz w:val="20"/>
                <w:szCs w:val="20"/>
                <w:color w:val="auto"/>
              </w:rPr>
            </w:pPr>
            <w:r>
              <w:rPr>
                <w:rFonts w:ascii="Arial" w:cs="Arial" w:eastAsia="Arial" w:hAnsi="Arial"/>
                <w:sz w:val="20"/>
                <w:szCs w:val="20"/>
                <w:color w:val="auto"/>
              </w:rPr>
              <w:t>SECTION 9.9.</w:t>
            </w:r>
          </w:p>
        </w:tc>
        <w:tc>
          <w:tcPr>
            <w:tcW w:w="5240" w:type="dxa"/>
            <w:vAlign w:val="bottom"/>
            <w:gridSpan w:val="4"/>
          </w:tcPr>
          <w:p>
            <w:pPr>
              <w:ind w:left="80"/>
              <w:spacing w:after="0"/>
              <w:rPr>
                <w:sz w:val="20"/>
                <w:szCs w:val="20"/>
                <w:color w:val="auto"/>
              </w:rPr>
            </w:pPr>
            <w:r>
              <w:rPr>
                <w:rFonts w:ascii="Arial" w:cs="Arial" w:eastAsia="Arial" w:hAnsi="Arial"/>
                <w:sz w:val="20"/>
                <w:szCs w:val="20"/>
                <w:color w:val="auto"/>
                <w:w w:val="97"/>
              </w:rPr>
              <w:t>ADMINISTRATIVE AGENT MAY FILE PROOFS OF CLAIM</w:t>
            </w:r>
          </w:p>
        </w:tc>
        <w:tc>
          <w:tcPr>
            <w:tcW w:w="3060" w:type="dxa"/>
            <w:vAlign w:val="bottom"/>
          </w:tcPr>
          <w:p>
            <w:pPr>
              <w:jc w:val="right"/>
              <w:ind w:right="2601"/>
              <w:spacing w:after="0"/>
              <w:rPr>
                <w:sz w:val="20"/>
                <w:szCs w:val="20"/>
                <w:color w:val="auto"/>
              </w:rPr>
            </w:pPr>
            <w:r>
              <w:rPr>
                <w:rFonts w:ascii="Arial" w:cs="Arial" w:eastAsia="Arial" w:hAnsi="Arial"/>
                <w:sz w:val="20"/>
                <w:szCs w:val="20"/>
                <w:color w:val="auto"/>
              </w:rPr>
              <w:t>57</w:t>
            </w:r>
          </w:p>
        </w:tc>
      </w:tr>
      <w:tr>
        <w:trPr>
          <w:trHeight w:val="250"/>
        </w:trPr>
        <w:tc>
          <w:tcPr>
            <w:tcW w:w="2000" w:type="dxa"/>
            <w:vAlign w:val="bottom"/>
            <w:gridSpan w:val="2"/>
          </w:tcPr>
          <w:p>
            <w:pPr>
              <w:ind w:left="660"/>
              <w:spacing w:after="0"/>
              <w:rPr>
                <w:sz w:val="20"/>
                <w:szCs w:val="20"/>
                <w:color w:val="auto"/>
              </w:rPr>
            </w:pPr>
            <w:r>
              <w:rPr>
                <w:rFonts w:ascii="Arial" w:cs="Arial" w:eastAsia="Arial" w:hAnsi="Arial"/>
                <w:sz w:val="20"/>
                <w:szCs w:val="20"/>
                <w:color w:val="auto"/>
                <w:w w:val="94"/>
              </w:rPr>
              <w:t>SECTION 9.10.</w:t>
            </w:r>
          </w:p>
        </w:tc>
        <w:tc>
          <w:tcPr>
            <w:tcW w:w="2520" w:type="dxa"/>
            <w:vAlign w:val="bottom"/>
            <w:gridSpan w:val="2"/>
          </w:tcPr>
          <w:p>
            <w:pPr>
              <w:ind w:left="80"/>
              <w:spacing w:after="0"/>
              <w:rPr>
                <w:sz w:val="20"/>
                <w:szCs w:val="20"/>
                <w:color w:val="auto"/>
              </w:rPr>
            </w:pPr>
            <w:r>
              <w:rPr>
                <w:rFonts w:ascii="Arial" w:cs="Arial" w:eastAsia="Arial" w:hAnsi="Arial"/>
                <w:sz w:val="20"/>
                <w:szCs w:val="20"/>
                <w:color w:val="auto"/>
                <w:w w:val="95"/>
              </w:rPr>
              <w:t>CERTAIN ERISA MATTERS</w:t>
            </w:r>
          </w:p>
        </w:tc>
        <w:tc>
          <w:tcPr>
            <w:tcW w:w="960" w:type="dxa"/>
            <w:vAlign w:val="bottom"/>
          </w:tcPr>
          <w:p>
            <w:pPr>
              <w:jc w:val="right"/>
              <w:ind w:right="501"/>
              <w:spacing w:after="0"/>
              <w:rPr>
                <w:sz w:val="20"/>
                <w:szCs w:val="20"/>
                <w:color w:val="auto"/>
              </w:rPr>
            </w:pPr>
            <w:r>
              <w:rPr>
                <w:rFonts w:ascii="Arial" w:cs="Arial" w:eastAsia="Arial" w:hAnsi="Arial"/>
                <w:sz w:val="20"/>
                <w:szCs w:val="20"/>
                <w:color w:val="auto"/>
              </w:rPr>
              <w:t>57</w:t>
            </w:r>
          </w:p>
        </w:tc>
        <w:tc>
          <w:tcPr>
            <w:tcW w:w="1760" w:type="dxa"/>
            <w:vAlign w:val="bottom"/>
          </w:tcPr>
          <w:p>
            <w:pPr>
              <w:spacing w:after="0"/>
              <w:rPr>
                <w:sz w:val="21"/>
                <w:szCs w:val="21"/>
                <w:color w:val="auto"/>
              </w:rPr>
            </w:pPr>
          </w:p>
        </w:tc>
        <w:tc>
          <w:tcPr>
            <w:tcW w:w="3060" w:type="dxa"/>
            <w:vAlign w:val="bottom"/>
          </w:tcPr>
          <w:p>
            <w:pPr>
              <w:spacing w:after="0"/>
              <w:rPr>
                <w:sz w:val="21"/>
                <w:szCs w:val="21"/>
                <w:color w:val="auto"/>
              </w:rPr>
            </w:pPr>
          </w:p>
        </w:tc>
      </w:tr>
    </w:tbl>
    <w:p>
      <w:pPr>
        <w:spacing w:after="0" w:line="30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40"/>
          </w:cols>
          <w:pgMar w:left="320" w:top="122" w:right="339" w:bottom="1440" w:gutter="0" w:footer="0" w:header="0"/>
        </w:sectPr>
      </w:pPr>
    </w:p>
    <w:bookmarkStart w:id="50" w:name="page51"/>
    <w:bookmarkEnd w:id="50"/>
    <w:p>
      <w:pPr>
        <w:ind w:left="10500"/>
        <w:spacing w:after="0"/>
        <w:rPr>
          <w:sz w:val="20"/>
          <w:szCs w:val="20"/>
          <w:color w:val="auto"/>
        </w:rPr>
      </w:pPr>
      <w:r>
        <w:rPr>
          <w:rFonts w:ascii="Arial" w:cs="Arial" w:eastAsia="Arial" w:hAnsi="Arial"/>
          <w:sz w:val="19"/>
          <w:szCs w:val="19"/>
          <w:color w:val="auto"/>
        </w:rPr>
        <w:t>Exhibit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TABLE OF CONTENTS</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26" w:lineRule="exact"/>
        <w:rPr>
          <w:sz w:val="20"/>
          <w:szCs w:val="20"/>
          <w:color w:val="auto"/>
        </w:rPr>
      </w:pPr>
    </w:p>
    <w:p>
      <w:pPr>
        <w:spacing w:after="0"/>
        <w:tabs>
          <w:tab w:leader="none" w:pos="1600" w:val="left"/>
          <w:tab w:leader="none" w:pos="3540" w:val="left"/>
        </w:tabs>
        <w:rPr>
          <w:sz w:val="20"/>
          <w:szCs w:val="20"/>
          <w:color w:val="auto"/>
        </w:rPr>
      </w:pPr>
      <w:r>
        <w:rPr>
          <w:rFonts w:ascii="Arial" w:cs="Arial" w:eastAsia="Arial" w:hAnsi="Arial"/>
          <w:sz w:val="20"/>
          <w:szCs w:val="20"/>
          <w:b w:val="1"/>
          <w:bCs w:val="1"/>
          <w:color w:val="auto"/>
        </w:rPr>
        <w:t>ARTICLE 10.</w:t>
      </w:r>
      <w:r>
        <w:rPr>
          <w:sz w:val="20"/>
          <w:szCs w:val="20"/>
          <w:color w:val="auto"/>
        </w:rPr>
        <w:tab/>
      </w:r>
      <w:r>
        <w:rPr>
          <w:rFonts w:ascii="Arial" w:cs="Arial" w:eastAsia="Arial" w:hAnsi="Arial"/>
          <w:sz w:val="20"/>
          <w:szCs w:val="20"/>
          <w:b w:val="1"/>
          <w:bCs w:val="1"/>
          <w:color w:val="auto"/>
        </w:rPr>
        <w:t>MISCELLANEOUS</w:t>
      </w:r>
      <w:r>
        <w:rPr>
          <w:sz w:val="20"/>
          <w:szCs w:val="20"/>
          <w:color w:val="auto"/>
        </w:rPr>
        <w:tab/>
      </w:r>
      <w:r>
        <w:rPr>
          <w:rFonts w:ascii="Arial" w:cs="Arial" w:eastAsia="Arial" w:hAnsi="Arial"/>
          <w:sz w:val="16"/>
          <w:szCs w:val="16"/>
          <w:b w:val="1"/>
          <w:bCs w:val="1"/>
          <w:color w:val="auto"/>
        </w:rPr>
        <w:t>58</w:t>
      </w:r>
    </w:p>
    <w:p>
      <w:pPr>
        <w:spacing w:after="0" w:line="11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20"/>
                <w:szCs w:val="20"/>
                <w:color w:val="auto"/>
              </w:rPr>
              <w:t>SECTION 10.1.  NOTICES</w:t>
            </w:r>
          </w:p>
        </w:tc>
        <w:tc>
          <w:tcPr>
            <w:tcW w:w="800" w:type="dxa"/>
            <w:vAlign w:val="bottom"/>
          </w:tcPr>
          <w:p>
            <w:pPr>
              <w:jc w:val="right"/>
              <w:ind w:right="501"/>
              <w:spacing w:after="0"/>
              <w:rPr>
                <w:sz w:val="20"/>
                <w:szCs w:val="20"/>
                <w:color w:val="auto"/>
              </w:rPr>
            </w:pPr>
            <w:r>
              <w:rPr>
                <w:rFonts w:ascii="Arial" w:cs="Arial" w:eastAsia="Arial" w:hAnsi="Arial"/>
                <w:sz w:val="20"/>
                <w:szCs w:val="20"/>
                <w:color w:val="auto"/>
                <w:w w:val="80"/>
              </w:rPr>
              <w:t>58</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230"/>
        </w:trPr>
        <w:tc>
          <w:tcPr>
            <w:tcW w:w="3820" w:type="dxa"/>
            <w:vAlign w:val="bottom"/>
            <w:gridSpan w:val="3"/>
          </w:tcPr>
          <w:p>
            <w:pPr>
              <w:spacing w:after="0"/>
              <w:rPr>
                <w:sz w:val="20"/>
                <w:szCs w:val="20"/>
                <w:color w:val="auto"/>
              </w:rPr>
            </w:pPr>
            <w:r>
              <w:rPr>
                <w:rFonts w:ascii="Arial" w:cs="Arial" w:eastAsia="Arial" w:hAnsi="Arial"/>
                <w:sz w:val="20"/>
                <w:szCs w:val="20"/>
                <w:color w:val="auto"/>
                <w:w w:val="96"/>
              </w:rPr>
              <w:t>SECTION 10.2.  WAIVERS; AMENDMENTS</w:t>
            </w:r>
          </w:p>
        </w:tc>
        <w:tc>
          <w:tcPr>
            <w:tcW w:w="380" w:type="dxa"/>
            <w:vAlign w:val="bottom"/>
          </w:tcPr>
          <w:p>
            <w:pPr>
              <w:jc w:val="right"/>
              <w:spacing w:after="0"/>
              <w:rPr>
                <w:sz w:val="20"/>
                <w:szCs w:val="20"/>
                <w:color w:val="auto"/>
              </w:rPr>
            </w:pPr>
            <w:r>
              <w:rPr>
                <w:rFonts w:ascii="Arial" w:cs="Arial" w:eastAsia="Arial" w:hAnsi="Arial"/>
                <w:sz w:val="20"/>
                <w:szCs w:val="20"/>
                <w:color w:val="auto"/>
              </w:rPr>
              <w:t>59</w:t>
            </w:r>
          </w:p>
        </w:tc>
        <w:tc>
          <w:tcPr>
            <w:tcW w:w="4100" w:type="dxa"/>
            <w:vAlign w:val="bottom"/>
          </w:tcPr>
          <w:p>
            <w:pPr>
              <w:spacing w:after="0"/>
              <w:rPr>
                <w:sz w:val="19"/>
                <w:szCs w:val="19"/>
                <w:color w:val="auto"/>
              </w:rPr>
            </w:pPr>
          </w:p>
        </w:tc>
      </w:tr>
      <w:tr>
        <w:trPr>
          <w:trHeight w:val="229"/>
        </w:trPr>
        <w:tc>
          <w:tcPr>
            <w:tcW w:w="8300" w:type="dxa"/>
            <w:vAlign w:val="bottom"/>
            <w:gridSpan w:val="5"/>
          </w:tcPr>
          <w:p>
            <w:pPr>
              <w:spacing w:after="0"/>
              <w:rPr>
                <w:sz w:val="20"/>
                <w:szCs w:val="20"/>
                <w:color w:val="auto"/>
              </w:rPr>
            </w:pPr>
            <w:r>
              <w:rPr>
                <w:rFonts w:ascii="Arial" w:cs="Arial" w:eastAsia="Arial" w:hAnsi="Arial"/>
                <w:sz w:val="20"/>
                <w:szCs w:val="20"/>
                <w:color w:val="auto"/>
              </w:rPr>
              <w:t>SECTION 10.3.  EXPENSES; INDEMNITY; DAMAGE WAIVER  60</w:t>
            </w:r>
          </w:p>
        </w:tc>
      </w:tr>
      <w:tr>
        <w:trPr>
          <w:trHeight w:val="229"/>
        </w:trPr>
        <w:tc>
          <w:tcPr>
            <w:tcW w:w="4200" w:type="dxa"/>
            <w:vAlign w:val="bottom"/>
            <w:gridSpan w:val="4"/>
          </w:tcPr>
          <w:p>
            <w:pPr>
              <w:spacing w:after="0"/>
              <w:rPr>
                <w:sz w:val="20"/>
                <w:szCs w:val="20"/>
                <w:color w:val="auto"/>
              </w:rPr>
            </w:pPr>
            <w:r>
              <w:rPr>
                <w:rFonts w:ascii="Arial" w:cs="Arial" w:eastAsia="Arial" w:hAnsi="Arial"/>
                <w:sz w:val="20"/>
                <w:szCs w:val="20"/>
                <w:color w:val="auto"/>
                <w:w w:val="96"/>
              </w:rPr>
              <w:t>SECTION 10.4.  SUCCESSORS AND ASSIGNS</w:t>
            </w:r>
          </w:p>
        </w:tc>
        <w:tc>
          <w:tcPr>
            <w:tcW w:w="4100" w:type="dxa"/>
            <w:vAlign w:val="bottom"/>
          </w:tcPr>
          <w:p>
            <w:pPr>
              <w:jc w:val="right"/>
              <w:ind w:right="3801"/>
              <w:spacing w:after="0"/>
              <w:rPr>
                <w:sz w:val="20"/>
                <w:szCs w:val="20"/>
                <w:color w:val="auto"/>
              </w:rPr>
            </w:pPr>
            <w:r>
              <w:rPr>
                <w:rFonts w:ascii="Arial" w:cs="Arial" w:eastAsia="Arial" w:hAnsi="Arial"/>
                <w:sz w:val="20"/>
                <w:szCs w:val="20"/>
                <w:color w:val="auto"/>
                <w:w w:val="80"/>
              </w:rPr>
              <w:t>62</w:t>
            </w:r>
          </w:p>
        </w:tc>
      </w:tr>
      <w:tr>
        <w:trPr>
          <w:trHeight w:val="230"/>
        </w:trPr>
        <w:tc>
          <w:tcPr>
            <w:tcW w:w="2440" w:type="dxa"/>
            <w:vAlign w:val="bottom"/>
          </w:tcPr>
          <w:p>
            <w:pPr>
              <w:spacing w:after="0"/>
              <w:rPr>
                <w:sz w:val="20"/>
                <w:szCs w:val="20"/>
                <w:color w:val="auto"/>
              </w:rPr>
            </w:pPr>
            <w:r>
              <w:rPr>
                <w:rFonts w:ascii="Arial" w:cs="Arial" w:eastAsia="Arial" w:hAnsi="Arial"/>
                <w:sz w:val="20"/>
                <w:szCs w:val="20"/>
                <w:color w:val="auto"/>
                <w:w w:val="97"/>
              </w:rPr>
              <w:t>SECTION 10.5.  SURVIVAL</w:t>
            </w:r>
          </w:p>
        </w:tc>
        <w:tc>
          <w:tcPr>
            <w:tcW w:w="800" w:type="dxa"/>
            <w:vAlign w:val="bottom"/>
          </w:tcPr>
          <w:p>
            <w:pPr>
              <w:jc w:val="right"/>
              <w:ind w:right="381"/>
              <w:spacing w:after="0"/>
              <w:rPr>
                <w:sz w:val="20"/>
                <w:szCs w:val="20"/>
                <w:color w:val="auto"/>
              </w:rPr>
            </w:pPr>
            <w:r>
              <w:rPr>
                <w:rFonts w:ascii="Arial" w:cs="Arial" w:eastAsia="Arial" w:hAnsi="Arial"/>
                <w:sz w:val="20"/>
                <w:szCs w:val="20"/>
                <w:color w:val="auto"/>
              </w:rPr>
              <w:t>65</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229"/>
        </w:trPr>
        <w:tc>
          <w:tcPr>
            <w:tcW w:w="8300" w:type="dxa"/>
            <w:vAlign w:val="bottom"/>
            <w:gridSpan w:val="5"/>
          </w:tcPr>
          <w:p>
            <w:pPr>
              <w:spacing w:after="0"/>
              <w:rPr>
                <w:sz w:val="20"/>
                <w:szCs w:val="20"/>
                <w:color w:val="auto"/>
              </w:rPr>
            </w:pPr>
            <w:r>
              <w:rPr>
                <w:rFonts w:ascii="Arial" w:cs="Arial" w:eastAsia="Arial" w:hAnsi="Arial"/>
                <w:sz w:val="20"/>
                <w:szCs w:val="20"/>
                <w:color w:val="auto"/>
              </w:rPr>
              <w:t>SECTION 10.6.  COUNTERPARTS; INTEGRATION; EFFECTIVENESS  66</w:t>
            </w:r>
          </w:p>
        </w:tc>
      </w:tr>
      <w:tr>
        <w:trPr>
          <w:trHeight w:val="229"/>
        </w:trPr>
        <w:tc>
          <w:tcPr>
            <w:tcW w:w="3240" w:type="dxa"/>
            <w:vAlign w:val="bottom"/>
            <w:gridSpan w:val="2"/>
          </w:tcPr>
          <w:p>
            <w:pPr>
              <w:spacing w:after="0"/>
              <w:rPr>
                <w:sz w:val="20"/>
                <w:szCs w:val="20"/>
                <w:color w:val="auto"/>
              </w:rPr>
            </w:pPr>
            <w:r>
              <w:rPr>
                <w:rFonts w:ascii="Arial" w:cs="Arial" w:eastAsia="Arial" w:hAnsi="Arial"/>
                <w:sz w:val="20"/>
                <w:szCs w:val="20"/>
                <w:color w:val="auto"/>
                <w:w w:val="98"/>
              </w:rPr>
              <w:t>SECTION 10.7.  SEVERABILITY  66</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230"/>
        </w:trPr>
        <w:tc>
          <w:tcPr>
            <w:tcW w:w="3240" w:type="dxa"/>
            <w:vAlign w:val="bottom"/>
            <w:gridSpan w:val="2"/>
          </w:tcPr>
          <w:p>
            <w:pPr>
              <w:spacing w:after="0" w:line="230" w:lineRule="exact"/>
              <w:rPr>
                <w:sz w:val="20"/>
                <w:szCs w:val="20"/>
                <w:color w:val="auto"/>
              </w:rPr>
            </w:pPr>
            <w:r>
              <w:rPr>
                <w:rFonts w:ascii="Arial" w:cs="Arial" w:eastAsia="Arial" w:hAnsi="Arial"/>
                <w:sz w:val="20"/>
                <w:szCs w:val="20"/>
                <w:color w:val="auto"/>
                <w:w w:val="95"/>
              </w:rPr>
              <w:t>SECTION 10.8.  RIGHT OF SET</w:t>
            </w:r>
            <w:r>
              <w:rPr>
                <w:rFonts w:ascii="MS PGothic" w:cs="MS PGothic" w:eastAsia="MS PGothic" w:hAnsi="MS PGothic"/>
                <w:sz w:val="20"/>
                <w:szCs w:val="20"/>
                <w:color w:val="auto"/>
                <w:w w:val="95"/>
              </w:rPr>
              <w:t>‑</w:t>
            </w:r>
            <w:r>
              <w:rPr>
                <w:rFonts w:ascii="Arial" w:cs="Arial" w:eastAsia="Arial" w:hAnsi="Arial"/>
                <w:sz w:val="20"/>
                <w:szCs w:val="20"/>
                <w:color w:val="auto"/>
                <w:w w:val="95"/>
              </w:rPr>
              <w:t>OFF</w:t>
            </w:r>
          </w:p>
        </w:tc>
        <w:tc>
          <w:tcPr>
            <w:tcW w:w="580" w:type="dxa"/>
            <w:vAlign w:val="bottom"/>
          </w:tcPr>
          <w:p>
            <w:pPr>
              <w:jc w:val="right"/>
              <w:ind w:right="181"/>
              <w:spacing w:after="0"/>
              <w:rPr>
                <w:sz w:val="20"/>
                <w:szCs w:val="20"/>
                <w:color w:val="auto"/>
              </w:rPr>
            </w:pPr>
            <w:r>
              <w:rPr>
                <w:rFonts w:ascii="Arial" w:cs="Arial" w:eastAsia="Arial" w:hAnsi="Arial"/>
                <w:sz w:val="20"/>
                <w:szCs w:val="20"/>
                <w:color w:val="auto"/>
              </w:rPr>
              <w:t>66</w:t>
            </w:r>
          </w:p>
        </w:tc>
        <w:tc>
          <w:tcPr>
            <w:tcW w:w="38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229"/>
        </w:trPr>
        <w:tc>
          <w:tcPr>
            <w:tcW w:w="8300" w:type="dxa"/>
            <w:vAlign w:val="bottom"/>
            <w:gridSpan w:val="5"/>
          </w:tcPr>
          <w:p>
            <w:pPr>
              <w:spacing w:after="0"/>
              <w:rPr>
                <w:sz w:val="20"/>
                <w:szCs w:val="20"/>
                <w:color w:val="auto"/>
              </w:rPr>
            </w:pPr>
            <w:r>
              <w:rPr>
                <w:rFonts w:ascii="Arial" w:cs="Arial" w:eastAsia="Arial" w:hAnsi="Arial"/>
                <w:sz w:val="20"/>
                <w:szCs w:val="20"/>
                <w:color w:val="auto"/>
                <w:w w:val="94"/>
              </w:rPr>
              <w:t>SECTION 10.9.  GOVERNING LAW; JURISDICTION; CONSENT TO SERVICE OF PROCESS  67</w:t>
            </w:r>
          </w:p>
        </w:tc>
      </w:tr>
      <w:tr>
        <w:trPr>
          <w:trHeight w:val="230"/>
        </w:trPr>
        <w:tc>
          <w:tcPr>
            <w:tcW w:w="3820" w:type="dxa"/>
            <w:vAlign w:val="bottom"/>
            <w:gridSpan w:val="3"/>
          </w:tcPr>
          <w:p>
            <w:pPr>
              <w:spacing w:after="0"/>
              <w:rPr>
                <w:sz w:val="20"/>
                <w:szCs w:val="20"/>
                <w:color w:val="auto"/>
              </w:rPr>
            </w:pPr>
            <w:r>
              <w:rPr>
                <w:rFonts w:ascii="Arial" w:cs="Arial" w:eastAsia="Arial" w:hAnsi="Arial"/>
                <w:sz w:val="20"/>
                <w:szCs w:val="20"/>
                <w:color w:val="auto"/>
                <w:w w:val="97"/>
              </w:rPr>
              <w:t>SECTION 10.10. WAIVER OF JURY TRIAL</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w w:val="89"/>
              </w:rPr>
              <w:t>67</w:t>
            </w:r>
          </w:p>
        </w:tc>
        <w:tc>
          <w:tcPr>
            <w:tcW w:w="4100" w:type="dxa"/>
            <w:vAlign w:val="bottom"/>
          </w:tcPr>
          <w:p>
            <w:pPr>
              <w:spacing w:after="0"/>
              <w:rPr>
                <w:sz w:val="19"/>
                <w:szCs w:val="19"/>
                <w:color w:val="auto"/>
              </w:rPr>
            </w:pPr>
          </w:p>
        </w:tc>
      </w:tr>
      <w:tr>
        <w:trPr>
          <w:trHeight w:val="229"/>
        </w:trPr>
        <w:tc>
          <w:tcPr>
            <w:tcW w:w="2440" w:type="dxa"/>
            <w:vAlign w:val="bottom"/>
          </w:tcPr>
          <w:p>
            <w:pPr>
              <w:spacing w:after="0"/>
              <w:rPr>
                <w:sz w:val="20"/>
                <w:szCs w:val="20"/>
                <w:color w:val="auto"/>
              </w:rPr>
            </w:pPr>
            <w:r>
              <w:rPr>
                <w:rFonts w:ascii="Arial" w:cs="Arial" w:eastAsia="Arial" w:hAnsi="Arial"/>
                <w:sz w:val="20"/>
                <w:szCs w:val="20"/>
                <w:color w:val="auto"/>
                <w:w w:val="93"/>
              </w:rPr>
              <w:t>SECTION 10.11. HEADINGS</w:t>
            </w:r>
          </w:p>
        </w:tc>
        <w:tc>
          <w:tcPr>
            <w:tcW w:w="800" w:type="dxa"/>
            <w:vAlign w:val="bottom"/>
          </w:tcPr>
          <w:p>
            <w:pPr>
              <w:jc w:val="right"/>
              <w:ind w:right="321"/>
              <w:spacing w:after="0"/>
              <w:rPr>
                <w:sz w:val="20"/>
                <w:szCs w:val="20"/>
                <w:color w:val="auto"/>
              </w:rPr>
            </w:pPr>
            <w:r>
              <w:rPr>
                <w:rFonts w:ascii="Arial" w:cs="Arial" w:eastAsia="Arial" w:hAnsi="Arial"/>
                <w:sz w:val="20"/>
                <w:szCs w:val="20"/>
                <w:color w:val="auto"/>
              </w:rPr>
              <w:t>68</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229"/>
        </w:trPr>
        <w:tc>
          <w:tcPr>
            <w:tcW w:w="4200" w:type="dxa"/>
            <w:vAlign w:val="bottom"/>
            <w:gridSpan w:val="4"/>
          </w:tcPr>
          <w:p>
            <w:pPr>
              <w:spacing w:after="0"/>
              <w:rPr>
                <w:sz w:val="20"/>
                <w:szCs w:val="20"/>
                <w:color w:val="auto"/>
              </w:rPr>
            </w:pPr>
            <w:r>
              <w:rPr>
                <w:rFonts w:ascii="Arial" w:cs="Arial" w:eastAsia="Arial" w:hAnsi="Arial"/>
                <w:sz w:val="20"/>
                <w:szCs w:val="20"/>
                <w:color w:val="auto"/>
                <w:w w:val="96"/>
              </w:rPr>
              <w:t>SECTION 10.12. INTEREST RATE LIMITATION</w:t>
            </w:r>
          </w:p>
        </w:tc>
        <w:tc>
          <w:tcPr>
            <w:tcW w:w="4100" w:type="dxa"/>
            <w:vAlign w:val="bottom"/>
          </w:tcPr>
          <w:p>
            <w:pPr>
              <w:jc w:val="right"/>
              <w:ind w:right="3741"/>
              <w:spacing w:after="0"/>
              <w:rPr>
                <w:sz w:val="20"/>
                <w:szCs w:val="20"/>
                <w:color w:val="auto"/>
              </w:rPr>
            </w:pPr>
            <w:r>
              <w:rPr>
                <w:rFonts w:ascii="Arial" w:cs="Arial" w:eastAsia="Arial" w:hAnsi="Arial"/>
                <w:sz w:val="20"/>
                <w:szCs w:val="20"/>
                <w:color w:val="auto"/>
              </w:rPr>
              <w:t>68</w:t>
            </w:r>
          </w:p>
        </w:tc>
      </w:tr>
      <w:tr>
        <w:trPr>
          <w:trHeight w:val="230"/>
        </w:trPr>
        <w:tc>
          <w:tcPr>
            <w:tcW w:w="3240" w:type="dxa"/>
            <w:vAlign w:val="bottom"/>
            <w:gridSpan w:val="2"/>
          </w:tcPr>
          <w:p>
            <w:pPr>
              <w:spacing w:after="0"/>
              <w:rPr>
                <w:sz w:val="20"/>
                <w:szCs w:val="20"/>
                <w:color w:val="auto"/>
              </w:rPr>
            </w:pPr>
            <w:r>
              <w:rPr>
                <w:rFonts w:ascii="Arial" w:cs="Arial" w:eastAsia="Arial" w:hAnsi="Arial"/>
                <w:sz w:val="20"/>
                <w:szCs w:val="20"/>
                <w:color w:val="auto"/>
                <w:w w:val="98"/>
              </w:rPr>
              <w:t>SECTION 10.13. ADVERTISEMENT</w:t>
            </w:r>
          </w:p>
        </w:tc>
        <w:tc>
          <w:tcPr>
            <w:tcW w:w="580" w:type="dxa"/>
            <w:vAlign w:val="bottom"/>
          </w:tcPr>
          <w:p>
            <w:pPr>
              <w:jc w:val="right"/>
              <w:ind w:right="261"/>
              <w:spacing w:after="0"/>
              <w:rPr>
                <w:sz w:val="20"/>
                <w:szCs w:val="20"/>
                <w:color w:val="auto"/>
              </w:rPr>
            </w:pPr>
            <w:r>
              <w:rPr>
                <w:rFonts w:ascii="Arial" w:cs="Arial" w:eastAsia="Arial" w:hAnsi="Arial"/>
                <w:sz w:val="20"/>
                <w:szCs w:val="20"/>
                <w:color w:val="auto"/>
                <w:w w:val="89"/>
              </w:rPr>
              <w:t>68</w:t>
            </w:r>
          </w:p>
        </w:tc>
        <w:tc>
          <w:tcPr>
            <w:tcW w:w="38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245"/>
        </w:trPr>
        <w:tc>
          <w:tcPr>
            <w:tcW w:w="3240" w:type="dxa"/>
            <w:vAlign w:val="bottom"/>
            <w:gridSpan w:val="2"/>
          </w:tcPr>
          <w:p>
            <w:pPr>
              <w:spacing w:after="0"/>
              <w:rPr>
                <w:sz w:val="20"/>
                <w:szCs w:val="20"/>
                <w:color w:val="auto"/>
              </w:rPr>
            </w:pPr>
            <w:r>
              <w:rPr>
                <w:rFonts w:ascii="Arial" w:cs="Arial" w:eastAsia="Arial" w:hAnsi="Arial"/>
                <w:sz w:val="20"/>
                <w:szCs w:val="20"/>
                <w:color w:val="auto"/>
                <w:w w:val="96"/>
              </w:rPr>
              <w:t>SECTION 10.14. USA PATRIOT ACT</w:t>
            </w:r>
          </w:p>
        </w:tc>
        <w:tc>
          <w:tcPr>
            <w:tcW w:w="580" w:type="dxa"/>
            <w:vAlign w:val="bottom"/>
          </w:tcPr>
          <w:p>
            <w:pPr>
              <w:jc w:val="right"/>
              <w:ind w:right="221"/>
              <w:spacing w:after="0"/>
              <w:rPr>
                <w:sz w:val="20"/>
                <w:szCs w:val="20"/>
                <w:color w:val="auto"/>
              </w:rPr>
            </w:pPr>
            <w:r>
              <w:rPr>
                <w:rFonts w:ascii="Arial" w:cs="Arial" w:eastAsia="Arial" w:hAnsi="Arial"/>
                <w:sz w:val="20"/>
                <w:szCs w:val="20"/>
                <w:color w:val="auto"/>
              </w:rPr>
              <w:t>68</w:t>
            </w:r>
          </w:p>
        </w:tc>
        <w:tc>
          <w:tcPr>
            <w:tcW w:w="380" w:type="dxa"/>
            <w:vAlign w:val="bottom"/>
          </w:tcPr>
          <w:p>
            <w:pPr>
              <w:spacing w:after="0"/>
              <w:rPr>
                <w:sz w:val="21"/>
                <w:szCs w:val="21"/>
                <w:color w:val="auto"/>
              </w:rPr>
            </w:pPr>
          </w:p>
        </w:tc>
        <w:tc>
          <w:tcPr>
            <w:tcW w:w="4100" w:type="dxa"/>
            <w:vAlign w:val="bottom"/>
          </w:tcPr>
          <w:p>
            <w:pPr>
              <w:spacing w:after="0"/>
              <w:rPr>
                <w:sz w:val="21"/>
                <w:szCs w:val="21"/>
                <w:color w:val="auto"/>
              </w:rPr>
            </w:pPr>
          </w:p>
        </w:tc>
      </w:tr>
    </w:tbl>
    <w:p>
      <w:pPr>
        <w:ind w:left="660"/>
        <w:spacing w:after="0"/>
        <w:tabs>
          <w:tab w:leader="none" w:pos="6020" w:val="left"/>
        </w:tabs>
        <w:rPr>
          <w:sz w:val="20"/>
          <w:szCs w:val="20"/>
          <w:color w:val="auto"/>
        </w:rPr>
      </w:pPr>
      <w:r>
        <w:rPr>
          <w:rFonts w:ascii="Arial" w:cs="Arial" w:eastAsia="Arial" w:hAnsi="Arial"/>
          <w:sz w:val="20"/>
          <w:szCs w:val="20"/>
          <w:color w:val="auto"/>
        </w:rPr>
        <w:t>SECTION 10.15. TREATMENT OF CERTAIN INFORMATION</w:t>
      </w:r>
      <w:r>
        <w:rPr>
          <w:sz w:val="20"/>
          <w:szCs w:val="20"/>
          <w:color w:val="auto"/>
        </w:rPr>
        <w:tab/>
      </w:r>
      <w:r>
        <w:rPr>
          <w:rFonts w:ascii="Arial" w:cs="Arial" w:eastAsia="Arial" w:hAnsi="Arial"/>
          <w:sz w:val="16"/>
          <w:szCs w:val="16"/>
          <w:color w:val="auto"/>
        </w:rPr>
        <w:t>68</w:t>
      </w:r>
    </w:p>
    <w:p>
      <w:pPr>
        <w:ind w:left="660"/>
        <w:spacing w:after="0"/>
        <w:tabs>
          <w:tab w:leader="none" w:pos="4700" w:val="left"/>
        </w:tabs>
        <w:rPr>
          <w:sz w:val="20"/>
          <w:szCs w:val="20"/>
          <w:color w:val="auto"/>
        </w:rPr>
      </w:pPr>
      <w:r>
        <w:rPr>
          <w:rFonts w:ascii="Arial" w:cs="Arial" w:eastAsia="Arial" w:hAnsi="Arial"/>
          <w:sz w:val="20"/>
          <w:szCs w:val="20"/>
          <w:color w:val="auto"/>
        </w:rPr>
        <w:t>SECTION 10.16. NO FIDUCIARY DUTY, ETC</w:t>
      </w:r>
      <w:r>
        <w:rPr>
          <w:sz w:val="20"/>
          <w:szCs w:val="20"/>
          <w:color w:val="auto"/>
        </w:rPr>
        <w:tab/>
      </w:r>
      <w:r>
        <w:rPr>
          <w:rFonts w:ascii="Arial" w:cs="Arial" w:eastAsia="Arial" w:hAnsi="Arial"/>
          <w:sz w:val="16"/>
          <w:szCs w:val="16"/>
          <w:color w:val="auto"/>
        </w:rPr>
        <w:t>69</w:t>
      </w:r>
    </w:p>
    <w:p>
      <w:pPr>
        <w:ind w:left="660"/>
        <w:spacing w:after="0"/>
        <w:tabs>
          <w:tab w:leader="none" w:pos="5360" w:val="left"/>
        </w:tabs>
        <w:rPr>
          <w:sz w:val="20"/>
          <w:szCs w:val="20"/>
          <w:color w:val="auto"/>
        </w:rPr>
      </w:pPr>
      <w:r>
        <w:rPr>
          <w:rFonts w:ascii="Arial" w:cs="Arial" w:eastAsia="Arial" w:hAnsi="Arial"/>
          <w:sz w:val="20"/>
          <w:szCs w:val="20"/>
          <w:color w:val="auto"/>
        </w:rPr>
        <w:t>SECTION 10.17. COBANK EQUITY AND SECURITY</w:t>
      </w:r>
      <w:r>
        <w:rPr>
          <w:sz w:val="20"/>
          <w:szCs w:val="20"/>
          <w:color w:val="auto"/>
        </w:rPr>
        <w:tab/>
      </w:r>
      <w:r>
        <w:rPr>
          <w:rFonts w:ascii="Arial" w:cs="Arial" w:eastAsia="Arial" w:hAnsi="Arial"/>
          <w:sz w:val="16"/>
          <w:szCs w:val="16"/>
          <w:color w:val="auto"/>
        </w:rPr>
        <w:t>69</w:t>
      </w:r>
    </w:p>
    <w:p>
      <w:pPr>
        <w:ind w:left="660" w:right="880"/>
        <w:spacing w:after="0" w:line="244" w:lineRule="auto"/>
        <w:rPr>
          <w:sz w:val="20"/>
          <w:szCs w:val="20"/>
          <w:color w:val="auto"/>
        </w:rPr>
      </w:pPr>
      <w:r>
        <w:rPr>
          <w:rFonts w:ascii="Arial" w:cs="Arial" w:eastAsia="Arial" w:hAnsi="Arial"/>
          <w:sz w:val="20"/>
          <w:szCs w:val="20"/>
          <w:color w:val="auto"/>
        </w:rPr>
        <w:t>SECTION 10.18. ACKNOWLEDGEMENT AND CONSENT TO BAIL-IN OF EEA FINANCIAL INSTITUTIONS 70 SECTION 10.19. ACKNOWLEDGEMENT REGARDING ANY SUPPORTED QFCS 71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SCHEDULES:</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960" w:type="dxa"/>
            <w:vAlign w:val="bottom"/>
            <w:tcBorders>
              <w:top w:val="single" w:sz="8" w:color="00000A"/>
              <w:left w:val="single" w:sz="8" w:color="00000A"/>
              <w:bottom w:val="single" w:sz="8" w:color="00000A"/>
            </w:tcBorders>
          </w:tcPr>
          <w:p>
            <w:pPr>
              <w:spacing w:after="0"/>
              <w:rPr>
                <w:sz w:val="3"/>
                <w:szCs w:val="3"/>
                <w:color w:val="auto"/>
              </w:rPr>
            </w:pPr>
          </w:p>
        </w:tc>
        <w:tc>
          <w:tcPr>
            <w:tcW w:w="2020" w:type="dxa"/>
            <w:vAlign w:val="bottom"/>
            <w:tcBorders>
              <w:top w:val="single" w:sz="8" w:color="00000A"/>
              <w:bottom w:val="single" w:sz="8" w:color="00000A"/>
            </w:tcBorders>
          </w:tcPr>
          <w:p>
            <w:pPr>
              <w:spacing w:after="0"/>
              <w:rPr>
                <w:sz w:val="3"/>
                <w:szCs w:val="3"/>
                <w:color w:val="auto"/>
              </w:rPr>
            </w:pPr>
          </w:p>
        </w:tc>
        <w:tc>
          <w:tcPr>
            <w:tcW w:w="8000" w:type="dxa"/>
            <w:vAlign w:val="bottom"/>
            <w:tcBorders>
              <w:top w:val="single" w:sz="8" w:color="00000A"/>
              <w:bottom w:val="single" w:sz="8" w:color="00000A"/>
              <w:right w:val="single" w:sz="8" w:color="00000A"/>
            </w:tcBorders>
          </w:tcPr>
          <w:p>
            <w:pPr>
              <w:spacing w:after="0"/>
              <w:rPr>
                <w:sz w:val="3"/>
                <w:szCs w:val="3"/>
                <w:color w:val="auto"/>
              </w:rPr>
            </w:pPr>
          </w:p>
        </w:tc>
      </w:tr>
      <w:tr>
        <w:trPr>
          <w:trHeight w:val="241"/>
        </w:trPr>
        <w:tc>
          <w:tcPr>
            <w:tcW w:w="2980" w:type="dxa"/>
            <w:vAlign w:val="bottom"/>
            <w:tcBorders>
              <w:left w:val="single" w:sz="8" w:color="00000A"/>
              <w:right w:val="single" w:sz="8" w:color="00000A"/>
            </w:tcBorders>
            <w:gridSpan w:val="2"/>
          </w:tcPr>
          <w:p>
            <w:pPr>
              <w:ind w:left="60"/>
              <w:spacing w:after="0"/>
              <w:rPr>
                <w:sz w:val="20"/>
                <w:szCs w:val="20"/>
                <w:color w:val="auto"/>
              </w:rPr>
            </w:pPr>
            <w:r>
              <w:rPr>
                <w:rFonts w:ascii="Arial" w:cs="Arial" w:eastAsia="Arial" w:hAnsi="Arial"/>
                <w:sz w:val="20"/>
                <w:szCs w:val="20"/>
                <w:color w:val="auto"/>
              </w:rPr>
              <w:t>Schedule 2.1</w:t>
            </w:r>
          </w:p>
        </w:tc>
        <w:tc>
          <w:tcPr>
            <w:tcW w:w="8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List of Commitments</w:t>
            </w:r>
          </w:p>
        </w:tc>
      </w:tr>
      <w:tr>
        <w:trPr>
          <w:trHeight w:val="23"/>
        </w:trPr>
        <w:tc>
          <w:tcPr>
            <w:tcW w:w="960" w:type="dxa"/>
            <w:vAlign w:val="bottom"/>
            <w:tcBorders>
              <w:left w:val="single" w:sz="8" w:color="00000A"/>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8000" w:type="dxa"/>
            <w:vAlign w:val="bottom"/>
            <w:tcBorders>
              <w:bottom w:val="single" w:sz="8" w:color="00000A"/>
              <w:right w:val="single" w:sz="8" w:color="00000A"/>
            </w:tcBorders>
          </w:tcPr>
          <w:p>
            <w:pPr>
              <w:spacing w:after="0"/>
              <w:rPr>
                <w:sz w:val="2"/>
                <w:szCs w:val="2"/>
                <w:color w:val="auto"/>
              </w:rPr>
            </w:pPr>
          </w:p>
        </w:tc>
      </w:tr>
      <w:tr>
        <w:trPr>
          <w:trHeight w:val="254"/>
        </w:trPr>
        <w:tc>
          <w:tcPr>
            <w:tcW w:w="2980" w:type="dxa"/>
            <w:vAlign w:val="bottom"/>
            <w:tcBorders>
              <w:left w:val="single" w:sz="8" w:color="00000A"/>
              <w:right w:val="single" w:sz="8" w:color="00000A"/>
            </w:tcBorders>
            <w:gridSpan w:val="2"/>
          </w:tcPr>
          <w:p>
            <w:pPr>
              <w:ind w:left="60"/>
              <w:spacing w:after="0"/>
              <w:rPr>
                <w:sz w:val="20"/>
                <w:szCs w:val="20"/>
                <w:color w:val="auto"/>
              </w:rPr>
            </w:pPr>
            <w:r>
              <w:rPr>
                <w:rFonts w:ascii="Arial" w:cs="Arial" w:eastAsia="Arial" w:hAnsi="Arial"/>
                <w:sz w:val="20"/>
                <w:szCs w:val="20"/>
                <w:color w:val="auto"/>
              </w:rPr>
              <w:t>Schedule 4.5/4.6</w:t>
            </w:r>
          </w:p>
        </w:tc>
        <w:tc>
          <w:tcPr>
            <w:tcW w:w="8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Disclosed Matters</w:t>
            </w:r>
          </w:p>
        </w:tc>
      </w:tr>
      <w:tr>
        <w:trPr>
          <w:trHeight w:val="23"/>
        </w:trPr>
        <w:tc>
          <w:tcPr>
            <w:tcW w:w="960" w:type="dxa"/>
            <w:vAlign w:val="bottom"/>
            <w:tcBorders>
              <w:left w:val="single" w:sz="8" w:color="00000A"/>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8000" w:type="dxa"/>
            <w:vAlign w:val="bottom"/>
            <w:tcBorders>
              <w:bottom w:val="single" w:sz="8" w:color="00000A"/>
              <w:right w:val="single" w:sz="8" w:color="00000A"/>
            </w:tcBorders>
          </w:tcPr>
          <w:p>
            <w:pPr>
              <w:spacing w:after="0"/>
              <w:rPr>
                <w:sz w:val="2"/>
                <w:szCs w:val="2"/>
                <w:color w:val="auto"/>
              </w:rPr>
            </w:pPr>
          </w:p>
        </w:tc>
      </w:tr>
      <w:tr>
        <w:trPr>
          <w:trHeight w:val="254"/>
        </w:trPr>
        <w:tc>
          <w:tcPr>
            <w:tcW w:w="2980" w:type="dxa"/>
            <w:vAlign w:val="bottom"/>
            <w:tcBorders>
              <w:left w:val="single" w:sz="8" w:color="00000A"/>
              <w:right w:val="single" w:sz="8" w:color="00000A"/>
            </w:tcBorders>
            <w:gridSpan w:val="2"/>
          </w:tcPr>
          <w:p>
            <w:pPr>
              <w:ind w:left="60"/>
              <w:spacing w:after="0"/>
              <w:rPr>
                <w:sz w:val="20"/>
                <w:szCs w:val="20"/>
                <w:color w:val="auto"/>
              </w:rPr>
            </w:pPr>
            <w:r>
              <w:rPr>
                <w:rFonts w:ascii="Arial" w:cs="Arial" w:eastAsia="Arial" w:hAnsi="Arial"/>
                <w:sz w:val="20"/>
                <w:szCs w:val="20"/>
                <w:color w:val="auto"/>
              </w:rPr>
              <w:t>Schedule 4.10</w:t>
            </w:r>
          </w:p>
        </w:tc>
        <w:tc>
          <w:tcPr>
            <w:tcW w:w="8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List of Subsidiaries</w:t>
            </w:r>
          </w:p>
        </w:tc>
      </w:tr>
      <w:tr>
        <w:trPr>
          <w:trHeight w:val="23"/>
        </w:trPr>
        <w:tc>
          <w:tcPr>
            <w:tcW w:w="960" w:type="dxa"/>
            <w:vAlign w:val="bottom"/>
            <w:tcBorders>
              <w:left w:val="single" w:sz="8" w:color="00000A"/>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8000" w:type="dxa"/>
            <w:vAlign w:val="bottom"/>
            <w:tcBorders>
              <w:bottom w:val="single" w:sz="8" w:color="00000A"/>
              <w:right w:val="single" w:sz="8" w:color="00000A"/>
            </w:tcBorders>
          </w:tcPr>
          <w:p>
            <w:pPr>
              <w:spacing w:after="0"/>
              <w:rPr>
                <w:sz w:val="2"/>
                <w:szCs w:val="2"/>
                <w:color w:val="auto"/>
              </w:rPr>
            </w:pPr>
          </w:p>
        </w:tc>
      </w:tr>
      <w:tr>
        <w:trPr>
          <w:trHeight w:val="20"/>
        </w:trPr>
        <w:tc>
          <w:tcPr>
            <w:tcW w:w="960" w:type="dxa"/>
            <w:vAlign w:val="bottom"/>
            <w:tcBorders>
              <w:left w:val="single" w:sz="8" w:color="00000A"/>
              <w:bottom w:val="single" w:sz="8" w:color="00000A"/>
            </w:tcBorders>
          </w:tcPr>
          <w:p>
            <w:pPr>
              <w:spacing w:after="0" w:line="20" w:lineRule="exact"/>
              <w:rPr>
                <w:sz w:val="1"/>
                <w:szCs w:val="1"/>
                <w:color w:val="auto"/>
              </w:rPr>
            </w:pPr>
          </w:p>
        </w:tc>
        <w:tc>
          <w:tcPr>
            <w:tcW w:w="2020" w:type="dxa"/>
            <w:vAlign w:val="bottom"/>
            <w:tcBorders>
              <w:bottom w:val="single" w:sz="8" w:color="00000A"/>
            </w:tcBorders>
          </w:tcPr>
          <w:p>
            <w:pPr>
              <w:spacing w:after="0" w:line="20" w:lineRule="exact"/>
              <w:rPr>
                <w:sz w:val="1"/>
                <w:szCs w:val="1"/>
                <w:color w:val="auto"/>
              </w:rPr>
            </w:pPr>
          </w:p>
        </w:tc>
        <w:tc>
          <w:tcPr>
            <w:tcW w:w="8000" w:type="dxa"/>
            <w:vAlign w:val="bottom"/>
            <w:tcBorders>
              <w:bottom w:val="single" w:sz="8" w:color="00000A"/>
              <w:right w:val="single" w:sz="8" w:color="00000A"/>
            </w:tcBorders>
          </w:tcPr>
          <w:p>
            <w:pPr>
              <w:spacing w:after="0" w:line="20" w:lineRule="exact"/>
              <w:rPr>
                <w:sz w:val="1"/>
                <w:szCs w:val="1"/>
                <w:color w:val="auto"/>
              </w:rPr>
            </w:pPr>
          </w:p>
        </w:tc>
      </w:tr>
      <w:tr>
        <w:trPr>
          <w:trHeight w:val="520"/>
        </w:trPr>
        <w:tc>
          <w:tcPr>
            <w:tcW w:w="2980" w:type="dxa"/>
            <w:vAlign w:val="bottom"/>
            <w:gridSpan w:val="2"/>
          </w:tcPr>
          <w:p>
            <w:pPr>
              <w:spacing w:after="0"/>
              <w:rPr>
                <w:sz w:val="20"/>
                <w:szCs w:val="20"/>
                <w:color w:val="auto"/>
              </w:rPr>
            </w:pPr>
            <w:r>
              <w:rPr>
                <w:rFonts w:ascii="Arial" w:cs="Arial" w:eastAsia="Arial" w:hAnsi="Arial"/>
                <w:sz w:val="20"/>
                <w:szCs w:val="20"/>
                <w:color w:val="auto"/>
              </w:rPr>
              <w:t>EXHIBITS:</w:t>
            </w:r>
          </w:p>
        </w:tc>
        <w:tc>
          <w:tcPr>
            <w:tcW w:w="8000" w:type="dxa"/>
            <w:vAlign w:val="bottom"/>
          </w:tcPr>
          <w:p>
            <w:pPr>
              <w:spacing w:after="0"/>
              <w:rPr>
                <w:sz w:val="24"/>
                <w:szCs w:val="24"/>
                <w:color w:val="auto"/>
              </w:rPr>
            </w:pPr>
          </w:p>
        </w:tc>
      </w:tr>
      <w:tr>
        <w:trPr>
          <w:trHeight w:val="317"/>
        </w:trPr>
        <w:tc>
          <w:tcPr>
            <w:tcW w:w="960" w:type="dxa"/>
            <w:vAlign w:val="bottom"/>
            <w:tcBorders>
              <w:top w:val="single" w:sz="8" w:color="auto"/>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r>
      <w:tr>
        <w:trPr>
          <w:trHeight w:val="241"/>
        </w:trPr>
        <w:tc>
          <w:tcPr>
            <w:tcW w:w="2980" w:type="dxa"/>
            <w:vAlign w:val="bottom"/>
            <w:tcBorders>
              <w:left w:val="single" w:sz="8" w:color="00000A"/>
              <w:right w:val="single" w:sz="8" w:color="00000A"/>
            </w:tcBorders>
            <w:gridSpan w:val="2"/>
          </w:tcPr>
          <w:p>
            <w:pPr>
              <w:ind w:left="60"/>
              <w:spacing w:after="0"/>
              <w:rPr>
                <w:sz w:val="20"/>
                <w:szCs w:val="20"/>
                <w:color w:val="auto"/>
              </w:rPr>
            </w:pPr>
            <w:r>
              <w:rPr>
                <w:rFonts w:ascii="Arial" w:cs="Arial" w:eastAsia="Arial" w:hAnsi="Arial"/>
                <w:sz w:val="20"/>
                <w:szCs w:val="20"/>
                <w:color w:val="auto"/>
              </w:rPr>
              <w:t>Exhibit A</w:t>
            </w:r>
          </w:p>
        </w:tc>
        <w:tc>
          <w:tcPr>
            <w:tcW w:w="8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Form of Assignment and Assumption</w:t>
            </w:r>
          </w:p>
        </w:tc>
      </w:tr>
      <w:tr>
        <w:trPr>
          <w:trHeight w:val="23"/>
        </w:trPr>
        <w:tc>
          <w:tcPr>
            <w:tcW w:w="960" w:type="dxa"/>
            <w:vAlign w:val="bottom"/>
            <w:tcBorders>
              <w:left w:val="single" w:sz="8" w:color="00000A"/>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8000" w:type="dxa"/>
            <w:vAlign w:val="bottom"/>
            <w:tcBorders>
              <w:bottom w:val="single" w:sz="8" w:color="00000A"/>
              <w:right w:val="single" w:sz="8" w:color="00000A"/>
            </w:tcBorders>
          </w:tcPr>
          <w:p>
            <w:pPr>
              <w:spacing w:after="0"/>
              <w:rPr>
                <w:sz w:val="2"/>
                <w:szCs w:val="2"/>
                <w:color w:val="auto"/>
              </w:rPr>
            </w:pPr>
          </w:p>
        </w:tc>
      </w:tr>
      <w:tr>
        <w:trPr>
          <w:trHeight w:val="254"/>
        </w:trPr>
        <w:tc>
          <w:tcPr>
            <w:tcW w:w="2980" w:type="dxa"/>
            <w:vAlign w:val="bottom"/>
            <w:tcBorders>
              <w:left w:val="single" w:sz="8" w:color="00000A"/>
              <w:right w:val="single" w:sz="8" w:color="00000A"/>
            </w:tcBorders>
            <w:gridSpan w:val="2"/>
          </w:tcPr>
          <w:p>
            <w:pPr>
              <w:ind w:left="60"/>
              <w:spacing w:after="0"/>
              <w:rPr>
                <w:sz w:val="20"/>
                <w:szCs w:val="20"/>
                <w:color w:val="auto"/>
              </w:rPr>
            </w:pPr>
            <w:r>
              <w:rPr>
                <w:rFonts w:ascii="Arial" w:cs="Arial" w:eastAsia="Arial" w:hAnsi="Arial"/>
                <w:sz w:val="20"/>
                <w:szCs w:val="20"/>
                <w:color w:val="auto"/>
              </w:rPr>
              <w:t>Exhibit B</w:t>
            </w:r>
          </w:p>
        </w:tc>
        <w:tc>
          <w:tcPr>
            <w:tcW w:w="8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Form of Credit Request</w:t>
            </w:r>
          </w:p>
        </w:tc>
      </w:tr>
      <w:tr>
        <w:trPr>
          <w:trHeight w:val="23"/>
        </w:trPr>
        <w:tc>
          <w:tcPr>
            <w:tcW w:w="960" w:type="dxa"/>
            <w:vAlign w:val="bottom"/>
            <w:tcBorders>
              <w:left w:val="single" w:sz="8" w:color="00000A"/>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8000" w:type="dxa"/>
            <w:vAlign w:val="bottom"/>
            <w:tcBorders>
              <w:bottom w:val="single" w:sz="8" w:color="00000A"/>
              <w:right w:val="single" w:sz="8" w:color="00000A"/>
            </w:tcBorders>
          </w:tcPr>
          <w:p>
            <w:pPr>
              <w:spacing w:after="0"/>
              <w:rPr>
                <w:sz w:val="2"/>
                <w:szCs w:val="2"/>
                <w:color w:val="auto"/>
              </w:rPr>
            </w:pPr>
          </w:p>
        </w:tc>
      </w:tr>
      <w:tr>
        <w:trPr>
          <w:trHeight w:val="254"/>
        </w:trPr>
        <w:tc>
          <w:tcPr>
            <w:tcW w:w="2980" w:type="dxa"/>
            <w:vAlign w:val="bottom"/>
            <w:tcBorders>
              <w:left w:val="single" w:sz="8" w:color="00000A"/>
              <w:right w:val="single" w:sz="8" w:color="00000A"/>
            </w:tcBorders>
            <w:gridSpan w:val="2"/>
          </w:tcPr>
          <w:p>
            <w:pPr>
              <w:ind w:left="60"/>
              <w:spacing w:after="0"/>
              <w:rPr>
                <w:sz w:val="20"/>
                <w:szCs w:val="20"/>
                <w:color w:val="auto"/>
              </w:rPr>
            </w:pPr>
            <w:r>
              <w:rPr>
                <w:rFonts w:ascii="Arial" w:cs="Arial" w:eastAsia="Arial" w:hAnsi="Arial"/>
                <w:sz w:val="20"/>
                <w:szCs w:val="20"/>
                <w:color w:val="auto"/>
              </w:rPr>
              <w:t>Exhibit C</w:t>
            </w:r>
          </w:p>
        </w:tc>
        <w:tc>
          <w:tcPr>
            <w:tcW w:w="8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Form of Note</w:t>
            </w:r>
          </w:p>
        </w:tc>
      </w:tr>
      <w:tr>
        <w:trPr>
          <w:trHeight w:val="23"/>
        </w:trPr>
        <w:tc>
          <w:tcPr>
            <w:tcW w:w="960" w:type="dxa"/>
            <w:vAlign w:val="bottom"/>
            <w:tcBorders>
              <w:left w:val="single" w:sz="8" w:color="00000A"/>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8000" w:type="dxa"/>
            <w:vAlign w:val="bottom"/>
            <w:tcBorders>
              <w:bottom w:val="single" w:sz="8" w:color="00000A"/>
              <w:right w:val="single" w:sz="8" w:color="00000A"/>
            </w:tcBorders>
          </w:tcPr>
          <w:p>
            <w:pPr>
              <w:spacing w:after="0"/>
              <w:rPr>
                <w:sz w:val="2"/>
                <w:szCs w:val="2"/>
                <w:color w:val="auto"/>
              </w:rPr>
            </w:pPr>
          </w:p>
        </w:tc>
      </w:tr>
      <w:tr>
        <w:trPr>
          <w:trHeight w:val="254"/>
        </w:trPr>
        <w:tc>
          <w:tcPr>
            <w:tcW w:w="2980" w:type="dxa"/>
            <w:vAlign w:val="bottom"/>
            <w:tcBorders>
              <w:left w:val="single" w:sz="8" w:color="00000A"/>
              <w:right w:val="single" w:sz="8" w:color="00000A"/>
            </w:tcBorders>
            <w:gridSpan w:val="2"/>
          </w:tcPr>
          <w:p>
            <w:pPr>
              <w:ind w:left="60"/>
              <w:spacing w:after="0"/>
              <w:rPr>
                <w:sz w:val="20"/>
                <w:szCs w:val="20"/>
                <w:color w:val="auto"/>
              </w:rPr>
            </w:pPr>
            <w:r>
              <w:rPr>
                <w:rFonts w:ascii="Arial" w:cs="Arial" w:eastAsia="Arial" w:hAnsi="Arial"/>
                <w:sz w:val="20"/>
                <w:szCs w:val="20"/>
                <w:color w:val="auto"/>
              </w:rPr>
              <w:t>Exhibit D</w:t>
            </w:r>
          </w:p>
        </w:tc>
        <w:tc>
          <w:tcPr>
            <w:tcW w:w="8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Form of Compliance Certificate</w:t>
            </w:r>
          </w:p>
        </w:tc>
      </w:tr>
      <w:tr>
        <w:trPr>
          <w:trHeight w:val="23"/>
        </w:trPr>
        <w:tc>
          <w:tcPr>
            <w:tcW w:w="960" w:type="dxa"/>
            <w:vAlign w:val="bottom"/>
            <w:tcBorders>
              <w:left w:val="single" w:sz="8" w:color="00000A"/>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8000" w:type="dxa"/>
            <w:vAlign w:val="bottom"/>
            <w:tcBorders>
              <w:bottom w:val="single" w:sz="8" w:color="00000A"/>
              <w:right w:val="single" w:sz="8" w:color="00000A"/>
            </w:tcBorders>
          </w:tcPr>
          <w:p>
            <w:pPr>
              <w:spacing w:after="0"/>
              <w:rPr>
                <w:sz w:val="2"/>
                <w:szCs w:val="2"/>
                <w:color w:val="auto"/>
              </w:rPr>
            </w:pPr>
          </w:p>
        </w:tc>
      </w:tr>
      <w:tr>
        <w:trPr>
          <w:trHeight w:val="254"/>
        </w:trPr>
        <w:tc>
          <w:tcPr>
            <w:tcW w:w="2980" w:type="dxa"/>
            <w:vAlign w:val="bottom"/>
            <w:tcBorders>
              <w:left w:val="single" w:sz="8" w:color="00000A"/>
              <w:right w:val="single" w:sz="8" w:color="00000A"/>
            </w:tcBorders>
            <w:gridSpan w:val="2"/>
          </w:tcPr>
          <w:p>
            <w:pPr>
              <w:ind w:left="60"/>
              <w:spacing w:after="0"/>
              <w:rPr>
                <w:sz w:val="20"/>
                <w:szCs w:val="20"/>
                <w:color w:val="auto"/>
              </w:rPr>
            </w:pPr>
            <w:r>
              <w:rPr>
                <w:rFonts w:ascii="Arial" w:cs="Arial" w:eastAsia="Arial" w:hAnsi="Arial"/>
                <w:sz w:val="20"/>
                <w:szCs w:val="20"/>
                <w:color w:val="auto"/>
              </w:rPr>
              <w:t>Exhibit E</w:t>
            </w:r>
          </w:p>
        </w:tc>
        <w:tc>
          <w:tcPr>
            <w:tcW w:w="8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Form of U.S. Tax Compliance Certificates</w:t>
            </w:r>
          </w:p>
        </w:tc>
      </w:tr>
      <w:tr>
        <w:trPr>
          <w:trHeight w:val="23"/>
        </w:trPr>
        <w:tc>
          <w:tcPr>
            <w:tcW w:w="960" w:type="dxa"/>
            <w:vAlign w:val="bottom"/>
            <w:tcBorders>
              <w:left w:val="single" w:sz="8" w:color="00000A"/>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8000" w:type="dxa"/>
            <w:vAlign w:val="bottom"/>
            <w:tcBorders>
              <w:bottom w:val="single" w:sz="8" w:color="00000A"/>
              <w:right w:val="single" w:sz="8" w:color="00000A"/>
            </w:tcBorders>
          </w:tcPr>
          <w:p>
            <w:pPr>
              <w:spacing w:after="0"/>
              <w:rPr>
                <w:sz w:val="2"/>
                <w:szCs w:val="2"/>
                <w:color w:val="auto"/>
              </w:rPr>
            </w:pPr>
          </w:p>
        </w:tc>
      </w:tr>
      <w:tr>
        <w:trPr>
          <w:trHeight w:val="20"/>
        </w:trPr>
        <w:tc>
          <w:tcPr>
            <w:tcW w:w="960" w:type="dxa"/>
            <w:vAlign w:val="bottom"/>
            <w:tcBorders>
              <w:left w:val="single" w:sz="8" w:color="00000A"/>
              <w:bottom w:val="single" w:sz="8" w:color="00000A"/>
            </w:tcBorders>
          </w:tcPr>
          <w:p>
            <w:pPr>
              <w:spacing w:after="0" w:line="20" w:lineRule="exact"/>
              <w:rPr>
                <w:sz w:val="1"/>
                <w:szCs w:val="1"/>
                <w:color w:val="auto"/>
              </w:rPr>
            </w:pPr>
          </w:p>
        </w:tc>
        <w:tc>
          <w:tcPr>
            <w:tcW w:w="2020" w:type="dxa"/>
            <w:vAlign w:val="bottom"/>
            <w:tcBorders>
              <w:bottom w:val="single" w:sz="8" w:color="00000A"/>
            </w:tcBorders>
          </w:tcPr>
          <w:p>
            <w:pPr>
              <w:spacing w:after="0" w:line="20" w:lineRule="exact"/>
              <w:rPr>
                <w:sz w:val="1"/>
                <w:szCs w:val="1"/>
                <w:color w:val="auto"/>
              </w:rPr>
            </w:pPr>
          </w:p>
        </w:tc>
        <w:tc>
          <w:tcPr>
            <w:tcW w:w="8000" w:type="dxa"/>
            <w:vAlign w:val="bottom"/>
            <w:tcBorders>
              <w:bottom w:val="single" w:sz="8" w:color="00000A"/>
              <w:right w:val="single" w:sz="8" w:color="00000A"/>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240"/>
          </w:cols>
          <w:pgMar w:left="320" w:top="122" w:right="339" w:bottom="1440" w:gutter="0" w:footer="0" w:header="0"/>
        </w:sectPr>
      </w:pPr>
    </w:p>
    <w:bookmarkStart w:id="51" w:name="page52"/>
    <w:bookmarkEnd w:id="51"/>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TERM LOAN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April 8, 2020, is among ALLETE, INC.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hereto and U.S. BANK NATIONAL ASSOCIATION, as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agree as follows:</w:t>
      </w:r>
    </w:p>
    <w:p>
      <w:pPr>
        <w:spacing w:after="0" w:line="216"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Article 1.</w:t>
      </w:r>
    </w:p>
    <w:p>
      <w:pPr>
        <w:spacing w:after="0" w:line="216"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DEFINITIONS AND INTERPRETATION</w:t>
      </w:r>
    </w:p>
    <w:p>
      <w:pPr>
        <w:spacing w:after="0" w:line="20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w:t>
      </w:r>
      <w:r>
        <w:rPr>
          <w:rFonts w:ascii="Arial" w:cs="Arial" w:eastAsia="Arial" w:hAnsi="Arial"/>
          <w:sz w:val="20"/>
          <w:szCs w:val="20"/>
          <w:color w:val="auto"/>
        </w:rPr>
        <w:t xml:space="preserve">”, when used in reference to any Loan or Borrowing, refers to whether such Loan, or the Loans comprising such Borrowing, are bearing interest at a rate determined by reference to the Alternate Base Rate. For the avoidance of doubt, a Loan that bears interest at a rate determined pursuant to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of the definition of Alternate Base Rate shall, for all purposes of this Agreement, be deemed to be an ABR Loan and not a Eurodollar Loan.</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Accountants</w:t>
      </w:r>
      <w:r>
        <w:rPr>
          <w:rFonts w:ascii="Arial" w:cs="Arial" w:eastAsia="Arial" w:hAnsi="Arial"/>
          <w:sz w:val="18"/>
          <w:szCs w:val="18"/>
          <w:color w:val="auto"/>
        </w:rPr>
        <w:t>” means PricewaterhouseCoopers, L.L.P. or another registered public accounting firm of recognized national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standing.</w:t>
      </w:r>
    </w:p>
    <w:p>
      <w:pPr>
        <w:spacing w:after="0" w:line="20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LIBO Rate</w:t>
      </w:r>
      <w:r>
        <w:rPr>
          <w:rFonts w:ascii="Arial" w:cs="Arial" w:eastAsia="Arial" w:hAnsi="Arial"/>
          <w:sz w:val="20"/>
          <w:szCs w:val="20"/>
          <w:color w:val="auto"/>
        </w:rPr>
        <w:t xml:space="preserve">” means, with respect to any Eurodollar Borrowing for any Interest Period, an interest rate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(rounded upwards, if necessary, to the next 1/100 of 1%) equal to (a) the LIBO Rate for such Interest Period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(b) the Statutory Reserve Rate.</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U.S. Bank National Association, in its capacity as administrative agent for the Lenders hereunder, and any successor in such capacity.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assigned to such term in the preamble.</w:t>
      </w:r>
    </w:p>
    <w:p>
      <w:pPr>
        <w:spacing w:after="0" w:line="21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Alternate Base Rate</w:t>
      </w:r>
      <w:r>
        <w:rPr>
          <w:rFonts w:ascii="Arial" w:cs="Arial" w:eastAsia="Arial" w:hAnsi="Arial"/>
          <w:sz w:val="20"/>
          <w:szCs w:val="20"/>
          <w:color w:val="auto"/>
        </w:rPr>
        <w:t xml:space="preserve">” means, for any day, a rate of interest per annum equal to the highest of (a) zero, (b) the Prime Rate for such day, (c) the sum of the Federal Funds Effective Rate for such day </w:t>
      </w:r>
      <w:r>
        <w:rPr>
          <w:rFonts w:ascii="Arial" w:cs="Arial" w:eastAsia="Arial" w:hAnsi="Arial"/>
          <w:sz w:val="20"/>
          <w:szCs w:val="20"/>
          <w:i w:val="1"/>
          <w:iCs w:val="1"/>
          <w:color w:val="auto"/>
        </w:rPr>
        <w:t>plus</w:t>
      </w:r>
      <w:r>
        <w:rPr>
          <w:rFonts w:ascii="Arial" w:cs="Arial" w:eastAsia="Arial" w:hAnsi="Arial"/>
          <w:sz w:val="20"/>
          <w:szCs w:val="20"/>
          <w:color w:val="auto"/>
        </w:rPr>
        <w:t xml:space="preserve"> 0.50% per annum and (d) the LIBO Rate (without giving effect to the Applicable Margin) for a one-month Interest Period on such day (or if such day is not a Business Day, the immediately preceding Business Day) for Dollars </w:t>
      </w:r>
      <w:r>
        <w:rPr>
          <w:rFonts w:ascii="Arial" w:cs="Arial" w:eastAsia="Arial" w:hAnsi="Arial"/>
          <w:sz w:val="20"/>
          <w:szCs w:val="20"/>
          <w:i w:val="1"/>
          <w:iCs w:val="1"/>
          <w:color w:val="auto"/>
        </w:rPr>
        <w:t>plus</w:t>
      </w:r>
      <w:r>
        <w:rPr>
          <w:rFonts w:ascii="Arial" w:cs="Arial" w:eastAsia="Arial" w:hAnsi="Arial"/>
          <w:sz w:val="20"/>
          <w:szCs w:val="20"/>
          <w:color w:val="auto"/>
        </w:rPr>
        <w:t xml:space="preserve"> 1.00%;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LIBO Rate for such day shall be based on the rate reported by the applicable financial information service at approximately 11:00 a.m. London time on such day. Any change in the Alternate Base Rate due to a change in the Prime Rate, the Federal Funds Effective Rate, or the LIBO Rate shall be effective from the effective date of such change. If the Alternate</w:t>
      </w:r>
    </w:p>
    <w:p>
      <w:pPr>
        <w:spacing w:after="0" w:line="200" w:lineRule="exact"/>
        <w:rPr>
          <w:sz w:val="20"/>
          <w:szCs w:val="20"/>
          <w:color w:val="auto"/>
        </w:rPr>
      </w:pPr>
    </w:p>
    <w:p>
      <w:pPr>
        <w:spacing w:after="0" w:line="207"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color w:val="auto"/>
        </w:rPr>
        <w:t>736653273 11074672</w:t>
      </w:r>
      <w:r>
        <w:rPr>
          <w:sz w:val="20"/>
          <w:szCs w:val="20"/>
          <w:color w:val="auto"/>
        </w:rPr>
        <w:tab/>
      </w:r>
      <w:r>
        <w:rPr>
          <w:rFonts w:ascii="Arial" w:cs="Arial" w:eastAsia="Arial" w:hAnsi="Arial"/>
          <w:sz w:val="14"/>
          <w:szCs w:val="14"/>
          <w:color w:val="auto"/>
        </w:rPr>
        <w:t>ALLETE TERM LOAN AGREEMENT</w:t>
      </w:r>
    </w:p>
    <w:p>
      <w:pPr>
        <w:sectPr>
          <w:pgSz w:w="11900" w:h="16838" w:orient="portrait"/>
          <w:cols w:equalWidth="0" w:num="1">
            <w:col w:w="11240"/>
          </w:cols>
          <w:pgMar w:left="320" w:top="118" w:right="339" w:bottom="1440" w:gutter="0" w:footer="0" w:header="0"/>
        </w:sectPr>
      </w:pPr>
    </w:p>
    <w:bookmarkStart w:id="52" w:name="page53"/>
    <w:bookmarkEnd w:id="52"/>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Base Rate is being used when Eurodollar Borrowings are unavailable pursuant to Section 3.4, then the Alternate Base Rate shall be the highest of clauses (a), (b) and (c) above, without reference to clause (d) above.</w:t>
      </w:r>
    </w:p>
    <w:p>
      <w:pPr>
        <w:spacing w:after="0" w:line="19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any of its Subsidiaries from time to time concerning or relating to bribery or corruption.</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Laws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4.12</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 with respect to any Eurodollar Loan, 1.70% and (b) with respect to any ABR Loan, 0.70%.</w:t>
      </w:r>
    </w:p>
    <w:p>
      <w:pPr>
        <w:spacing w:after="0" w:line="239" w:lineRule="exact"/>
        <w:rPr>
          <w:sz w:val="20"/>
          <w:szCs w:val="20"/>
          <w:color w:val="auto"/>
        </w:rPr>
      </w:pPr>
    </w:p>
    <w:p>
      <w:pPr>
        <w:jc w:val="both"/>
        <w:ind w:firstLine="45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Platform</w:t>
      </w:r>
      <w:r>
        <w:rPr>
          <w:rFonts w:ascii="Arial" w:cs="Arial" w:eastAsia="Arial" w:hAnsi="Arial"/>
          <w:sz w:val="20"/>
          <w:szCs w:val="20"/>
          <w:color w:val="auto"/>
        </w:rPr>
        <w:t>” means IntraLinks™, DebtDomain, SyndTrak, ClearPar or any other electronic platform chosen by the Administrative Agent to be its electronic transmission system.</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with respect to any Lender that is a fund that invests in commercial loans, any other fund that invests in commercial loans and is managed or advised by the same investment advisor as such Lender or by an Affiliate of such investment advisor.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Arranger</w:t>
      </w:r>
      <w:r>
        <w:rPr>
          <w:rFonts w:ascii="Arial" w:cs="Arial" w:eastAsia="Arial" w:hAnsi="Arial"/>
          <w:sz w:val="19"/>
          <w:szCs w:val="19"/>
          <w:color w:val="auto"/>
        </w:rPr>
        <w:t>” means U.S. Bank National Association, in its capacity as a sole Lead Arranger and Bookrunner hereunder.</w:t>
      </w:r>
    </w:p>
    <w:p>
      <w:pPr>
        <w:spacing w:after="0" w:line="22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and accepted by the Administrative Agent,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in such other form as shall be acceptable to the Administrative Agent.</w:t>
      </w:r>
    </w:p>
    <w:p>
      <w:pPr>
        <w:spacing w:after="0" w:line="18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means the period from and including July 1, 2020 to but excluding the earlier of the Maturity Date and, if different, the date of termination of the Delayed Draw Commitments.</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w:t>
      </w:r>
    </w:p>
    <w:p>
      <w:pPr>
        <w:spacing w:after="0" w:line="3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18" w:right="339" w:bottom="1440" w:gutter="0" w:footer="0" w:header="0"/>
        </w:sectPr>
      </w:pPr>
    </w:p>
    <w:bookmarkStart w:id="53" w:name="page54"/>
    <w:bookmarkEnd w:id="53"/>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xml:space="preserve">” means the sum of: (a) an alternative benchmark rate that has been selected by the Administrative Agent in consultation with the Borrower giving due consideration to (i) any selection or recommendation of a replacement rate or the mechanism for determining such a rate by the Relevant Governmental Body and (ii) any evolving or then-prevailing market convention for determining a rate of interest as a replacement to the LIBO Rate for U.S. syndicated credit facilities denominated in Dollars that are substantially similar to the credit facilities under this Agreement and (b) the Benchmark Replacement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Benchmark Replacement as so determined would be less than 0.75%, the Benchmark Replacement will be deemed to be 0.75% for the purposes of this Agreement.</w:t>
      </w:r>
    </w:p>
    <w:p>
      <w:pPr>
        <w:spacing w:after="0" w:line="19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w:t>
      </w:r>
      <w:r>
        <w:rPr>
          <w:rFonts w:ascii="Arial" w:cs="Arial" w:eastAsia="Arial" w:hAnsi="Arial"/>
          <w:sz w:val="18"/>
          <w:szCs w:val="18"/>
          <w:color w:val="auto"/>
        </w:rPr>
        <w:t>” means, with respect to any replacement under this Agreement of the LIBO Rate with an alternative benchmark rate, for each applicable Interest Period, the spread adjustment, or method for calculating or determining such spread adjustment, (which may be a positive or negative value or zero) that has been selected by the Administrative Agent in consultation with the Borrower giving due consideration to (a) any selection or recommendation of a spread adjustment, or method for calculating or determining such spread adjustment, for the replacement of the LIBO Rate with an alternative benchmark rate by the Relevant Governmental Body and (b) any evolving or then-prevailing market convention for determining a spread adjustment, or method for calculating or determining such spread adjustment, for the replacement of the LIBO Rate with an alternative benchmark rate at such time for U.S. syndicated credit facilities denominated in Dollars that are substantially similar to the credit facilities under this Agreement, which adjustment or method for calculating or determining such spread adjustment pursuant to clause (b) is published on an information service as selected by the Administrative Agent from time to time and as may be updated periodically.</w:t>
      </w:r>
    </w:p>
    <w:p>
      <w:pPr>
        <w:spacing w:after="0" w:line="17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“Alternate Base Rate,”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then-prevailing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the earliest to occur of the following events with respect to the LIBO Rate:</w:t>
      </w:r>
    </w:p>
    <w:p>
      <w:pPr>
        <w:spacing w:after="0" w:line="227" w:lineRule="exact"/>
        <w:rPr>
          <w:sz w:val="20"/>
          <w:szCs w:val="20"/>
          <w:color w:val="auto"/>
        </w:rPr>
      </w:pPr>
    </w:p>
    <w:p>
      <w:pPr>
        <w:ind w:left="3900" w:right="4240" w:hanging="2596"/>
        <w:spacing w:after="0" w:line="486" w:lineRule="auto"/>
        <w:tabs>
          <w:tab w:leader="none" w:pos="1708"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 the case of clauses (ii), (iii) or (iv) of Section 3.4(b), the later of: 3</w:t>
      </w:r>
    </w:p>
    <w:p>
      <w:pPr>
        <w:sectPr>
          <w:pgSz w:w="11900" w:h="16838" w:orient="portrait"/>
          <w:cols w:equalWidth="0" w:num="1">
            <w:col w:w="11240"/>
          </w:cols>
          <w:pgMar w:left="320" w:top="11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4</w:t>
      </w:r>
    </w:p>
    <w:p>
      <w:pPr>
        <w:spacing w:after="0" w:line="221" w:lineRule="exact"/>
        <w:rPr>
          <w:sz w:val="20"/>
          <w:szCs w:val="20"/>
          <w:color w:val="auto"/>
        </w:rPr>
      </w:pPr>
    </w:p>
    <w:p>
      <w:pPr>
        <w:ind w:left="2320" w:hanging="368"/>
        <w:spacing w:after="0"/>
        <w:tabs>
          <w:tab w:leader="none" w:pos="23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date of the public statement or publication of information referenced therein and</w:t>
      </w:r>
    </w:p>
    <w:p>
      <w:pPr>
        <w:spacing w:after="0" w:line="215" w:lineRule="exact"/>
        <w:rPr>
          <w:rFonts w:ascii="Arial" w:cs="Arial" w:eastAsia="Arial" w:hAnsi="Arial"/>
          <w:sz w:val="20"/>
          <w:szCs w:val="20"/>
          <w:color w:val="auto"/>
        </w:rPr>
      </w:pPr>
    </w:p>
    <w:p>
      <w:pPr>
        <w:ind w:left="2420" w:hanging="468"/>
        <w:spacing w:after="0"/>
        <w:tabs>
          <w:tab w:leader="none" w:pos="2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the administrator of the LIBO Rate permanently or indefinitely ceases to provide the LIBO</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Rate;</w:t>
      </w:r>
    </w:p>
    <w:p>
      <w:pPr>
        <w:spacing w:after="0" w:line="200" w:lineRule="exact"/>
        <w:rPr>
          <w:sz w:val="20"/>
          <w:szCs w:val="20"/>
          <w:color w:val="auto"/>
        </w:rPr>
      </w:pPr>
    </w:p>
    <w:p>
      <w:pPr>
        <w:ind w:left="1720" w:hanging="416"/>
        <w:spacing w:after="0"/>
        <w:tabs>
          <w:tab w:leader="none" w:pos="1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the case of clause (i) of Section 3.4(b), the earlier of</w:t>
      </w:r>
    </w:p>
    <w:p>
      <w:pPr>
        <w:spacing w:after="0" w:line="15" w:lineRule="exact"/>
        <w:rPr>
          <w:rFonts w:ascii="Arial" w:cs="Arial" w:eastAsia="Arial" w:hAnsi="Arial"/>
          <w:sz w:val="20"/>
          <w:szCs w:val="20"/>
          <w:color w:val="auto"/>
        </w:rPr>
      </w:pPr>
    </w:p>
    <w:p>
      <w:pPr>
        <w:ind w:left="2320" w:hanging="368"/>
        <w:spacing w:after="0"/>
        <w:tabs>
          <w:tab w:leader="none" w:pos="2320" w:val="left"/>
        </w:tabs>
        <w:numPr>
          <w:ilvl w:val="1"/>
          <w:numId w:val="18"/>
        </w:numPr>
        <w:rPr>
          <w:rFonts w:ascii="Arial" w:cs="Arial" w:eastAsia="Arial" w:hAnsi="Arial"/>
          <w:sz w:val="20"/>
          <w:szCs w:val="20"/>
          <w:color w:val="auto"/>
        </w:rPr>
      </w:pPr>
      <w:r>
        <w:rPr>
          <w:rFonts w:ascii="Arial" w:cs="Arial" w:eastAsia="Arial" w:hAnsi="Arial"/>
          <w:sz w:val="20"/>
          <w:szCs w:val="20"/>
          <w:color w:val="auto"/>
        </w:rPr>
        <w:t>the date of the public statement or publication of information referenced therein; and</w:t>
      </w:r>
    </w:p>
    <w:p>
      <w:pPr>
        <w:spacing w:after="0" w:line="199" w:lineRule="exact"/>
        <w:rPr>
          <w:rFonts w:ascii="Arial" w:cs="Arial" w:eastAsia="Arial" w:hAnsi="Arial"/>
          <w:sz w:val="20"/>
          <w:szCs w:val="20"/>
          <w:color w:val="auto"/>
        </w:rPr>
      </w:pPr>
    </w:p>
    <w:p>
      <w:pPr>
        <w:jc w:val="both"/>
        <w:ind w:left="1300" w:firstLine="652"/>
        <w:spacing w:after="0" w:line="250" w:lineRule="auto"/>
        <w:tabs>
          <w:tab w:leader="none" w:pos="2518" w:val="left"/>
        </w:tabs>
        <w:numPr>
          <w:ilvl w:val="1"/>
          <w:numId w:val="18"/>
        </w:numPr>
        <w:rPr>
          <w:rFonts w:ascii="Arial" w:cs="Arial" w:eastAsia="Arial" w:hAnsi="Arial"/>
          <w:sz w:val="20"/>
          <w:szCs w:val="20"/>
          <w:color w:val="auto"/>
        </w:rPr>
      </w:pPr>
      <w:r>
        <w:rPr>
          <w:rFonts w:ascii="Arial" w:cs="Arial" w:eastAsia="Arial" w:hAnsi="Arial"/>
          <w:sz w:val="20"/>
          <w:szCs w:val="20"/>
          <w:color w:val="auto"/>
        </w:rPr>
        <w:t>the date specified by the Administrative Agent or the Required Lenders, as applicable, by notice to the Borrower, the Administrative Agent (in the case of such determination and notice by the Required Lenders) and the Lenders; or</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7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the case of clause (v) of Section 3.4(b), the date specified by the Administrative Agent or the Required Lenders, as applicable, by notice to the Borrower, the Administrative Agent (in the case of such determination and notice by the Required Lenders) and the Lenders.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is defined in Section 3.4(b).</w:t>
      </w:r>
    </w:p>
    <w:p>
      <w:pPr>
        <w:spacing w:after="0" w:line="21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means, if a Benchmark Transition Event and its related Benchmark Replacement Date have occurred with respect to the LIBO Rate and solely to the extent that the LIBO Rate has not been replaced hereunder with a Benchmark Replacement, the period (y) beginning at the time that such Benchmark Replacement Date has occurred if, at such time, no Benchmark Replacement has replaced the LIBO Rate for all purposes under this Agreement and the other Loan Documents in accordance with Section 3.4(b) and (z) ending at the time that a Benchmark Replacement has replaced the LIBO Rate for all purposes under this Agreement and the other Loan Documents pursuant to Section 3.4(b).</w:t>
      </w:r>
    </w:p>
    <w:p>
      <w:pPr>
        <w:spacing w:after="0" w:line="17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or control as required by the Beneficial Ownership Regulation.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9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means ALLETE, Inc., a Minnesota corporation.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Financial Statements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4.4(a)</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18" w:right="339" w:bottom="1440" w:gutter="0" w:footer="0" w:header="0"/>
        </w:sectPr>
      </w:pPr>
    </w:p>
    <w:bookmarkStart w:id="55" w:name="page56"/>
    <w:bookmarkEnd w:id="55"/>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Loans of the same Type made, converted or continued on the same date and, in the case of Eurodollar Loans, as to which a single Interest Period is in effect.</w:t>
      </w:r>
    </w:p>
    <w:p>
      <w:pPr>
        <w:spacing w:after="0" w:line="17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Eurodollar Loan, the term “Business Day” shall also exclude any day on which banks are not open for dealings in dollar deposits in the London interbank market.</w:t>
      </w:r>
    </w:p>
    <w:p>
      <w:pPr>
        <w:spacing w:after="0" w:line="15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 Obligations</w:t>
      </w:r>
      <w:r>
        <w:rPr>
          <w:rFonts w:ascii="Arial" w:cs="Arial" w:eastAsia="Arial" w:hAnsi="Arial"/>
          <w:sz w:val="20"/>
          <w:szCs w:val="20"/>
          <w:color w:val="auto"/>
        </w:rPr>
        <w:t>” means with respect to any Person, obligations of such Person to pay rent or other amounts under any lease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provided that no power purchase agreement shall constitute a Capital Lease Obligation.</w:t>
      </w:r>
    </w:p>
    <w:p>
      <w:pPr>
        <w:spacing w:after="0" w:line="194" w:lineRule="exact"/>
        <w:rPr>
          <w:sz w:val="20"/>
          <w:szCs w:val="20"/>
          <w:color w:val="auto"/>
        </w:rPr>
      </w:pPr>
    </w:p>
    <w:p>
      <w:pPr>
        <w:jc w:val="both"/>
        <w:ind w:firstLine="1296"/>
        <w:spacing w:after="0" w:line="232"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(a) the consummation of any transaction the result of which is that any “person” or “group” (within the meaning of Section 13(d)(3) of the Securities Exchange Act of 1934 but excluding any employee benefit plan of the Borrower or its Subsidiaries, and any Person acting in its capacity as trustee, agent or other fiduciary or administrator of any such plan) becomes the “beneficial owner” (as such term is defined in Rule 13d</w:t>
      </w:r>
      <w:r>
        <w:rPr>
          <w:rFonts w:ascii="MS PGothic" w:cs="MS PGothic" w:eastAsia="MS PGothic" w:hAnsi="MS PGothic"/>
          <w:sz w:val="18"/>
          <w:szCs w:val="18"/>
          <w:color w:val="auto"/>
        </w:rPr>
        <w:t>‑</w:t>
      </w:r>
      <w:r>
        <w:rPr>
          <w:rFonts w:ascii="Arial" w:cs="Arial" w:eastAsia="Arial" w:hAnsi="Arial"/>
          <w:sz w:val="18"/>
          <w:szCs w:val="18"/>
          <w:color w:val="auto"/>
        </w:rPr>
        <w:t>3 under the Securities Exchange Act of 1934) of more than 30% of the total voting power in the aggregate of all classes of the Voting Securities of the Borrower then outstanding, (b) during any period of two consecutive calendar years, individuals who at the beginning of such period constituted the board of directors of the Borrower cease for any reason to constitute a majority of the directors of the Borrower then in office unless (i) such new directors were elected or nominated by a majority of the directors of the Borrower who constituted the board of directors of the Borrower at the beginning of such period or (ii) the reason for such directors failing to constitute a majority is a result of retirement by directors due to age, death or disability or (c) any event or condition relating to a change of control of the Borrower shall occur which requires or permits the holder or holders of indebtedness of the Borrower in an aggregate principal amount of $35,000,000 or more, or any agent or trustee for such holders, to require payment, purchase, redemption or defeasance of such indebtedness prior to its expressed maturity.</w:t>
      </w:r>
    </w:p>
    <w:p>
      <w:pPr>
        <w:spacing w:after="0" w:line="19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any United States or foreign regulatory authority, in each case pursuant to Basel III, shall, in each case referred to in the foregoing </w:t>
      </w:r>
      <w:r>
        <w:rPr>
          <w:rFonts w:ascii="Arial" w:cs="Arial" w:eastAsia="Arial" w:hAnsi="Arial"/>
          <w:sz w:val="19"/>
          <w:szCs w:val="19"/>
          <w:u w:val="single" w:color="auto"/>
          <w:color w:val="auto"/>
        </w:rPr>
        <w:t>clauses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be deemed to be a “Change in Law”, regardless of the date enacted, adopted or issued.</w:t>
      </w:r>
    </w:p>
    <w:p>
      <w:pPr>
        <w:spacing w:after="0" w:line="18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when used in reference to (a) any Loan or Borrowing, refers to whether such Loan, or the Loans comprising such Borrowing, are Effective Date Term Loans, Delayed Draw Term Loans or Incremental Term Loans, (b) any Commitment, refers to whether such Commitment is a Effective</w:t>
      </w: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18" w:right="339" w:bottom="1440" w:gutter="0" w:footer="0" w:header="0"/>
        </w:sectPr>
      </w:pPr>
    </w:p>
    <w:bookmarkStart w:id="56" w:name="page57"/>
    <w:bookmarkEnd w:id="56"/>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Date Commitment, a Delayed Draw Commitment or Incremental Commitment, and (c) any Lender, refers to whether such Lender has a Loan or Commitment of a particular Class.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CoBank</w:t>
      </w:r>
      <w:r>
        <w:rPr>
          <w:rFonts w:ascii="Arial" w:cs="Arial" w:eastAsia="Arial" w:hAnsi="Arial"/>
          <w:sz w:val="20"/>
          <w:szCs w:val="20"/>
          <w:color w:val="auto"/>
        </w:rPr>
        <w:t>” means CoBank ACB.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CoBank Equities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10.17(a)</w:t>
      </w:r>
      <w:r>
        <w:rPr>
          <w:rFonts w:ascii="Arial" w:cs="Arial" w:eastAsia="Arial" w:hAnsi="Arial"/>
          <w:sz w:val="20"/>
          <w:szCs w:val="20"/>
          <w:color w:val="auto"/>
        </w:rPr>
        <w:t>.</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Co-Documentation Agent</w:t>
      </w:r>
      <w:r>
        <w:rPr>
          <w:rFonts w:ascii="Arial" w:cs="Arial" w:eastAsia="Arial" w:hAnsi="Arial"/>
          <w:sz w:val="20"/>
          <w:szCs w:val="20"/>
          <w:color w:val="auto"/>
        </w:rPr>
        <w:t>” means each of CoBank, JPMorgan Chase Bank, N.A. and Bank of America, N.A. in their capacity as a Co-Documentation Agent hereunder.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with respect to each Lender, the commitment of such Lender to make its Loans hereunder.</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Assets</w:t>
      </w:r>
      <w:r>
        <w:rPr>
          <w:rFonts w:ascii="Arial" w:cs="Arial" w:eastAsia="Arial" w:hAnsi="Arial"/>
          <w:sz w:val="20"/>
          <w:szCs w:val="20"/>
          <w:color w:val="auto"/>
        </w:rPr>
        <w:t>” means the total amount of assets shown on the consolidated balance sheet of the Borrower and its Subsidiaries, determined in accordance with GAAP and prepared as of the end of the fiscal quarter then most recently ended for which financial statements have been filed with the SEC.</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216" w:lineRule="exact"/>
        <w:rPr>
          <w:sz w:val="20"/>
          <w:szCs w:val="20"/>
          <w:color w:val="auto"/>
        </w:rPr>
      </w:pPr>
    </w:p>
    <w:p>
      <w:pPr>
        <w:ind w:left="2320" w:hanging="368"/>
        <w:spacing w:after="0"/>
        <w:tabs>
          <w:tab w:leader="none" w:pos="23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 C.F.R. § 252.82(b);</w:t>
      </w:r>
    </w:p>
    <w:p>
      <w:pPr>
        <w:spacing w:after="0" w:line="227" w:lineRule="exact"/>
        <w:rPr>
          <w:rFonts w:ascii="Arial" w:cs="Arial" w:eastAsia="Arial" w:hAnsi="Arial"/>
          <w:sz w:val="19"/>
          <w:szCs w:val="19"/>
          <w:color w:val="auto"/>
        </w:rPr>
      </w:pPr>
    </w:p>
    <w:p>
      <w:pPr>
        <w:ind w:left="2380" w:hanging="428"/>
        <w:spacing w:after="0"/>
        <w:tabs>
          <w:tab w:leader="none" w:pos="23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 or</w:t>
      </w:r>
    </w:p>
    <w:p>
      <w:pPr>
        <w:spacing w:after="0" w:line="227" w:lineRule="exact"/>
        <w:rPr>
          <w:rFonts w:ascii="Arial" w:cs="Arial" w:eastAsia="Arial" w:hAnsi="Arial"/>
          <w:sz w:val="19"/>
          <w:szCs w:val="19"/>
          <w:color w:val="auto"/>
        </w:rPr>
      </w:pPr>
    </w:p>
    <w:p>
      <w:pPr>
        <w:ind w:left="1300" w:right="920" w:firstLine="652"/>
        <w:spacing w:after="0" w:line="464" w:lineRule="auto"/>
        <w:tabs>
          <w:tab w:leader="none" w:pos="2425"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 “</w:t>
      </w:r>
      <w:r>
        <w:rPr>
          <w:rFonts w:ascii="Arial" w:cs="Arial" w:eastAsia="Arial" w:hAnsi="Arial"/>
          <w:sz w:val="20"/>
          <w:szCs w:val="20"/>
          <w:u w:val="single" w:color="auto"/>
          <w:color w:val="auto"/>
        </w:rPr>
        <w:t>Credit Parties</w:t>
      </w:r>
      <w:r>
        <w:rPr>
          <w:rFonts w:ascii="Arial" w:cs="Arial" w:eastAsia="Arial" w:hAnsi="Arial"/>
          <w:sz w:val="20"/>
          <w:szCs w:val="20"/>
          <w:color w:val="auto"/>
        </w:rPr>
        <w:t>” means the Administrative Agent and the Lenders.</w:t>
      </w:r>
    </w:p>
    <w:p>
      <w:pPr>
        <w:spacing w:after="0" w:line="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Request</w:t>
      </w:r>
      <w:r>
        <w:rPr>
          <w:rFonts w:ascii="Arial" w:cs="Arial" w:eastAsia="Arial" w:hAnsi="Arial"/>
          <w:sz w:val="20"/>
          <w:szCs w:val="20"/>
          <w:color w:val="auto"/>
        </w:rPr>
        <w:t xml:space="preserve">” means a Credit Request,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or in such other form as shall be acceptable to the Administrative Agent.</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18" w:right="339" w:bottom="1440" w:gutter="0" w:footer="0" w:header="0"/>
        </w:sectPr>
      </w:pPr>
    </w:p>
    <w:bookmarkStart w:id="57" w:name="page58"/>
    <w:bookmarkEnd w:id="57"/>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upon notice, lapse of time or both would, unless cured or waived, become an Event of Default.</w:t>
      </w:r>
    </w:p>
    <w:p>
      <w:pPr>
        <w:spacing w:after="0" w:line="177"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ind w:firstLine="129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as determined by the Administrative Agent (or if the Administrative Agent is the Defaulting Lender, by the Required Lenders), that (a) has failed, within three (3) Business Days of the date required to be funded or paid, to</w:t>
      </w:r>
    </w:p>
    <w:p>
      <w:pPr>
        <w:spacing w:after="0" w:line="1" w:lineRule="exact"/>
        <w:rPr>
          <w:sz w:val="20"/>
          <w:szCs w:val="20"/>
          <w:color w:val="auto"/>
        </w:rPr>
      </w:pPr>
    </w:p>
    <w:p>
      <w:pPr>
        <w:jc w:val="both"/>
        <w:ind w:firstLine="8"/>
        <w:spacing w:after="0" w:line="266" w:lineRule="auto"/>
        <w:tabs>
          <w:tab w:leader="none" w:pos="2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fund any portion of its Loans or (ii) pay over to any Credit Party any other amount required to be paid by it hereunder, unless,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w:t>
      </w:r>
    </w:p>
    <w:p>
      <w:pPr>
        <w:jc w:val="both"/>
        <w:ind w:firstLine="8"/>
        <w:spacing w:after="0" w:line="266" w:lineRule="auto"/>
        <w:tabs>
          <w:tab w:leader="none" w:pos="2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has notified the Borrower or any Credit Party in writing, or has made a public statement to the effect, that it does not intend or expect to comply with any of its funding obligations under this Agreement) or generally under other agreements in which it commits to extend credit,</w:t>
      </w:r>
    </w:p>
    <w:p>
      <w:pPr>
        <w:jc w:val="both"/>
        <w:ind w:firstLine="8"/>
        <w:spacing w:after="0" w:line="274" w:lineRule="auto"/>
        <w:tabs>
          <w:tab w:leader="none" w:pos="274"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has failed, within three (3) Business Days after request by a Credit Party (based on the reasonable belief that it may not fulfill its funding obligation), acting in good faith, to provide a certification in writing from an authorized officer of such Lender that it will comply with its obligations (and is financially able to meet such obligations) to fund prospective Loans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such Credit Party’s receipt of such certification in form and substance satisfactory to it and the Administrative Agent, or (d) has become the subject of (A) a Bankruptcy Event or (B) a Bail-In Action.</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Draw Commitment</w:t>
      </w:r>
      <w:r>
        <w:rPr>
          <w:rFonts w:ascii="Arial" w:cs="Arial" w:eastAsia="Arial" w:hAnsi="Arial"/>
          <w:sz w:val="19"/>
          <w:szCs w:val="19"/>
          <w:color w:val="auto"/>
        </w:rPr>
        <w:t xml:space="preserve">” means, with respect to each Lender, the commitment, if any, of such Lender to make a Delayed Draw Term Loan expressed as an amount representing the maximum principal amount of the Delayed Draw Term Loans to be made by such Lender, as such commitment may be reduced from time to time pursuant to (a)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and (b) assignments by or to such Lenders pursuant to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The initial amount of each Lender’s Delayed Draw Term Commitment is set forth on </w:t>
      </w:r>
      <w:r>
        <w:rPr>
          <w:rFonts w:ascii="Arial" w:cs="Arial" w:eastAsia="Arial" w:hAnsi="Arial"/>
          <w:sz w:val="19"/>
          <w:szCs w:val="19"/>
          <w:u w:val="single" w:color="auto"/>
          <w:color w:val="auto"/>
        </w:rPr>
        <w:t>Schedule 2.1</w:t>
      </w:r>
      <w:r>
        <w:rPr>
          <w:rFonts w:ascii="Arial" w:cs="Arial" w:eastAsia="Arial" w:hAnsi="Arial"/>
          <w:sz w:val="19"/>
          <w:szCs w:val="19"/>
          <w:color w:val="auto"/>
        </w:rPr>
        <w:t xml:space="preserve"> or in the Assignment and Assumption pursuant to which such Lender shall have assumed its Delayed Draw Commitment, as applicable. The aggregate amount of the Lenders’ Delayed Draw Commitment on the Effective Date is $20,000,000.</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Lender</w:t>
      </w:r>
      <w:r>
        <w:rPr>
          <w:rFonts w:ascii="Arial" w:cs="Arial" w:eastAsia="Arial" w:hAnsi="Arial"/>
          <w:sz w:val="18"/>
          <w:szCs w:val="18"/>
          <w:color w:val="auto"/>
        </w:rPr>
        <w:t>” means a Lender having a Delayed Draw Commitment or an outstanding Delayed Draw Term Loan.</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Term Loan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2.1(b)</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Disclosed Matters</w:t>
      </w:r>
      <w:r>
        <w:rPr>
          <w:rFonts w:ascii="Arial" w:cs="Arial" w:eastAsia="Arial" w:hAnsi="Arial"/>
          <w:sz w:val="20"/>
          <w:szCs w:val="20"/>
          <w:color w:val="auto"/>
        </w:rPr>
        <w:t xml:space="preserve">” means the actions, suits, proceedings and environmental matters disclosed in (a) </w:t>
      </w:r>
      <w:r>
        <w:rPr>
          <w:rFonts w:ascii="Arial" w:cs="Arial" w:eastAsia="Arial" w:hAnsi="Arial"/>
          <w:sz w:val="20"/>
          <w:szCs w:val="20"/>
          <w:u w:val="single" w:color="auto"/>
          <w:color w:val="auto"/>
        </w:rPr>
        <w:t>Schedule 4.5/4.6</w:t>
      </w:r>
      <w:r>
        <w:rPr>
          <w:rFonts w:ascii="Arial" w:cs="Arial" w:eastAsia="Arial" w:hAnsi="Arial"/>
          <w:sz w:val="20"/>
          <w:szCs w:val="20"/>
          <w:color w:val="auto"/>
        </w:rPr>
        <w:t>, (b) the current and periodic reports filed by the Borrower from time to time with the SEC pursuant to the requirements of the Securities Exchange Act of 1934 and the rules and regulations promulgated thereunder, or (c) disclosed by the Borrower to the Lenders (either directly or indirectly through the Administrative Agent) in writing.</w:t>
      </w:r>
    </w:p>
    <w:p>
      <w:pPr>
        <w:spacing w:after="0" w:line="191"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Stock</w:t>
      </w:r>
      <w:r>
        <w:rPr>
          <w:rFonts w:ascii="Arial" w:cs="Arial" w:eastAsia="Arial" w:hAnsi="Arial"/>
          <w:sz w:val="18"/>
          <w:szCs w:val="18"/>
          <w:color w:val="auto"/>
        </w:rPr>
        <w:t>” means any Equity Interest that, by its terms (or by the terms of any security into which it is convertible or for which it is exchangeable at the option of the holder thereof), or upon the happening of any event, matures (excluding any maturity as a result of an optional redemption by the issuer thereof) or is mandatorily redeemable, pursuant to a sinking fund obligation or otherwise, or is redeemable at the unconditional sole option of the holder thereof (other than solely for Equity Interests</w:t>
      </w:r>
    </w:p>
    <w:p>
      <w:pPr>
        <w:spacing w:after="0" w:line="3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1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4</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that do not constitute Disqualified Stock), in whole or in part, on or prior to the date that is 180 days after the Maturity Date.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United States of America.</w:t>
      </w:r>
    </w:p>
    <w:p>
      <w:pPr>
        <w:spacing w:after="0" w:line="21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7"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April 8, 2020.</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 Commitment</w:t>
      </w:r>
      <w:r>
        <w:rPr>
          <w:rFonts w:ascii="Arial" w:cs="Arial" w:eastAsia="Arial" w:hAnsi="Arial"/>
          <w:sz w:val="20"/>
          <w:szCs w:val="20"/>
          <w:color w:val="auto"/>
        </w:rPr>
        <w:t xml:space="preserve">” means, with respect to each Lender, the commitment, if any, of such Lender to make an Effective Date Term Loan expressed as an amount representing the maximum principal amount of the Effective Date Term Loans to be made by such Lender. The initial amount of each Lender’s Effective Date Term Commitment is set forth on </w:t>
      </w:r>
      <w:r>
        <w:rPr>
          <w:rFonts w:ascii="Arial" w:cs="Arial" w:eastAsia="Arial" w:hAnsi="Arial"/>
          <w:sz w:val="20"/>
          <w:szCs w:val="20"/>
          <w:u w:val="single" w:color="auto"/>
          <w:color w:val="auto"/>
        </w:rPr>
        <w:t>Schedule 2.1</w:t>
      </w:r>
      <w:r>
        <w:rPr>
          <w:rFonts w:ascii="Arial" w:cs="Arial" w:eastAsia="Arial" w:hAnsi="Arial"/>
          <w:sz w:val="20"/>
          <w:szCs w:val="20"/>
          <w:color w:val="auto"/>
        </w:rPr>
        <w:t>. The aggregate amount of the Lenders’ Effective Date Commitment on the Effective Date is $95,000,000.</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 Lender</w:t>
      </w:r>
      <w:r>
        <w:rPr>
          <w:rFonts w:ascii="Arial" w:cs="Arial" w:eastAsia="Arial" w:hAnsi="Arial"/>
          <w:sz w:val="18"/>
          <w:szCs w:val="18"/>
          <w:color w:val="auto"/>
        </w:rPr>
        <w:t>” means a Lender having an Effective Date Commitment or an outstanding Effective Date Term Loan.</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 Term Loan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2.1(a)</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77"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Assignees</w:t>
      </w:r>
      <w:r>
        <w:rPr>
          <w:rFonts w:ascii="Arial" w:cs="Arial" w:eastAsia="Arial" w:hAnsi="Arial"/>
          <w:sz w:val="20"/>
          <w:szCs w:val="20"/>
          <w:color w:val="auto"/>
        </w:rPr>
        <w:t xml:space="preserve">” means any of the following (a) any commercial banks, finance companies, insurance companies and other financial institutions and funds (whether a corporation, partnership or other entity) engaged generally in making, purchasing or otherwise investing in commercial loans in the ordinary course of its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unless such entity is a Lender or an Affiliate of a Lender, such entity has been approved by the Administrative Agent and, unless an Event of Default has occurred and is continuing at the time of assignment to such entity, the Borrower (each such approval not to be unreasonably withheld or delayed),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any such entity shall be entitled, as of the date such entity becomes a Lender, to receive payments under its Note without deduction or withholding with respect to United States federal income tax, (b) each of the Lenders and (c) any Affiliate or Approved Fund of a Lender, and each is an “Eligible Assignee”.</w:t>
      </w: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18" w:right="339" w:bottom="1440" w:gutter="0" w:footer="0" w:header="0"/>
        </w:sectPr>
      </w:pPr>
    </w:p>
    <w:bookmarkStart w:id="59" w:name="page60"/>
    <w:bookmarkEnd w:id="59"/>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w:t>
      </w:r>
      <w:r>
        <w:rPr>
          <w:rFonts w:ascii="Arial" w:cs="Arial" w:eastAsia="Arial" w:hAnsi="Arial"/>
          <w:sz w:val="20"/>
          <w:szCs w:val="20"/>
          <w:color w:val="auto"/>
        </w:rPr>
        <w:t>” means any and all applicable present and future treaties, laws, rules, regulations, codes, ordinances, orders, decrees, judgments, injunctions, notices or binding agreements issued, promulgated or entered into by or with any Governmental Authority, relating in any way to the environment, preservation or reclamation of natural resources, the presence, management, release or threatened release of any Hazardous Material or to health and safety matters.</w:t>
      </w:r>
    </w:p>
    <w:p>
      <w:pPr>
        <w:spacing w:after="0" w:line="191"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xml:space="preserve">” means (a) shares of corporate stock, partnership interests, limited liability company membership interests, and any other interest that confers on a Person the right to receive a share of the profits and losses of, or distribution of assets of, the issuing Person, and (b) all warrants, options or other rights to acquire any Equity Interest set forth in the foregoing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the Borrower or any Subsidiary, is treated as a single employer under Section 414(b) or (c) of the Code or, solely for purposes of Section 302 of ERISA and Section 412 of the Code, is treated as a single employer under Section 414 of the Code.</w:t>
      </w:r>
    </w:p>
    <w:p>
      <w:pPr>
        <w:spacing w:after="0" w:line="18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 day notice period is waived), (b) any failure to satisfy the minimum funding standards of Section 412 of the Code or Section 302 of ERISA with respect to any Plan, whether or not waived, (c) the incurrence by the Borrower, any Subsidiary or any ERISA Affiliate of any liability under Title IV of ERISA with respect to the termination of any Plan, (d) the receipt by the Borrower, any Subsidiary or any ERISA Affiliate from the PBGC or a plan administrator of any notice relating to an intention to terminate any Plan or Plans or to appoint a trustee to administer any Plan, (e) the incurrence by the Borrower, any Subsidiary or any ERISA Affiliate of any liability with respect to the withdrawal or partial withdrawal from any Plan or Multiemployer Plan or (f) the receipt by the Borrower, any Subsidiary or any ERISA Affiliate of any notice, or the receipt by any Multiemployer Plan from the Borrower, any Subsidiary or any ERISA Affiliate of any notice, concerning the imposition of Withdrawal Liability or a determination that a Multiemployer Plan is, or is expected to be, insolvent or in reorganization, within the meaning of Title IV of ERISA.</w:t>
      </w:r>
    </w:p>
    <w:p>
      <w:pPr>
        <w:spacing w:after="0" w:line="17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w:t>
      </w:r>
      <w:r>
        <w:rPr>
          <w:rFonts w:ascii="Arial" w:cs="Arial" w:eastAsia="Arial" w:hAnsi="Arial"/>
          <w:sz w:val="20"/>
          <w:szCs w:val="20"/>
          <w:color w:val="auto"/>
        </w:rPr>
        <w:t xml:space="preserve">”, when used in reference to any Loan or Borrowing, refers to whether such Loan, or the Loans comprising such Borrowing, are bearing interest at a rate determined by reference to the Adjusted LIBO Rate. For the avoidance of doubt, a Loan that bears interest at a rate determined pursuant to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of the definition of Alternate Base Rate shall, for all purposes of this Agreement, be deemed to be an ABR Loan and not a Eurodollar Loan.</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Article 8</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w:t>
      </w:r>
    </w:p>
    <w:p>
      <w:pPr>
        <w:spacing w:after="0" w:line="39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18" w:right="339" w:bottom="1440" w:gutter="0" w:footer="0" w:header="0"/>
        </w:sectPr>
      </w:pPr>
    </w:p>
    <w:bookmarkStart w:id="60" w:name="page61"/>
    <w:bookmarkEnd w:id="60"/>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20"/>
          <w:szCs w:val="20"/>
          <w:u w:val="single" w:color="auto"/>
          <w:color w:val="auto"/>
        </w:rPr>
        <w:t>Section 3.8(b)</w:t>
      </w:r>
      <w:r>
        <w:rPr>
          <w:rFonts w:ascii="Arial" w:cs="Arial" w:eastAsia="Arial" w:hAnsi="Arial"/>
          <w:sz w:val="20"/>
          <w:szCs w:val="20"/>
          <w:color w:val="auto"/>
        </w:rPr>
        <w:t xml:space="preserve">) or (ii) such Lender changes its lending office, except in each case to the extent that, pursuant to </w:t>
      </w: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w:t>
      </w:r>
      <w:r>
        <w:rPr>
          <w:rFonts w:ascii="Arial" w:cs="Arial" w:eastAsia="Arial" w:hAnsi="Arial"/>
          <w:sz w:val="20"/>
          <w:szCs w:val="20"/>
          <w:u w:val="single" w:color="auto"/>
          <w:color w:val="auto"/>
        </w:rPr>
        <w:t>Section 3.7(f)</w:t>
      </w:r>
      <w:r>
        <w:rPr>
          <w:rFonts w:ascii="Arial" w:cs="Arial" w:eastAsia="Arial" w:hAnsi="Arial"/>
          <w:sz w:val="20"/>
          <w:szCs w:val="20"/>
          <w:color w:val="auto"/>
        </w:rPr>
        <w:t>, and (d) any withholding Taxes imposed under FATCA.</w:t>
      </w:r>
    </w:p>
    <w:p>
      <w:pPr>
        <w:spacing w:after="0" w:line="19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means, for any day, the greater of (a) zero and (b) the rate per annum calculated by the Federal Reserve Bank of New York based on such day’s federal funds transactions by depository institutions (as determined in such manner as the Federal Reserve Bank of New York shall set forth on the Federal Reserve Bank of New York’s Website from time to time) and published on the next succeeding Business Day by the Federal Reserve Bank of New York as the federal funds effective rate or, if such rate is not so published for any day which is a Business Day, the average of the quotations at approximately 10:00 a.m. (Central time) on such day on such transactions received by the Administrative Agent from three federal funds brokers of recognized standing selected by the Administrative Agent in its sole discretion.</w:t>
      </w:r>
    </w:p>
    <w:p>
      <w:pPr>
        <w:spacing w:after="0" w:line="16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Reserve Bank of New York’s Website</w:t>
      </w:r>
      <w:r>
        <w:rPr>
          <w:rFonts w:ascii="Arial" w:cs="Arial" w:eastAsia="Arial" w:hAnsi="Arial"/>
          <w:sz w:val="20"/>
          <w:szCs w:val="20"/>
          <w:color w:val="auto"/>
        </w:rPr>
        <w:t>” means the website of the Federal Reserve Bank of New York at http://www.newyorkfed.org, or any successor source.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 the Borrower.</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Ratings Inc., or any successor thereto.</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generally accepted accounting principles set forth in the opinions and pronouncements of the Accounting Principles Board and the American Institute of Certified Public Accountants and in the statements and pronouncements of the Financial Accounting Standards Board or in such other statement by such other entity as may be approved by a significant segment of the accounting profession, which are applicable to the circumstances as of the date of determination, consistently applied;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Borrower converts to use the International Financial Reporting Standards by the International Accounting Standards Board or other method of accounting, as may hereafter be required or permitted by the SEC, then the term “GAAP” as used in this Agreement shall be deemed to mean and refer to such International Financial Reporting Standards or such other method of accounting instead, which are applicable to the circumstances as of the date of determination, consistently applied.</w:t>
      </w:r>
    </w:p>
    <w:p>
      <w:pPr>
        <w:spacing w:after="0" w:line="39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18" w:right="339" w:bottom="1440" w:gutter="0" w:footer="0" w:header="0"/>
        </w:sectPr>
      </w:pPr>
    </w:p>
    <w:bookmarkStart w:id="61" w:name="page62"/>
    <w:bookmarkEnd w:id="61"/>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commission, exchange, association, board, authority, instrumentality, regulatory body, court, central bank or other entity exercising executive, legislative, judicial, taxing, regulatory or administrative powers or functions of or pertaining to government (including supranational bodies such as the European Union or European Central Bank).</w:t>
      </w:r>
    </w:p>
    <w:p>
      <w:pPr>
        <w:spacing w:after="0" w:line="16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 The term “Guaranteed” has a meaning correlative thereto. The amount of any Guarantee of a Person shall be deemed to be an amount equal to the stated or determinable amount of the primary obligation in respect of which such Guarantee is made (or, if less, the maximum amount of such primary obligation for which such Person may be liable pursuant to the terms of the instrument evidencing such Guarantee) or, if not stated or determinable, the maximum reasonably anticipated liability in respect thereof as determined by such Person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in this definition to the contrary, the amount of any Guarantee of a Person in respect of any Permitted Hedge Agreement by any other Person with a counterparty shall be deemed to be the maximum reasonably anticipated liability of such other Person, as determined in good faith by such Person, net of any obligation or liability of such counterparty in respect of any Permitted Hedge Agreement with such Person,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obligations of such other Person under such Permitted Hedge Agreement with such counterparty shall be terminable at the election of such other Person in the event of a default by such counterparty in its obligations to such other Person.</w:t>
      </w:r>
    </w:p>
    <w:p>
      <w:pPr>
        <w:spacing w:after="0" w:line="183"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5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Agreement</w:t>
      </w:r>
      <w:r>
        <w:rPr>
          <w:rFonts w:ascii="Arial" w:cs="Arial" w:eastAsia="Arial" w:hAnsi="Arial"/>
          <w:sz w:val="19"/>
          <w:szCs w:val="19"/>
          <w:color w:val="auto"/>
        </w:rPr>
        <w:t>” means any interest rate protection agreement, foreign currency exchange agreement, commodity price protection agreement or other interest rate, currency exchange rate or commodity price hedge, future, forward, swap, option, cap, floor, collar or similar agreement or arrangement (including both physical and financial settlement transactions).</w:t>
      </w:r>
    </w:p>
    <w:p>
      <w:pPr>
        <w:spacing w:after="0" w:line="170" w:lineRule="exact"/>
        <w:rPr>
          <w:sz w:val="20"/>
          <w:szCs w:val="20"/>
          <w:color w:val="auto"/>
        </w:rPr>
      </w:pPr>
    </w:p>
    <w:p>
      <w:pPr>
        <w:jc w:val="both"/>
        <w:ind w:right="20"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 Subsidiary that (a) has consolidated total assets with a book value not exceeding 5% of Consolidated Assets as of the end of the most recent fiscal quarter for which financial statements have been filed with the SEC and (b) had total revenues not exceeding 5% of the Borrower’s consolidated total revenues for the period ending on the last day of such fiscal quarter.</w:t>
      </w:r>
    </w:p>
    <w:p>
      <w:pPr>
        <w:spacing w:after="0" w:line="36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18" w:right="339" w:bottom="1440" w:gutter="0" w:footer="0" w:header="0"/>
        </w:sectPr>
      </w:pPr>
    </w:p>
    <w:bookmarkStart w:id="62" w:name="page63"/>
    <w:bookmarkEnd w:id="62"/>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Transaction</w:t>
      </w:r>
      <w:r>
        <w:rPr>
          <w:rFonts w:ascii="Arial" w:cs="Arial" w:eastAsia="Arial" w:hAnsi="Arial"/>
          <w:sz w:val="18"/>
          <w:szCs w:val="18"/>
          <w:color w:val="auto"/>
        </w:rPr>
        <w:t xml:space="preserve">” means any transaction or event described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so long as, after giving effect to such transaction or event, all Subsidiaries that have become subject to such transactions or events during the 12-month period ending on the date of such transaction or event (a) had consolidated total assets with a fair market value not exceeding 5% of Consolidated Assets as of the end of the most recent fiscal quarter for which financial statements have been filed with the SEC and (b) had total revenues not exceeding 5% of the Borrower’s consolidated total revenues for the period ending on the last day of such fiscal quarter.</w:t>
      </w:r>
    </w:p>
    <w:p>
      <w:pPr>
        <w:spacing w:after="0" w:line="16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Commitment</w:t>
      </w:r>
      <w:r>
        <w:rPr>
          <w:rFonts w:ascii="Arial" w:cs="Arial" w:eastAsia="Arial" w:hAnsi="Arial"/>
          <w:sz w:val="20"/>
          <w:szCs w:val="20"/>
          <w:color w:val="auto"/>
        </w:rPr>
        <w:t>” means, with respect to each Lender, the commitment, if any, of such Lender to make an Incremental Term Loan expressed as an amount representing the maximum principal amount of the Incremental Term Loans to be made by such Lender.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2.10(a)</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means as to any Person, at a particular time, all items which constitute, without duplication, (a) indebtedness for borrowed money or the deferred purchase price of property (excluding trade payables incurred in the ordinary course of business and excluding any such obligations payable solely through the Borrower’s issuance of Equity Interests (other than the Disqualified Stock and Equity Interests convertible into Disqualified Stock)), (b) indebtedness evidenced by notes, bonds, debentures or similar instruments, (c) obligations with respect to any conditional sale or title retention agreement, (d) indebtedness arising under acceptance facilities and the amount available to be drawn under all letters of credit issued for the account of such Person and, without duplication, all drafts drawn thereunder to the extent such Person shall not have reimbursed the issuer in respect of the issuer’s payment of such drafts, (e) all liabilities secured by any Lien on any property owned by such Person even though such Person has not assumed or otherwise become liable for the payment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liabilities included for purposes of this definition will be the amount equal to the lesser of the fair market value of such property and the amount of the liabilities so secured, (f) indebtedness in respect of Disqualified Stock valued at the greater of its voluntary or involuntary maximum fixed repurchase price plus accrued dividends, (g) liabilities in respect of any obligation (contingent or otherwise) to purchase, redeem, retire, acquire or make any other payment in respect of any shares of equity securities or any option, warrant or other right to acquire any shares of equity securities, (h) obligations under Capital Lease Obligations, (i) Guarantees of such Person in respect of Indebtedness of others, and (j) to the extent not otherwise included, all net obligations of such Person under Permitted Hedge Agreements.</w:t>
      </w:r>
    </w:p>
    <w:p>
      <w:pPr>
        <w:spacing w:after="0" w:line="179" w:lineRule="exact"/>
        <w:rPr>
          <w:sz w:val="20"/>
          <w:szCs w:val="20"/>
          <w:color w:val="auto"/>
        </w:rPr>
      </w:pPr>
    </w:p>
    <w:p>
      <w:pPr>
        <w:jc w:val="both"/>
        <w:ind w:firstLine="1296"/>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the Borrower under any Loan Document and (b) to the extent not otherwise described in (a) hereof, Other Taxes.</w:t>
      </w:r>
    </w:p>
    <w:p>
      <w:pPr>
        <w:spacing w:after="0" w:line="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10.3(b)</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10.15</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copyrights, trademarks, servicemarks, patents, trade names and service names.</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to convert or continue a Borrowing in accordance with </w:t>
      </w:r>
      <w:r>
        <w:rPr>
          <w:rFonts w:ascii="Arial" w:cs="Arial" w:eastAsia="Arial" w:hAnsi="Arial"/>
          <w:sz w:val="18"/>
          <w:szCs w:val="18"/>
          <w:u w:val="single" w:color="auto"/>
          <w:color w:val="auto"/>
        </w:rPr>
        <w:t>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3.2</w:t>
      </w:r>
      <w:r>
        <w:rPr>
          <w:rFonts w:ascii="Arial" w:cs="Arial" w:eastAsia="Arial" w:hAnsi="Arial"/>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18" w:right="339" w:bottom="1440" w:gutter="0" w:footer="0" w:header="0"/>
        </w:sectPr>
      </w:pPr>
    </w:p>
    <w:bookmarkStart w:id="63" w:name="page64"/>
    <w:bookmarkEnd w:id="63"/>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the last day of each March, June, September and December, (b) with respect to any Eurodollar Loan, the last day of the Interest Period applicable to the Borrowing of which such Eurodollar Loan is a part and, in the case of a Eurodollar Loan with an Interest Period of more than three months’ duration, the three-month anniversary of the first day of such interest period and (c) with respect to all Loans, (i) on the date of any prepayment or (ii) on the Maturity Date.</w:t>
      </w:r>
    </w:p>
    <w:p>
      <w:pPr>
        <w:spacing w:after="0" w:line="16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any Eurodollar Borrowing, the period commencing on the date of such Borrowing and ending on the numerically corresponding day in the calendar month that is one, two, three or six months thereafter, as the Borrower may elect,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Rating</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7.2.</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means the Persons listed on </w:t>
      </w:r>
      <w:r>
        <w:rPr>
          <w:rFonts w:ascii="Arial" w:cs="Arial" w:eastAsia="Arial" w:hAnsi="Arial"/>
          <w:sz w:val="20"/>
          <w:szCs w:val="20"/>
          <w:u w:val="single" w:color="auto"/>
          <w:color w:val="auto"/>
        </w:rPr>
        <w:t>Schedule 2.1</w:t>
      </w:r>
      <w:r>
        <w:rPr>
          <w:rFonts w:ascii="Arial" w:cs="Arial" w:eastAsia="Arial" w:hAnsi="Arial"/>
          <w:sz w:val="20"/>
          <w:szCs w:val="20"/>
          <w:color w:val="auto"/>
        </w:rPr>
        <w:t xml:space="preserve"> and any other Person that shall have become a Lender hereunder pursuant to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or pursuant to an Assignment and Assumption other than any such Person that ceases to be a party hereto pursuant to an Assignment and Assumption.</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 Rate</w:t>
      </w:r>
      <w:r>
        <w:rPr>
          <w:rFonts w:ascii="Arial" w:cs="Arial" w:eastAsia="Arial" w:hAnsi="Arial"/>
          <w:sz w:val="20"/>
          <w:szCs w:val="20"/>
          <w:color w:val="auto"/>
        </w:rPr>
        <w:t>” means, with respect to any Eurodollar Borrowing for any Interest Period, the LIBO Screen Rate at approximately 11:00 a.m., London time, two Business Days prior to the commencement of such Interest Period.</w:t>
      </w:r>
    </w:p>
    <w:p>
      <w:pPr>
        <w:spacing w:after="0" w:line="1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Screen Rate</w:t>
      </w:r>
      <w:r>
        <w:rPr>
          <w:rFonts w:ascii="Arial" w:cs="Arial" w:eastAsia="Arial" w:hAnsi="Arial"/>
          <w:sz w:val="19"/>
          <w:szCs w:val="19"/>
          <w:color w:val="auto"/>
        </w:rPr>
        <w:t xml:space="preserve">” means, for the relevant Interest Period, the greater of (a) 0.75% and (b) the applicable interest settlement rate for deposits in Dollars administered by ICE Benchmark Administration (or any other Person that takes over the administration of such rate) appearing on the applicable Reuters Screen (or on any successor or substitute page) as of 11:00 a.m. (London time), and having a maturity equal to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applicable Reuters Screen (or any successor or substitute page) is not available to the Administrative Agent for any reason, the applicable LIBO Screen Rate for the relevant Interest Period shall instead be the applicable interest settlement rate for deposits in Dollars administered by ICE Benchmark Administration (or any other Person that takes over the administration of such rate) as reported by any other generally recognized financial information service selected by the Administrative Agent as of 11:00 a.m. (London time).</w:t>
      </w:r>
    </w:p>
    <w:p>
      <w:pPr>
        <w:spacing w:after="0" w:line="180"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(statutory or other), assignment, deposit arrangement, pledge, hypothecation, encumbrance or preference, priority, charge or other security interest in, on or of such asset, (b) the interest of a vendor or a lessor under any conditional sale agreement, capital lease or title retention agreement relating to such asset and (c) in the case of securities, any purchase option, call or similar right of a third party with respect to such securities.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the loans made pursuant to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this Agreement and each Note.</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18"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b w:val="1"/>
          <w:bCs w:val="1"/>
          <w:color w:val="auto"/>
        </w:rPr>
        <w:t>Exhibit 4</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has the meaning assigned to such term in Regulation U.</w:t>
      </w:r>
    </w:p>
    <w:p>
      <w:pPr>
        <w:spacing w:after="0" w:line="21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 material adverse change in (a) the financial condition, operations, business or property of (ii) the Borrower or (ii) the Borrower and its Subsidiaries, taken as a whole, (b) the ability of the Borrower to perform its obligations under the Loan Documents or (c) the ability of the Credit Parties to enforce their rights and remedies under the Loan Documents.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operations, business or property of</w:t>
      </w:r>
    </w:p>
    <w:p>
      <w:pPr>
        <w:spacing w:after="0" w:line="39" w:lineRule="exact"/>
        <w:rPr>
          <w:sz w:val="20"/>
          <w:szCs w:val="20"/>
          <w:color w:val="auto"/>
        </w:rPr>
      </w:pPr>
    </w:p>
    <w:p>
      <w:pPr>
        <w:ind w:firstLine="8"/>
        <w:spacing w:after="0" w:line="269" w:lineRule="auto"/>
        <w:tabs>
          <w:tab w:leader="none" w:pos="236"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Borrower or (ii) the Borrower and its Subsidiaries, taken as a whole, (b) the ability of the Borrower to perform its obligations under the Loan Documents, or (c) the ability of the Credit Parties to enforce their rights and remedies under the Loan Documents.</w:t>
      </w:r>
    </w:p>
    <w:p>
      <w:pPr>
        <w:spacing w:after="0" w:line="16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Obligations</w:t>
      </w:r>
      <w:r>
        <w:rPr>
          <w:rFonts w:ascii="Arial" w:cs="Arial" w:eastAsia="Arial" w:hAnsi="Arial"/>
          <w:sz w:val="20"/>
          <w:szCs w:val="20"/>
          <w:color w:val="auto"/>
        </w:rPr>
        <w:t>” means as of any date, Indebtedness (other than Indebtedness under the Loan Documents) or operating leases of any one or more of the Borrower or any Subsidiary or, in the case of the Borrower only, any Guarantee, in an aggregate principal amount exceeding $35,000,000. For purposes of determining Material Obligations, the “principal amount” of Indebtedness, operating leases or Guarantees at any time shall be the maximum aggregate amount (giving effect to any netting agreements) that the Borrower or such Subsidiary, as applicable, would be required to pay if such Indebtedness, operating leases or Guarantees became due and payable on such day.</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April 7, 2021.</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10.12</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or any successor thereto.</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means the Mortgage and Deed of Trust, dated as of September 1, 1945, among the Borrower, The Bank of New York Mellon (formerly Irving Trust Company) and Andres Serrano (successor to Philip L. Watson), Trustees.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MPUC</w:t>
      </w:r>
      <w:r>
        <w:rPr>
          <w:rFonts w:ascii="Arial" w:cs="Arial" w:eastAsia="Arial" w:hAnsi="Arial"/>
          <w:sz w:val="20"/>
          <w:szCs w:val="20"/>
          <w:color w:val="auto"/>
        </w:rPr>
        <w:t>” means the Minnesota Public Utilities Commission or any Governmental Authority succeeding to the functions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issued at the request of a Lender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2.6(e)</w:t>
      </w:r>
      <w:r>
        <w:rPr>
          <w:rFonts w:ascii="Arial" w:cs="Arial" w:eastAsia="Arial" w:hAnsi="Arial"/>
          <w:sz w:val="20"/>
          <w:szCs w:val="20"/>
          <w:color w:val="auto"/>
        </w:rPr>
        <w:t xml:space="preserve"> to evidence its Loans.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4.14</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38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18" w:right="339" w:bottom="1440" w:gutter="0" w:footer="0" w:header="0"/>
        </w:sectPr>
      </w:pPr>
    </w:p>
    <w:bookmarkStart w:id="65" w:name="page66"/>
    <w:bookmarkEnd w:id="65"/>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10.4(d)</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10.4(d)</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“Uniting and Strengthening America by Providing Appropriate Tools Required to Intercept and Obstruct Terrorism Act of 2001” (Title III of Pub. L. 107-56 (signed into law October 26, 2001)).</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pacing w:after="0" w:line="216" w:lineRule="exact"/>
        <w:rPr>
          <w:sz w:val="20"/>
          <w:szCs w:val="20"/>
          <w:color w:val="auto"/>
        </w:rPr>
      </w:pPr>
    </w:p>
    <w:p>
      <w:pPr>
        <w:jc w:val="both"/>
        <w:ind w:firstLine="1952"/>
        <w:spacing w:after="0" w:line="237" w:lineRule="auto"/>
        <w:tabs>
          <w:tab w:leader="none" w:pos="2812"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Liens imposed by law for taxes, assessments or similar charges incurred in the ordinary course of business that are not yet due or are being contested in compliance with </w:t>
      </w:r>
      <w:r>
        <w:rPr>
          <w:rFonts w:ascii="Arial" w:cs="Arial" w:eastAsia="Arial" w:hAnsi="Arial"/>
          <w:sz w:val="20"/>
          <w:szCs w:val="20"/>
          <w:u w:val="single" w:color="auto"/>
          <w:color w:val="auto"/>
        </w:rPr>
        <w:t>Section 6.4</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enforcement of such Liens is stayed pending such contest;</w:t>
      </w:r>
    </w:p>
    <w:p>
      <w:pPr>
        <w:spacing w:after="0" w:line="182" w:lineRule="exact"/>
        <w:rPr>
          <w:rFonts w:ascii="Arial" w:cs="Arial" w:eastAsia="Arial" w:hAnsi="Arial"/>
          <w:sz w:val="20"/>
          <w:szCs w:val="20"/>
          <w:color w:val="auto"/>
        </w:rPr>
      </w:pPr>
    </w:p>
    <w:p>
      <w:pPr>
        <w:jc w:val="both"/>
        <w:ind w:firstLine="1952"/>
        <w:spacing w:after="0" w:line="250" w:lineRule="auto"/>
        <w:tabs>
          <w:tab w:leader="none" w:pos="2354"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landlords’, vendors’, carriers’, warehousemen’s, mechanics’, materialmen’s, contractors’, repairmen’s and other like Liens imposed by law, arising in the ordinary course of business and securing obligations which are not delinquent or are being contested,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enforcement of such Liens is stayed pending such contest;</w:t>
      </w:r>
    </w:p>
    <w:p>
      <w:pPr>
        <w:spacing w:after="0" w:line="185" w:lineRule="exact"/>
        <w:rPr>
          <w:rFonts w:ascii="Arial" w:cs="Arial" w:eastAsia="Arial" w:hAnsi="Arial"/>
          <w:sz w:val="20"/>
          <w:szCs w:val="20"/>
          <w:color w:val="auto"/>
        </w:rPr>
      </w:pPr>
    </w:p>
    <w:p>
      <w:pPr>
        <w:ind w:firstLine="1952"/>
        <w:spacing w:after="0" w:line="260" w:lineRule="auto"/>
        <w:tabs>
          <w:tab w:leader="none" w:pos="2452" w:val="left"/>
        </w:tabs>
        <w:numPr>
          <w:ilvl w:val="0"/>
          <w:numId w:val="23"/>
        </w:numPr>
        <w:rPr>
          <w:rFonts w:ascii="Arial" w:cs="Arial" w:eastAsia="Arial" w:hAnsi="Arial"/>
          <w:sz w:val="20"/>
          <w:szCs w:val="20"/>
          <w:color w:val="auto"/>
        </w:rPr>
      </w:pPr>
      <w:r>
        <w:rPr>
          <w:rFonts w:ascii="Arial" w:cs="Arial" w:eastAsia="Arial" w:hAnsi="Arial"/>
          <w:sz w:val="20"/>
          <w:szCs w:val="20"/>
          <w:color w:val="auto"/>
        </w:rPr>
        <w:t>pledges and deposits made in the ordinary course of business in compliance with workers’ compensation, unemployment insurance and other social security laws or regulations (but not ERISA);</w:t>
      </w:r>
    </w:p>
    <w:p>
      <w:pPr>
        <w:spacing w:after="0" w:line="176" w:lineRule="exact"/>
        <w:rPr>
          <w:rFonts w:ascii="Arial" w:cs="Arial" w:eastAsia="Arial" w:hAnsi="Arial"/>
          <w:sz w:val="20"/>
          <w:szCs w:val="20"/>
          <w:color w:val="auto"/>
        </w:rPr>
      </w:pPr>
    </w:p>
    <w:p>
      <w:pPr>
        <w:jc w:val="both"/>
        <w:ind w:right="20" w:firstLine="1952"/>
        <w:spacing w:after="0" w:line="291" w:lineRule="auto"/>
        <w:tabs>
          <w:tab w:leader="none" w:pos="25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pledges and deposits to secure the performance of bids, trade contracts, leases, purchase agreements, government contracts, statutory obligations, surety and appeal bonds, performance bonds and other obligations of a like nature, in each case in the ordinary course of business, and other than promissory notes and contracts for the repayment of borrowed money;</w:t>
      </w:r>
    </w:p>
    <w:p>
      <w:pPr>
        <w:spacing w:after="0" w:line="151" w:lineRule="exact"/>
        <w:rPr>
          <w:rFonts w:ascii="Arial" w:cs="Arial" w:eastAsia="Arial" w:hAnsi="Arial"/>
          <w:sz w:val="18"/>
          <w:szCs w:val="18"/>
          <w:color w:val="auto"/>
        </w:rPr>
      </w:pPr>
    </w:p>
    <w:p>
      <w:pPr>
        <w:jc w:val="both"/>
        <w:ind w:firstLine="1952"/>
        <w:spacing w:after="0" w:line="233" w:lineRule="exact"/>
        <w:tabs>
          <w:tab w:leader="none" w:pos="2425" w:val="left"/>
        </w:tabs>
        <w:numPr>
          <w:ilvl w:val="0"/>
          <w:numId w:val="23"/>
        </w:numPr>
        <w:rPr>
          <w:rFonts w:ascii="Arial" w:cs="Arial" w:eastAsia="Arial" w:hAnsi="Arial"/>
          <w:sz w:val="20"/>
          <w:szCs w:val="20"/>
          <w:color w:val="auto"/>
        </w:rPr>
      </w:pPr>
      <w:r>
        <w:rPr>
          <w:rFonts w:ascii="Arial" w:cs="Arial" w:eastAsia="Arial" w:hAnsi="Arial"/>
          <w:sz w:val="20"/>
          <w:szCs w:val="20"/>
          <w:color w:val="auto"/>
        </w:rPr>
        <w:t>Liens (including contractual security interests) in favor of a financial institution (including securities firms) encumbering deposit accounts or checks or instruments for collection, commodity accounts or securities accounts (including the right of set</w:t>
      </w:r>
      <w:r>
        <w:rPr>
          <w:rFonts w:ascii="MS PGothic" w:cs="MS PGothic" w:eastAsia="MS PGothic" w:hAnsi="MS PGothic"/>
          <w:sz w:val="20"/>
          <w:szCs w:val="20"/>
          <w:color w:val="auto"/>
        </w:rPr>
        <w:t>‑</w:t>
      </w:r>
      <w:r>
        <w:rPr>
          <w:rFonts w:ascii="Arial" w:cs="Arial" w:eastAsia="Arial" w:hAnsi="Arial"/>
          <w:sz w:val="20"/>
          <w:szCs w:val="20"/>
          <w:color w:val="auto"/>
        </w:rPr>
        <w:t>off) at or held by such financial institution in the ordinary course of its commercial business and which secure only liabilities owed to such financial institution arising out of or resulting from its maintenance of such account or otherwise are within the general parameters customary in the financial industry;</w:t>
      </w:r>
    </w:p>
    <w:p>
      <w:pPr>
        <w:spacing w:after="0" w:line="199" w:lineRule="exact"/>
        <w:rPr>
          <w:rFonts w:ascii="Arial" w:cs="Arial" w:eastAsia="Arial" w:hAnsi="Arial"/>
          <w:sz w:val="20"/>
          <w:szCs w:val="20"/>
          <w:color w:val="auto"/>
        </w:rPr>
      </w:pPr>
    </w:p>
    <w:p>
      <w:pPr>
        <w:ind w:left="2340" w:hanging="388"/>
        <w:spacing w:after="0"/>
        <w:tabs>
          <w:tab w:leader="none" w:pos="2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judgment liens in respect of judgments that do not constitute an Event of Default under </w:t>
      </w:r>
      <w:r>
        <w:rPr>
          <w:rFonts w:ascii="Arial" w:cs="Arial" w:eastAsia="Arial" w:hAnsi="Arial"/>
          <w:sz w:val="18"/>
          <w:szCs w:val="18"/>
          <w:u w:val="single" w:color="auto"/>
          <w:color w:val="auto"/>
        </w:rPr>
        <w:t>paragraph (k)</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8</w:t>
      </w:r>
      <w:r>
        <w:rPr>
          <w:rFonts w:ascii="Arial" w:cs="Arial" w:eastAsia="Arial" w:hAnsi="Arial"/>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18"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0"/>
          <w:szCs w:val="20"/>
          <w:b w:val="1"/>
          <w:bCs w:val="1"/>
          <w:color w:val="auto"/>
        </w:rPr>
        <w:t>Exhibit 4</w:t>
      </w:r>
    </w:p>
    <w:p>
      <w:pPr>
        <w:spacing w:after="0" w:line="221" w:lineRule="exact"/>
        <w:rPr>
          <w:sz w:val="20"/>
          <w:szCs w:val="20"/>
          <w:color w:val="auto"/>
        </w:rPr>
      </w:pPr>
    </w:p>
    <w:p>
      <w:pPr>
        <w:ind w:firstLine="1952"/>
        <w:spacing w:after="0" w:line="287" w:lineRule="auto"/>
        <w:tabs>
          <w:tab w:leader="none" w:pos="2462" w:val="left"/>
        </w:tabs>
        <w:numPr>
          <w:ilvl w:val="0"/>
          <w:numId w:val="24"/>
        </w:numPr>
        <w:rPr>
          <w:rFonts w:ascii="Arial" w:cs="Arial" w:eastAsia="Arial" w:hAnsi="Arial"/>
          <w:sz w:val="19"/>
          <w:szCs w:val="19"/>
          <w:color w:val="auto"/>
        </w:rPr>
      </w:pPr>
      <w:r>
        <w:rPr>
          <w:rFonts w:ascii="Arial" w:cs="Arial" w:eastAsia="Arial" w:hAnsi="Arial"/>
          <w:sz w:val="19"/>
          <w:szCs w:val="19"/>
          <w:color w:val="auto"/>
        </w:rPr>
        <w:t>any interest of a lessor or licensor in property under an operating lease under which the Borrower or any Subsidiary is lessee or licensee, and any restriction or encumbrance to which the interest of such lessor or licensor is subject;</w:t>
      </w:r>
    </w:p>
    <w:p>
      <w:pPr>
        <w:spacing w:after="0" w:line="152" w:lineRule="exact"/>
        <w:rPr>
          <w:rFonts w:ascii="Arial" w:cs="Arial" w:eastAsia="Arial" w:hAnsi="Arial"/>
          <w:sz w:val="19"/>
          <w:szCs w:val="19"/>
          <w:color w:val="auto"/>
        </w:rPr>
      </w:pPr>
    </w:p>
    <w:p>
      <w:pPr>
        <w:ind w:left="2360" w:hanging="408"/>
        <w:spacing w:after="0"/>
        <w:tabs>
          <w:tab w:leader="none" w:pos="2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arising from filed UCC-1 financing statements relating solely to leases not prohibited by this Agreement;</w:t>
      </w:r>
    </w:p>
    <w:p>
      <w:pPr>
        <w:spacing w:after="0" w:line="238" w:lineRule="exact"/>
        <w:rPr>
          <w:rFonts w:ascii="Arial" w:cs="Arial" w:eastAsia="Arial" w:hAnsi="Arial"/>
          <w:sz w:val="18"/>
          <w:szCs w:val="18"/>
          <w:color w:val="auto"/>
        </w:rPr>
      </w:pPr>
    </w:p>
    <w:p>
      <w:pPr>
        <w:ind w:right="20" w:firstLine="1952"/>
        <w:spacing w:after="0" w:line="260" w:lineRule="auto"/>
        <w:tabs>
          <w:tab w:leader="none" w:pos="2311" w:val="left"/>
        </w:tabs>
        <w:numPr>
          <w:ilvl w:val="0"/>
          <w:numId w:val="24"/>
        </w:numPr>
        <w:rPr>
          <w:rFonts w:ascii="Arial" w:cs="Arial" w:eastAsia="Arial" w:hAnsi="Arial"/>
          <w:sz w:val="20"/>
          <w:szCs w:val="20"/>
          <w:color w:val="auto"/>
        </w:rPr>
      </w:pPr>
      <w:r>
        <w:rPr>
          <w:rFonts w:ascii="Arial" w:cs="Arial" w:eastAsia="Arial" w:hAnsi="Arial"/>
          <w:sz w:val="20"/>
          <w:szCs w:val="20"/>
          <w:color w:val="auto"/>
        </w:rPr>
        <w:t>leases or subleases granted to others that do not materially interfere with the ordinary conduct of business of the Borrower and its Subsidiaries;</w:t>
      </w:r>
    </w:p>
    <w:p>
      <w:pPr>
        <w:spacing w:after="0" w:line="176" w:lineRule="exact"/>
        <w:rPr>
          <w:rFonts w:ascii="Arial" w:cs="Arial" w:eastAsia="Arial" w:hAnsi="Arial"/>
          <w:sz w:val="20"/>
          <w:szCs w:val="20"/>
          <w:color w:val="auto"/>
        </w:rPr>
      </w:pPr>
    </w:p>
    <w:p>
      <w:pPr>
        <w:ind w:firstLine="1952"/>
        <w:spacing w:after="0" w:line="260" w:lineRule="auto"/>
        <w:tabs>
          <w:tab w:leader="none" w:pos="2351"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licenses of Intellectual Property granted by the Borrower or any Subsidiary in the ordinary course of business and not materially interfering with the ordinary conduct of the business of the Borrower and its Subsidiaries;</w:t>
      </w:r>
    </w:p>
    <w:p>
      <w:pPr>
        <w:spacing w:after="0" w:line="176" w:lineRule="exact"/>
        <w:rPr>
          <w:rFonts w:ascii="Arial" w:cs="Arial" w:eastAsia="Arial" w:hAnsi="Arial"/>
          <w:sz w:val="20"/>
          <w:szCs w:val="20"/>
          <w:color w:val="auto"/>
        </w:rPr>
      </w:pPr>
    </w:p>
    <w:p>
      <w:pPr>
        <w:jc w:val="both"/>
        <w:ind w:firstLine="1952"/>
        <w:spacing w:after="0" w:line="263" w:lineRule="auto"/>
        <w:tabs>
          <w:tab w:leader="none" w:pos="2395" w:val="left"/>
        </w:tabs>
        <w:numPr>
          <w:ilvl w:val="0"/>
          <w:numId w:val="24"/>
        </w:numPr>
        <w:rPr>
          <w:rFonts w:ascii="Arial" w:cs="Arial" w:eastAsia="Arial" w:hAnsi="Arial"/>
          <w:sz w:val="19"/>
          <w:szCs w:val="19"/>
          <w:color w:val="auto"/>
        </w:rPr>
      </w:pPr>
      <w:r>
        <w:rPr>
          <w:rFonts w:ascii="Arial" w:cs="Arial" w:eastAsia="Arial" w:hAnsi="Arial"/>
          <w:sz w:val="19"/>
          <w:szCs w:val="19"/>
          <w:color w:val="auto"/>
        </w:rPr>
        <w:t>easements, servitudes (contractual and legal), zoning restrictions, rights of way, encroachments, minor defects and irregularities in title and other similar encumbrances on real property imposed by law or arising in the ordinary course of business that do not secure any monetary obligations and do not render title to such property unmarketable or materially interfere with the ability of the Borrower and its Subsidiaries, as the case may be, to utilize their respective properties for their intended purposes;</w:t>
      </w:r>
    </w:p>
    <w:p>
      <w:pPr>
        <w:spacing w:after="0" w:line="176" w:lineRule="exact"/>
        <w:rPr>
          <w:rFonts w:ascii="Arial" w:cs="Arial" w:eastAsia="Arial" w:hAnsi="Arial"/>
          <w:sz w:val="19"/>
          <w:szCs w:val="19"/>
          <w:color w:val="auto"/>
        </w:rPr>
      </w:pPr>
    </w:p>
    <w:p>
      <w:pPr>
        <w:jc w:val="both"/>
        <w:ind w:firstLine="1952"/>
        <w:spacing w:after="0" w:line="244" w:lineRule="auto"/>
        <w:tabs>
          <w:tab w:leader="none" w:pos="2378"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Liens securing obligations, neither assumed by the Borrower or any Subsidiary nor on account of which the Borrower or any Subsidiary customarily pays interest, upon real estate on which the Borrower or any Subsidiary has a right-of-way, easement, franchise or other servitude or of which the Borrower or any Subsidiary is the lessee, for the purpose of locating transmission and distribution lines and related support structures, pipe lines, substations, measuring stations, tanks, pumping or delivery equipment or similar equipment, or service buildings incidental to any of the foregoing;</w:t>
      </w:r>
    </w:p>
    <w:p>
      <w:pPr>
        <w:spacing w:after="0" w:line="194" w:lineRule="exact"/>
        <w:rPr>
          <w:rFonts w:ascii="Arial" w:cs="Arial" w:eastAsia="Arial" w:hAnsi="Arial"/>
          <w:sz w:val="20"/>
          <w:szCs w:val="20"/>
          <w:color w:val="auto"/>
        </w:rPr>
      </w:pPr>
    </w:p>
    <w:p>
      <w:pPr>
        <w:jc w:val="both"/>
        <w:ind w:firstLine="1952"/>
        <w:spacing w:after="0" w:line="263" w:lineRule="auto"/>
        <w:tabs>
          <w:tab w:leader="none" w:pos="2518" w:val="left"/>
        </w:tabs>
        <w:numPr>
          <w:ilvl w:val="0"/>
          <w:numId w:val="24"/>
        </w:numPr>
        <w:rPr>
          <w:rFonts w:ascii="Arial" w:cs="Arial" w:eastAsia="Arial" w:hAnsi="Arial"/>
          <w:sz w:val="19"/>
          <w:szCs w:val="19"/>
          <w:color w:val="auto"/>
        </w:rPr>
      </w:pPr>
      <w:r>
        <w:rPr>
          <w:rFonts w:ascii="Arial" w:cs="Arial" w:eastAsia="Arial" w:hAnsi="Arial"/>
          <w:sz w:val="19"/>
          <w:szCs w:val="19"/>
          <w:color w:val="auto"/>
        </w:rPr>
        <w:t>Liens with respect to properties involved in the production of oil, gas and other minerals, unitization and pooling agreements and orders, operating agreements, royalties, reversionary interests, preferential purchase rights, farmout agreements, gas balancing agreements and other agreements, in each case that are customary in the oil, gas and mineral production business in the general area of such property and that are entered into in the ordinary course of business;</w:t>
      </w:r>
    </w:p>
    <w:p>
      <w:pPr>
        <w:spacing w:after="0" w:line="176" w:lineRule="exact"/>
        <w:rPr>
          <w:rFonts w:ascii="Arial" w:cs="Arial" w:eastAsia="Arial" w:hAnsi="Arial"/>
          <w:sz w:val="19"/>
          <w:szCs w:val="19"/>
          <w:color w:val="auto"/>
        </w:rPr>
      </w:pPr>
    </w:p>
    <w:p>
      <w:pPr>
        <w:jc w:val="both"/>
        <w:ind w:firstLine="1952"/>
        <w:spacing w:after="0" w:line="291" w:lineRule="auto"/>
        <w:tabs>
          <w:tab w:leader="none" w:pos="24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in favor of Governmental Authorities encumbering assets acquired in connection with a government grant program, and the right reserved to, or vested in, any Governmental Authority by the terms of any right, power, franchise, grant, license, or permit, or by any provision of law, to purchase, condemn, recapture or designate a purchaser of any property;</w:t>
      </w:r>
    </w:p>
    <w:p>
      <w:pPr>
        <w:spacing w:after="0" w:line="151" w:lineRule="exact"/>
        <w:rPr>
          <w:rFonts w:ascii="Arial" w:cs="Arial" w:eastAsia="Arial" w:hAnsi="Arial"/>
          <w:sz w:val="18"/>
          <w:szCs w:val="18"/>
          <w:color w:val="auto"/>
        </w:rPr>
      </w:pPr>
    </w:p>
    <w:p>
      <w:pPr>
        <w:ind w:left="2360" w:hanging="408"/>
        <w:spacing w:after="0"/>
        <w:tabs>
          <w:tab w:leader="none" w:pos="2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Liens on Margin Stock to the extent that a prohibition on such Liens would violate Regulation U;</w:t>
      </w:r>
    </w:p>
    <w:p>
      <w:pPr>
        <w:spacing w:after="0" w:line="215" w:lineRule="exact"/>
        <w:rPr>
          <w:rFonts w:ascii="Arial" w:cs="Arial" w:eastAsia="Arial" w:hAnsi="Arial"/>
          <w:sz w:val="20"/>
          <w:szCs w:val="20"/>
          <w:color w:val="auto"/>
        </w:rPr>
      </w:pPr>
    </w:p>
    <w:p>
      <w:pPr>
        <w:jc w:val="both"/>
        <w:ind w:firstLine="1952"/>
        <w:spacing w:after="0" w:line="250" w:lineRule="auto"/>
        <w:tabs>
          <w:tab w:leader="none" w:pos="2368"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Liens on any cash collateral for letters of credit issued under the Borrower’s revolving credit facilities upon the occurrence of an event of default thereunder or to cover an issuing lender’s credit exposure under such facility with respect to a defaulting lender thereunder;</w:t>
      </w:r>
    </w:p>
    <w:p>
      <w:pPr>
        <w:spacing w:after="0" w:line="185" w:lineRule="exact"/>
        <w:rPr>
          <w:rFonts w:ascii="Arial" w:cs="Arial" w:eastAsia="Arial" w:hAnsi="Arial"/>
          <w:sz w:val="20"/>
          <w:szCs w:val="20"/>
          <w:color w:val="auto"/>
        </w:rPr>
      </w:pPr>
    </w:p>
    <w:p>
      <w:pPr>
        <w:ind w:firstLine="1952"/>
        <w:spacing w:after="0" w:line="260" w:lineRule="auto"/>
        <w:tabs>
          <w:tab w:leader="none" w:pos="2435" w:val="left"/>
        </w:tabs>
        <w:numPr>
          <w:ilvl w:val="0"/>
          <w:numId w:val="24"/>
        </w:numPr>
        <w:rPr>
          <w:rFonts w:ascii="Arial" w:cs="Arial" w:eastAsia="Arial" w:hAnsi="Arial"/>
          <w:sz w:val="20"/>
          <w:szCs w:val="20"/>
          <w:color w:val="auto"/>
        </w:rPr>
      </w:pPr>
      <w:r>
        <w:rPr>
          <w:rFonts w:ascii="Arial" w:cs="Arial" w:eastAsia="Arial" w:hAnsi="Arial"/>
          <w:sz w:val="20"/>
          <w:szCs w:val="20"/>
          <w:color w:val="auto"/>
        </w:rPr>
        <w:t>customary Liens for the fees and expenses of trustees and escrow agents pursuant to any indenture, escrow agreement or similar agreement establishing a trust or escrow arrangement;</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1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0"/>
          <w:szCs w:val="20"/>
          <w:b w:val="1"/>
          <w:bCs w:val="1"/>
          <w:color w:val="auto"/>
        </w:rPr>
        <w:t>Exhibit 4</w:t>
      </w:r>
    </w:p>
    <w:p>
      <w:pPr>
        <w:spacing w:after="0" w:line="221" w:lineRule="exact"/>
        <w:rPr>
          <w:sz w:val="20"/>
          <w:szCs w:val="20"/>
          <w:color w:val="auto"/>
        </w:rPr>
      </w:pPr>
    </w:p>
    <w:p>
      <w:pPr>
        <w:jc w:val="both"/>
        <w:ind w:firstLine="1952"/>
        <w:spacing w:after="0" w:line="246" w:lineRule="auto"/>
        <w:tabs>
          <w:tab w:leader="none" w:pos="24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agreements for and obligations (other than repayment of borrowed money) relating to the joint or common ownership, operation, and use of property, including Liens under joint venture or similar agreements securing obligations incurred in the conduct of operations or consisting of a purchase option, call or right of first refusal with respect to the Equity Interests in such jointly owned Person; and</w:t>
      </w:r>
    </w:p>
    <w:p>
      <w:pPr>
        <w:spacing w:after="0" w:line="191" w:lineRule="exact"/>
        <w:rPr>
          <w:rFonts w:ascii="Arial" w:cs="Arial" w:eastAsia="Arial" w:hAnsi="Arial"/>
          <w:sz w:val="20"/>
          <w:szCs w:val="20"/>
          <w:color w:val="auto"/>
        </w:rPr>
      </w:pPr>
    </w:p>
    <w:p>
      <w:pPr>
        <w:jc w:val="both"/>
        <w:ind w:firstLine="1952"/>
        <w:spacing w:after="0" w:line="269" w:lineRule="auto"/>
        <w:tabs>
          <w:tab w:leader="none" w:pos="2373" w:val="left"/>
        </w:tabs>
        <w:numPr>
          <w:ilvl w:val="0"/>
          <w:numId w:val="25"/>
        </w:numPr>
        <w:rPr>
          <w:rFonts w:ascii="Arial" w:cs="Arial" w:eastAsia="Arial" w:hAnsi="Arial"/>
          <w:sz w:val="19"/>
          <w:szCs w:val="19"/>
          <w:color w:val="auto"/>
        </w:rPr>
      </w:pPr>
      <w:r>
        <w:rPr>
          <w:rFonts w:ascii="Arial" w:cs="Arial" w:eastAsia="Arial" w:hAnsi="Arial"/>
          <w:sz w:val="19"/>
          <w:szCs w:val="19"/>
          <w:color w:val="auto"/>
        </w:rPr>
        <w:t>Liens granted on cash or invested funds constituting proceeds of any sale or disposition of property deposited into escrow accounts to secure indemnification, adjustment of purchase price or similar obligations incurred in connection with such sale or disposition, in an amount not to exceed the amount of gross proceeds received from such sale or disposition.</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Hedge Agreement</w:t>
      </w:r>
      <w:r>
        <w:rPr>
          <w:rFonts w:ascii="Arial" w:cs="Arial" w:eastAsia="Arial" w:hAnsi="Arial"/>
          <w:sz w:val="19"/>
          <w:szCs w:val="19"/>
          <w:color w:val="auto"/>
        </w:rPr>
        <w:t>” means any Hedge Agreement engaged in by a Person as part of its normal business operations with the purpose and effect of hedging and protecting such Person against fluctuations or adverse changes in the prices of electricity, gas, fuel or other commodities, interest rates or currency exchange rates, which Hedge Agreement is part of a risk management strategy and not for purposes of speculation and not intended primarily as a borrowing of funds.</w:t>
      </w:r>
    </w:p>
    <w:p>
      <w:pPr>
        <w:spacing w:after="0" w:line="17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any Subsidiary or any ERISA Affiliate is (or, if such plan were terminated, would under Section 4069 of ERISA be deemed to be) an “employer” as defined in Section 3(5) of ERISA.</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xml:space="preserve">” means 29 CFR § 2510.3-101 </w:t>
      </w:r>
      <w:r>
        <w:rPr>
          <w:rFonts w:ascii="Arial" w:cs="Arial" w:eastAsia="Arial" w:hAnsi="Arial"/>
          <w:sz w:val="18"/>
          <w:szCs w:val="18"/>
          <w:i w:val="1"/>
          <w:iCs w:val="1"/>
          <w:color w:val="auto"/>
        </w:rPr>
        <w:t>et seq.</w:t>
      </w:r>
      <w:r>
        <w:rPr>
          <w:rFonts w:ascii="Arial" w:cs="Arial" w:eastAsia="Arial" w:hAnsi="Arial"/>
          <w:sz w:val="18"/>
          <w:szCs w:val="18"/>
          <w:color w:val="auto"/>
        </w:rPr>
        <w:t>, as modified by Section 3(42) of ERISA, as amended from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time to time.</w:t>
      </w:r>
    </w:p>
    <w:p>
      <w:pPr>
        <w:spacing w:after="0" w:line="200" w:lineRule="exact"/>
        <w:rPr>
          <w:sz w:val="20"/>
          <w:szCs w:val="20"/>
          <w:color w:val="auto"/>
        </w:rPr>
      </w:pPr>
    </w:p>
    <w:p>
      <w:pPr>
        <w:jc w:val="both"/>
        <w:ind w:right="2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 rate per annum equal to the prime rate of interest announced from time to time by U.S. Bank National Association or its parent (which is not necessarily the lowest rate charged to any customer), changing when and as such prime rate changes.</w:t>
      </w:r>
    </w:p>
    <w:p>
      <w:pPr>
        <w:spacing w:after="0" w:line="13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77" w:lineRule="exact"/>
        <w:rPr>
          <w:sz w:val="20"/>
          <w:szCs w:val="20"/>
          <w:color w:val="auto"/>
        </w:rPr>
      </w:pPr>
    </w:p>
    <w:p>
      <w:pPr>
        <w:jc w:val="both"/>
        <w:ind w:right="2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Agencies</w:t>
      </w:r>
      <w:r>
        <w:rPr>
          <w:rFonts w:ascii="Arial" w:cs="Arial" w:eastAsia="Arial" w:hAnsi="Arial"/>
          <w:sz w:val="18"/>
          <w:szCs w:val="18"/>
          <w:color w:val="auto"/>
        </w:rPr>
        <w:t>” means Fitch, Moody’s and S&amp;P (or, if any of the foregoing ceases to provide Senior Debt Ratings as contemplated hereby, such other nationally recognized rating agency as shall be agreed by the Borrower and the Administrative Agent).</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or (b) any Lender, as applicable.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10.4(c)(i)</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D</w:t>
      </w:r>
      <w:r>
        <w:rPr>
          <w:rFonts w:ascii="Arial" w:cs="Arial" w:eastAsia="Arial" w:hAnsi="Arial"/>
          <w:sz w:val="20"/>
          <w:szCs w:val="20"/>
          <w:color w:val="auto"/>
        </w:rPr>
        <w:t>” means Regulation D of the Board as from time to time in effect and all official rulings and interpretations thereunder or thereof.</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18" w:right="339" w:bottom="1440" w:gutter="0" w:footer="0" w:header="0"/>
        </w:sectPr>
      </w:pPr>
    </w:p>
    <w:bookmarkStart w:id="68" w:name="page69"/>
    <w:bookmarkEnd w:id="68"/>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w:t>
      </w:r>
      <w:r>
        <w:rPr>
          <w:rFonts w:ascii="Arial" w:cs="Arial" w:eastAsia="Arial" w:hAnsi="Arial"/>
          <w:sz w:val="20"/>
          <w:szCs w:val="20"/>
          <w:color w:val="auto"/>
        </w:rPr>
        <w:t>” means Regulation T of the Board as from time to time in effect and all official rulings and interpretations thereunder or thereof.</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means Regulation U of the Board as from time to time in effect and all official rulings and interpretations thereunder or thereof.</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means Regulation X of the Board as from time to time in effect and all official rulings and interpretations thereunder or thereof.</w:t>
      </w:r>
    </w:p>
    <w:p>
      <w:pPr>
        <w:spacing w:after="0" w:line="177"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specified Person, such Person’s Affiliates and the respective directors, officers, employees, agents and advisors of such Person and such Person’s Affiliates.</w:t>
      </w:r>
    </w:p>
    <w:p>
      <w:pPr>
        <w:spacing w:after="0" w:line="17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the Board and/or the Federal Reserve Bank of New York, or a committee officially endorsed or convened by the Board and/or the Federal Reserve Bank of New York or, in each case, any successor thereto.</w:t>
      </w:r>
    </w:p>
    <w:p>
      <w:pPr>
        <w:spacing w:after="0" w:line="15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Lenders having unused Commitments and outstanding Loans representing more than 50% of the sum of the unused Commitments and outstanding Loans of all Lenders.</w:t>
      </w:r>
    </w:p>
    <w:p>
      <w:pPr>
        <w:spacing w:after="0" w:line="177"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Person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4.14</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 Standard &amp; Poor’s Financial Services LLC business, or any successor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the functions thereof.</w:t>
      </w:r>
    </w:p>
    <w:p>
      <w:pPr>
        <w:spacing w:after="0" w:line="23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Debt Rating</w:t>
      </w:r>
      <w:r>
        <w:rPr>
          <w:rFonts w:ascii="Arial" w:cs="Arial" w:eastAsia="Arial" w:hAnsi="Arial"/>
          <w:sz w:val="20"/>
          <w:szCs w:val="20"/>
          <w:color w:val="auto"/>
        </w:rPr>
        <w:t>” means, at any date, the credit rating identified by a Rating Agency as the credit rating that (i) it has assigned to long term unsecured senior debt of the Borrower or (ii) would assign to long term unsecured senior debt of the Borrower were the Borrower to issue or have outstanding any long term unsecured senior debt on such date.</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xml:space="preserve">” means a fraction (expressed as a decimal), the numerator of which is the number one and the denominator of which is the number one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aggregate of the maximum reserve percentages, if any, (including any marginal, special, emergency or supplemental reserves) expressed as a decimal established by the Board to which the Administrative Agent is subject with respect to the Adjusted LIBO Rate, for eurocurrency funding (currently referred to as “Eurocurrency liabilities” in Regulation D). Such reserve percentages shall include those imposed pursuant to Regulation D. Eurodollar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39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18" w:right="339" w:bottom="1440" w:gutter="0" w:footer="0" w:header="0"/>
        </w:sectPr>
      </w:pPr>
    </w:p>
    <w:bookmarkStart w:id="69" w:name="page70"/>
    <w:bookmarkEnd w:id="69"/>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as to any Person, any corporation, association, partnership, limited liability company, joint venture or other business entity of which such Person or any Subsidiary of such Person, directly or indirectly, either (i) in respect of a corporation, owns or controls more than 50% of the outstanding Equity Interests having ordinary voting power to elect a majority of the board of directors or similar managing body, irrespective of whether a class or classes shall or might have voting power by reason of the happening of any contingency, or (ii) in respect of an association, partnership, joint venture or other business entity, is entitled to share in more than 50% of the profits and losses, however determined. Unless the context otherwise requires, any reference to a Subsidiary shall be deemed to refer to a Subsidiary of the Borrower.</w:t>
      </w:r>
    </w:p>
    <w:p>
      <w:pPr>
        <w:spacing w:after="0" w:line="19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SWLP Mortgage</w:t>
      </w:r>
      <w:r>
        <w:rPr>
          <w:rFonts w:ascii="Arial" w:cs="Arial" w:eastAsia="Arial" w:hAnsi="Arial"/>
          <w:sz w:val="20"/>
          <w:szCs w:val="20"/>
          <w:color w:val="auto"/>
        </w:rPr>
        <w:t>” means the Mortgage and Deed of Trust, dated as of March 1, 1943, between Superior Water, Light and Power Company and U.S. Bank National Association (successor to First Bank (N.A.) as successor to Chemical Bank and Trust Company as Corporate Trustee and Howard B. Smith as Co-Trustee) as Trustee.</w:t>
      </w:r>
    </w:p>
    <w:p>
      <w:pPr>
        <w:spacing w:after="0" w:line="186"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any present or future tax, levy, assessment, impost, duty, charge, fee, deduction or withholding of any nature, and whatever called, by a Governmental Authority, on whomsoever and wherever imposed, levied, collected, withheld or assessed.</w:t>
      </w:r>
    </w:p>
    <w:p>
      <w:pPr>
        <w:spacing w:after="0" w:line="13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Capitalization</w:t>
      </w:r>
      <w:r>
        <w:rPr>
          <w:rFonts w:ascii="Arial" w:cs="Arial" w:eastAsia="Arial" w:hAnsi="Arial"/>
          <w:sz w:val="19"/>
          <w:szCs w:val="19"/>
          <w:color w:val="auto"/>
        </w:rPr>
        <w:t xml:space="preserve">” means, at any time, the difference between (a) the sum of each of the following at such time with respect to the Borrower and the Subsidiaries, determined on a consolidated basis in accordance with GAAP: (i) preferred Equity Interests,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common Equity Interests and any premium on Equity Interests thereon (as such term is used in the Borrower Financial Statements), excluding accumulated other comprehensive income or loss,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retained earnings,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(iv) Total Indebtedness, and (b) (1) stock of the Borrower acquired by the Borrower and (ii) stock of a Subsidiary acquired by such Subsidiary, in each case at such time, as applicable, determined on a consolidated basis in accordance with GAAP.</w:t>
      </w:r>
    </w:p>
    <w:p>
      <w:pPr>
        <w:spacing w:after="0" w:line="17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Indebtedness</w:t>
      </w:r>
      <w:r>
        <w:rPr>
          <w:rFonts w:ascii="Arial" w:cs="Arial" w:eastAsia="Arial" w:hAnsi="Arial"/>
          <w:sz w:val="20"/>
          <w:szCs w:val="20"/>
          <w:color w:val="auto"/>
        </w:rPr>
        <w:t>” means at any time, all Indebtedness (net of unamortized premium and discount (as such term is used in the Borrower Financial Statements)) at such time of the Borrower and the Subsidiaries, determined on a consolidated basis in accordance with GAAP.</w:t>
      </w:r>
    </w:p>
    <w:p>
      <w:pPr>
        <w:spacing w:after="0" w:line="18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Percentage</w:t>
      </w:r>
      <w:r>
        <w:rPr>
          <w:rFonts w:ascii="Arial" w:cs="Arial" w:eastAsia="Arial" w:hAnsi="Arial"/>
          <w:sz w:val="20"/>
          <w:szCs w:val="20"/>
          <w:color w:val="auto"/>
        </w:rPr>
        <w:t>” means, as to any Lender, the percentage equal to (a) the aggregate principal amount of such Lender’s outstanding Loans, divided by (b) the aggregate principal amount of all outstanding Loans.</w:t>
      </w:r>
    </w:p>
    <w:p>
      <w:pPr>
        <w:spacing w:after="0" w:line="177"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(a) the execution, delivery and performance by the Borrower of each Loan Document to which it is a party, (b) the borrowing of the Loans and (c) the use of the proceeds of the Loans.</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xml:space="preserve">”, when used in reference to any Loan or Borrowing, refers to whether the rate of interest on such Loan, or on the Loans comprising such Borrowing, is determined by reference to (a) the Adjusted LIBO Rate or (b) the Alternate Base Rate. For the avoidance of doubt, a Loan that bears interest at a rate determined pursuant to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of the definition of Alternate Base Rate shall, for all purposes of this Agreement, be deemed to be an ABR Loan and not a Eurodollar Loan.</w:t>
      </w:r>
    </w:p>
    <w:p>
      <w:pPr>
        <w:spacing w:after="0" w:line="19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Financial Institution</w:t>
      </w:r>
      <w:r>
        <w:rPr>
          <w:rFonts w:ascii="Arial" w:cs="Arial" w:eastAsia="Arial" w:hAnsi="Arial"/>
          <w:sz w:val="20"/>
          <w:szCs w:val="20"/>
          <w:color w:val="auto"/>
        </w:rPr>
        <w:t>” means any BRRD Undertaking (as such term is defined under the PRA Rulebook (as amended form time to time) promulgated by the United Kingdom Prudential Regulation Authority) or any person subject to IFPRU 11.6 of the FCA Handbook (as amended from time</w:t>
      </w:r>
    </w:p>
    <w:p>
      <w:pPr>
        <w:spacing w:after="0" w:line="37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18" w:right="339" w:bottom="1440" w:gutter="0" w:footer="0" w:header="0"/>
        </w:sectPr>
      </w:pPr>
    </w:p>
    <w:bookmarkStart w:id="70" w:name="page71"/>
    <w:bookmarkEnd w:id="70"/>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 time) promulgated by the United Kingdom Financial Conduct Authority, which includes certain credit institutions and investment firms, and certain affiliates of such credit institutions or investment firms.</w:t>
      </w:r>
    </w:p>
    <w:p>
      <w:pPr>
        <w:spacing w:after="0" w:line="15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 “United States person” within the meaning of Section 7701(a)(30) of the Code.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3.7(f)(ii)(B)(3)</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Security</w:t>
      </w:r>
      <w:r>
        <w:rPr>
          <w:rFonts w:ascii="Arial" w:cs="Arial" w:eastAsia="Arial" w:hAnsi="Arial"/>
          <w:sz w:val="20"/>
          <w:szCs w:val="20"/>
          <w:color w:val="auto"/>
        </w:rPr>
        <w:t>” means a security which ordinarily has voting power for the election of the board of directors (or other governing body), whether at all times or only so long as no senior class of Equity Interests has such voting power by reason of any contingency.</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WPS</w:t>
      </w:r>
      <w:r>
        <w:rPr>
          <w:rFonts w:ascii="Arial" w:cs="Arial" w:eastAsia="Arial" w:hAnsi="Arial"/>
          <w:sz w:val="18"/>
          <w:szCs w:val="18"/>
          <w:color w:val="auto"/>
        </w:rPr>
        <w:t>” means the Public Service Commission of Wisconsin or any Governmental Authority succeeding to the functions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Classification of Loans and Borrowings</w:t>
      </w:r>
      <w:r>
        <w:rPr>
          <w:rFonts w:ascii="Arial" w:cs="Arial" w:eastAsia="Arial" w:hAnsi="Arial"/>
          <w:sz w:val="20"/>
          <w:szCs w:val="20"/>
          <w:color w:val="auto"/>
        </w:rPr>
        <w:t>. For purposes of this Agreement, (a) Loans may be classified and referred to by Class (</w:t>
      </w:r>
      <w:r>
        <w:rPr>
          <w:rFonts w:ascii="Arial" w:cs="Arial" w:eastAsia="Arial" w:hAnsi="Arial"/>
          <w:sz w:val="20"/>
          <w:szCs w:val="20"/>
          <w:u w:val="single" w:color="auto"/>
          <w:color w:val="auto"/>
        </w:rPr>
        <w:t>e.g.</w:t>
      </w:r>
      <w:r>
        <w:rPr>
          <w:rFonts w:ascii="Arial" w:cs="Arial" w:eastAsia="Arial" w:hAnsi="Arial"/>
          <w:sz w:val="20"/>
          <w:szCs w:val="20"/>
          <w:color w:val="auto"/>
        </w:rPr>
        <w:t>, an “Effective Date Term Loan”) or by Type (</w:t>
      </w:r>
      <w:r>
        <w:rPr>
          <w:rFonts w:ascii="Arial" w:cs="Arial" w:eastAsia="Arial" w:hAnsi="Arial"/>
          <w:sz w:val="20"/>
          <w:szCs w:val="20"/>
          <w:u w:val="single" w:color="auto"/>
          <w:color w:val="auto"/>
        </w:rPr>
        <w:t>e.g.</w:t>
      </w:r>
      <w:r>
        <w:rPr>
          <w:rFonts w:ascii="Arial" w:cs="Arial" w:eastAsia="Arial" w:hAnsi="Arial"/>
          <w:sz w:val="20"/>
          <w:szCs w:val="20"/>
          <w:color w:val="auto"/>
        </w:rPr>
        <w:t>, a “Eurodollar Loan”) or by Class and Type (</w:t>
      </w:r>
      <w:r>
        <w:rPr>
          <w:rFonts w:ascii="Arial" w:cs="Arial" w:eastAsia="Arial" w:hAnsi="Arial"/>
          <w:sz w:val="20"/>
          <w:szCs w:val="20"/>
          <w:u w:val="single" w:color="auto"/>
          <w:color w:val="auto"/>
        </w:rPr>
        <w:t>e.g.</w:t>
      </w:r>
      <w:r>
        <w:rPr>
          <w:rFonts w:ascii="Arial" w:cs="Arial" w:eastAsia="Arial" w:hAnsi="Arial"/>
          <w:sz w:val="20"/>
          <w:szCs w:val="20"/>
          <w:color w:val="auto"/>
        </w:rPr>
        <w:t>, a “Eurodollar Effective Date Term Loan”).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(b) any definition of or reference to any law shall be construed as referring to such law as from time to time amended and any successor thereto and the rules and regulations promulgated from time to time thereunder, (c) any reference herein to any Person shall be construed to include such Person’s successors and assigns, (d) the words “herein”, “hereof” and “hereunder”, and</w:t>
      </w:r>
    </w:p>
    <w:p>
      <w:pPr>
        <w:spacing w:after="0" w:line="4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18" w:right="339" w:bottom="1440" w:gutter="0" w:footer="0" w:header="0"/>
        </w:sectPr>
      </w:pPr>
    </w:p>
    <w:bookmarkStart w:id="71" w:name="page72"/>
    <w:bookmarkEnd w:id="71"/>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the words “asset” and “property” shall be construed to have the same meaning and effect and to refer to all tangible and intangible assets and properties, including cash, securities, accounts and contract rights, and (g) any reference to a fiscal quarter or fiscal year means a fiscal quarter or fiscal year of the Borrower. Unless otherwise specified, each reference herein to a time of day shall mean such time in New York, New York.</w:t>
      </w:r>
    </w:p>
    <w:p>
      <w:pPr>
        <w:spacing w:after="0" w:line="19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8"/>
          <w:szCs w:val="18"/>
          <w:u w:val="single" w:color="auto"/>
          <w:color w:val="auto"/>
        </w:rPr>
        <w:t>Accounting Terms; GAAP</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71" w:lineRule="auto"/>
        <w:tabs>
          <w:tab w:leader="none" w:pos="1723"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as used in the Loan Documents and in any certificate, opinion or other document made or delivered pursuant thereto, accounting terms not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accounting terms partly defined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to the extent not defined, shall have the respective meanings given to them under GAAP. If at any time any change in GAAP (including any change to the International Financial Reporting Standards by the International Accounting Standards Board or other method of accounting, as may hereafter be required or permitted by the SEC) would affect the computation of any financial requirement set forth in this Agreement, the Administrative Agent, the Lenders and the Borrower shall negotiate in good faith to amend such requirement to reflect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requirement shall continue to be computed in accordance with GAAP prior to such change therein and (ii) the Borrower shall provide to the Credit Parties financial statements and other documents required under this Agreement or as reasonably requested hereunder setting forth a reconciliation between calculations of such requirement made before and after giving effect to such change in GAAP.</w:t>
      </w:r>
    </w:p>
    <w:p>
      <w:pPr>
        <w:spacing w:after="0" w:line="173" w:lineRule="exact"/>
        <w:rPr>
          <w:rFonts w:ascii="Arial" w:cs="Arial" w:eastAsia="Arial" w:hAnsi="Arial"/>
          <w:sz w:val="18"/>
          <w:szCs w:val="18"/>
          <w:color w:val="auto"/>
        </w:rPr>
      </w:pPr>
    </w:p>
    <w:p>
      <w:pPr>
        <w:jc w:val="both"/>
        <w:ind w:firstLine="1304"/>
        <w:spacing w:after="0" w:line="276" w:lineRule="auto"/>
        <w:tabs>
          <w:tab w:leader="none" w:pos="17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1.4(a)</w:t>
      </w:r>
      <w:r>
        <w:rPr>
          <w:rFonts w:ascii="Arial" w:cs="Arial" w:eastAsia="Arial" w:hAnsi="Arial"/>
          <w:sz w:val="18"/>
          <w:szCs w:val="18"/>
          <w:color w:val="auto"/>
        </w:rPr>
        <w:t xml:space="preserve"> or in the definition of “Capital Lease Obligations,” any change in accounting for leases pursuant to GAAP resulting from the adoption of Financial Accounting Standards Board Accounting Standards Update No. 2016-02, Leases (Topic 842) (“</w:t>
      </w:r>
      <w:r>
        <w:rPr>
          <w:rFonts w:ascii="Arial" w:cs="Arial" w:eastAsia="Arial" w:hAnsi="Arial"/>
          <w:sz w:val="18"/>
          <w:szCs w:val="18"/>
          <w:u w:val="single" w:color="auto"/>
          <w:color w:val="auto"/>
        </w:rPr>
        <w:t>FAS 842”</w:t>
      </w:r>
      <w:r>
        <w:rPr>
          <w:rFonts w:ascii="Arial" w:cs="Arial" w:eastAsia="Arial" w:hAnsi="Arial"/>
          <w:sz w:val="18"/>
          <w:szCs w:val="18"/>
          <w:color w:val="auto"/>
        </w:rPr>
        <w:t>),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6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1.5. </w:t>
      </w:r>
      <w:r>
        <w:rPr>
          <w:rFonts w:ascii="Arial" w:cs="Arial" w:eastAsia="Arial" w:hAnsi="Arial"/>
          <w:sz w:val="20"/>
          <w:szCs w:val="20"/>
          <w:u w:val="single" w:color="auto"/>
          <w:color w:val="auto"/>
        </w:rPr>
        <w:t>LIBOR Notification</w:t>
      </w:r>
      <w:r>
        <w:rPr>
          <w:rFonts w:ascii="Arial" w:cs="Arial" w:eastAsia="Arial" w:hAnsi="Arial"/>
          <w:sz w:val="20"/>
          <w:szCs w:val="20"/>
          <w:color w:val="auto"/>
        </w:rPr>
        <w:t>. The interest rate on Eurodollar Borrowings is determined by reference to the LIBO Rate. Section 3.4(b) provides a mechanism for (a) determining an alternative rate of interest if the LIBO Rate is no longer available or in the other circumstances set forth in Section 3.4(b) and (b) modifying this Agreement to give effect to such alternative rate of interest. The Administrative Agent does not warrant or accept any responsibility for, and shall not have any liability with respect to, the administration, submission or any other matter related to the LIBO Rate or other rates in the definition of LIBO Rate or with respect to any alternative or successor rate thereto, or replacement rate thereof, including without limitation, whether any such alternative, successor or replacement reference rate, as it may or may not be adjusted pursuant to Section 3.4(b), will have the same value as, or be economically equivalent to, the LIBO Rate.</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u w:val="single" w:color="auto"/>
          <w:color w:val="auto"/>
        </w:rPr>
        <w:t>Rounding</w:t>
      </w:r>
      <w:r>
        <w:rPr>
          <w:rFonts w:ascii="Arial" w:cs="Arial" w:eastAsia="Arial" w:hAnsi="Arial"/>
          <w:sz w:val="20"/>
          <w:szCs w:val="20"/>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w:t>
      </w: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1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4</w:t>
      </w:r>
    </w:p>
    <w:p>
      <w:pPr>
        <w:spacing w:after="0" w:line="221"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herein and rounding the result up or down to the nearest number (with a rounding</w:t>
      </w:r>
      <w:r>
        <w:rPr>
          <w:rFonts w:ascii="MS PGothic" w:cs="MS PGothic" w:eastAsia="MS PGothic" w:hAnsi="MS PGothic"/>
          <w:sz w:val="20"/>
          <w:szCs w:val="20"/>
          <w:color w:val="auto"/>
        </w:rPr>
        <w:t>‑</w:t>
      </w:r>
      <w:r>
        <w:rPr>
          <w:rFonts w:ascii="Arial" w:cs="Arial" w:eastAsia="Arial" w:hAnsi="Arial"/>
          <w:sz w:val="20"/>
          <w:szCs w:val="20"/>
          <w:color w:val="auto"/>
        </w:rPr>
        <w:t>up if there is no nearest number).</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CREDITS</w:t>
      </w:r>
      <w:r>
        <w:rPr>
          <w:rFonts w:ascii="Arial" w:cs="Arial" w:eastAsia="Arial" w:hAnsi="Arial"/>
          <w:sz w:val="20"/>
          <w:szCs w:val="20"/>
          <w:u w:val="single" w:color="auto"/>
          <w:color w:val="auto"/>
        </w:rPr>
        <w:t>Commitments</w:t>
      </w:r>
      <w:r>
        <w:rPr>
          <w:rFonts w:ascii="Arial" w:cs="Arial" w:eastAsia="Arial" w:hAnsi="Arial"/>
          <w:sz w:val="20"/>
          <w:szCs w:val="20"/>
          <w:color w:val="auto"/>
        </w:rPr>
        <w:t>.</w:t>
      </w:r>
    </w:p>
    <w:p>
      <w:pPr>
        <w:spacing w:after="0" w:line="216" w:lineRule="exact"/>
        <w:rPr>
          <w:sz w:val="20"/>
          <w:szCs w:val="20"/>
          <w:color w:val="auto"/>
        </w:rPr>
      </w:pPr>
    </w:p>
    <w:p>
      <w:pPr>
        <w:jc w:val="both"/>
        <w:ind w:firstLine="1304"/>
        <w:spacing w:after="0" w:line="246" w:lineRule="auto"/>
        <w:tabs>
          <w:tab w:leader="none" w:pos="1763" w:val="left"/>
        </w:tabs>
        <w:numPr>
          <w:ilvl w:val="0"/>
          <w:numId w:val="27"/>
        </w:numPr>
        <w:rPr>
          <w:rFonts w:ascii="Arial" w:cs="Arial" w:eastAsia="Arial" w:hAnsi="Arial"/>
          <w:sz w:val="20"/>
          <w:szCs w:val="20"/>
          <w:color w:val="auto"/>
        </w:rPr>
      </w:pPr>
      <w:r>
        <w:rPr>
          <w:rFonts w:ascii="Arial" w:cs="Arial" w:eastAsia="Arial" w:hAnsi="Arial"/>
          <w:sz w:val="20"/>
          <w:szCs w:val="20"/>
          <w:color w:val="auto"/>
        </w:rPr>
        <w:t>Subject to the terms and conditions set forth herein, each Effective Date Lender severally (and not jointly) agrees to make one or more loans (each an “</w:t>
      </w:r>
      <w:r>
        <w:rPr>
          <w:rFonts w:ascii="Arial" w:cs="Arial" w:eastAsia="Arial" w:hAnsi="Arial"/>
          <w:sz w:val="20"/>
          <w:szCs w:val="20"/>
          <w:u w:val="single" w:color="auto"/>
          <w:color w:val="auto"/>
        </w:rPr>
        <w:t>Effective Date Term Loan</w:t>
      </w:r>
      <w:r>
        <w:rPr>
          <w:rFonts w:ascii="Arial" w:cs="Arial" w:eastAsia="Arial" w:hAnsi="Arial"/>
          <w:sz w:val="20"/>
          <w:szCs w:val="20"/>
          <w:color w:val="auto"/>
        </w:rPr>
        <w:t>”) in dollars to the Borrower, on the Effective Date, in an aggregate principal amount equal to such Lender’s Effective Date Commitment. Amounts prepaid or repaid in respect of Effective Date Term Loans may not be reborrowed.</w:t>
      </w:r>
    </w:p>
    <w:p>
      <w:pPr>
        <w:spacing w:after="0" w:line="191" w:lineRule="exact"/>
        <w:rPr>
          <w:rFonts w:ascii="Arial" w:cs="Arial" w:eastAsia="Arial" w:hAnsi="Arial"/>
          <w:sz w:val="20"/>
          <w:szCs w:val="20"/>
          <w:color w:val="auto"/>
        </w:rPr>
      </w:pPr>
    </w:p>
    <w:p>
      <w:pPr>
        <w:jc w:val="both"/>
        <w:ind w:firstLine="1304"/>
        <w:spacing w:after="0" w:line="246" w:lineRule="auto"/>
        <w:tabs>
          <w:tab w:leader="none" w:pos="17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Subject to the terms and conditions set forth herein, each Delayed Draw Lender severally (and not jointly) agrees to make one or more term loans (each a “</w:t>
      </w:r>
      <w:r>
        <w:rPr>
          <w:rFonts w:ascii="Arial" w:cs="Arial" w:eastAsia="Arial" w:hAnsi="Arial"/>
          <w:sz w:val="20"/>
          <w:szCs w:val="20"/>
          <w:u w:val="single" w:color="auto"/>
          <w:color w:val="auto"/>
        </w:rPr>
        <w:t>Delayed Draw Term Loan</w:t>
      </w:r>
      <w:r>
        <w:rPr>
          <w:rFonts w:ascii="Arial" w:cs="Arial" w:eastAsia="Arial" w:hAnsi="Arial"/>
          <w:sz w:val="20"/>
          <w:szCs w:val="20"/>
          <w:color w:val="auto"/>
        </w:rPr>
        <w:t>”) on a single date in dollars to the Borrower, during the Availability Period, in an aggregate principal amount equal to such Lender’s Delayed Draw Commitment. Amounts prepaid or repaid in respect of Delayed Draw Term Loans may not be reborrowed.</w:t>
      </w:r>
    </w:p>
    <w:p>
      <w:pPr>
        <w:spacing w:after="0" w:line="19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6"/>
          <w:szCs w:val="16"/>
          <w:u w:val="single" w:color="auto"/>
          <w:color w:val="auto"/>
        </w:rPr>
        <w:t>Loans and Borrowings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63" w:lineRule="auto"/>
        <w:tabs>
          <w:tab w:leader="none" w:pos="1723"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Commitments of the Lenders are several, and no Lender shall be responsible for any other Lender’s failure to make any Loan as required.</w:t>
      </w:r>
    </w:p>
    <w:p>
      <w:pPr>
        <w:spacing w:after="0" w:line="176" w:lineRule="exact"/>
        <w:rPr>
          <w:rFonts w:ascii="Arial" w:cs="Arial" w:eastAsia="Arial" w:hAnsi="Arial"/>
          <w:sz w:val="19"/>
          <w:szCs w:val="19"/>
          <w:color w:val="auto"/>
        </w:rPr>
      </w:pPr>
    </w:p>
    <w:p>
      <w:pPr>
        <w:jc w:val="both"/>
        <w:ind w:firstLine="1304"/>
        <w:spacing w:after="0" w:line="260" w:lineRule="auto"/>
        <w:tabs>
          <w:tab w:leader="none" w:pos="1706"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each Borrowing shall be comprised entirely of ABR Loans or Eurodollar Loans, as applicable, in each case as the Borrower may request in accordance herewith. Each Lender at its option may make any Eurodollar Loan (and any ABR Loan, the interest on which is determined pursuant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of Alternate Base Rate) by causing any domestic or foreign branch or Affiliate of such Lender to make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Borrower to repay such Loan in accordance with the terms of this Agreement.</w:t>
      </w:r>
    </w:p>
    <w:p>
      <w:pPr>
        <w:spacing w:after="0" w:line="180" w:lineRule="exact"/>
        <w:rPr>
          <w:rFonts w:ascii="Arial" w:cs="Arial" w:eastAsia="Arial" w:hAnsi="Arial"/>
          <w:sz w:val="19"/>
          <w:szCs w:val="19"/>
          <w:color w:val="auto"/>
        </w:rPr>
      </w:pPr>
    </w:p>
    <w:p>
      <w:pPr>
        <w:jc w:val="both"/>
        <w:ind w:firstLine="1304"/>
        <w:spacing w:after="0" w:line="282" w:lineRule="auto"/>
        <w:tabs>
          <w:tab w:leader="none" w:pos="17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Eurodollar Borrowing, such Borrowing shall be in an aggregate amount that is $5,000,000 or a higher integral multiple of $1,000,000. At the time that each ABR Borrowing is made, such Borrowing shall be in an aggregate amount that is $5,000,000 or a higher integral multiple of $1,000,000.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ten Eurodollar Borrowings outstanding.</w:t>
      </w:r>
    </w:p>
    <w:p>
      <w:pPr>
        <w:spacing w:after="0" w:line="3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1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Exhibit 4</w:t>
      </w:r>
    </w:p>
    <w:p>
      <w:pPr>
        <w:spacing w:after="0" w:line="221" w:lineRule="exact"/>
        <w:rPr>
          <w:sz w:val="20"/>
          <w:szCs w:val="20"/>
          <w:color w:val="auto"/>
        </w:rPr>
      </w:pPr>
    </w:p>
    <w:p>
      <w:pPr>
        <w:ind w:right="20" w:firstLine="1304"/>
        <w:spacing w:after="0" w:line="287" w:lineRule="auto"/>
        <w:tabs>
          <w:tab w:leader="none" w:pos="1787" w:val="left"/>
        </w:tabs>
        <w:numPr>
          <w:ilvl w:val="0"/>
          <w:numId w:val="29"/>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5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63" w:lineRule="auto"/>
        <w:tabs>
          <w:tab w:leader="none" w:pos="1750"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To request a Borrowing, the Borrower shall deliver a Credit Request to the Administrative Agent (2) in the case of a Eurodollar Borrowing, not later than 12:30 p.m. three Business Days before the date of the proposed Borrowing or (2) in the case of an ABR Borrowing, not later than 12:30 p.m. on the date of the proposed Borrowing. Each such Credit Request shall be irrevocable (except as otherwise provided in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and shall specify the following information in compliance with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ind w:left="2320" w:hanging="368"/>
        <w:spacing w:after="0"/>
        <w:tabs>
          <w:tab w:leader="none" w:pos="232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Class of Borrowing and the aggregate amount of the requested Borrowing;</w:t>
      </w:r>
    </w:p>
    <w:p>
      <w:pPr>
        <w:spacing w:after="0" w:line="215" w:lineRule="exact"/>
        <w:rPr>
          <w:rFonts w:ascii="Arial" w:cs="Arial" w:eastAsia="Arial" w:hAnsi="Arial"/>
          <w:sz w:val="20"/>
          <w:szCs w:val="20"/>
          <w:color w:val="auto"/>
        </w:rPr>
      </w:pPr>
    </w:p>
    <w:p>
      <w:pPr>
        <w:ind w:left="2380" w:hanging="428"/>
        <w:spacing w:after="0"/>
        <w:tabs>
          <w:tab w:leader="none" w:pos="23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215" w:lineRule="exact"/>
        <w:rPr>
          <w:rFonts w:ascii="Arial" w:cs="Arial" w:eastAsia="Arial" w:hAnsi="Arial"/>
          <w:sz w:val="20"/>
          <w:szCs w:val="20"/>
          <w:color w:val="auto"/>
        </w:rPr>
      </w:pPr>
    </w:p>
    <w:p>
      <w:pPr>
        <w:ind w:left="2420" w:hanging="468"/>
        <w:spacing w:after="0"/>
        <w:tabs>
          <w:tab w:leader="none" w:pos="2420" w:val="left"/>
        </w:tabs>
        <w:numPr>
          <w:ilvl w:val="1"/>
          <w:numId w:val="30"/>
        </w:numPr>
        <w:rPr>
          <w:rFonts w:ascii="Arial" w:cs="Arial" w:eastAsia="Arial" w:hAnsi="Arial"/>
          <w:sz w:val="20"/>
          <w:szCs w:val="20"/>
          <w:color w:val="auto"/>
        </w:rPr>
      </w:pPr>
      <w:r>
        <w:rPr>
          <w:rFonts w:ascii="Arial" w:cs="Arial" w:eastAsia="Arial" w:hAnsi="Arial"/>
          <w:sz w:val="20"/>
          <w:szCs w:val="20"/>
          <w:color w:val="auto"/>
        </w:rPr>
        <w:t>whether such Borrowing is to be an ABR Borrowing or a Eurodollar Borrowing;</w:t>
      </w:r>
    </w:p>
    <w:p>
      <w:pPr>
        <w:spacing w:after="0" w:line="215" w:lineRule="exact"/>
        <w:rPr>
          <w:rFonts w:ascii="Arial" w:cs="Arial" w:eastAsia="Arial" w:hAnsi="Arial"/>
          <w:sz w:val="20"/>
          <w:szCs w:val="20"/>
          <w:color w:val="auto"/>
        </w:rPr>
      </w:pPr>
    </w:p>
    <w:p>
      <w:pPr>
        <w:ind w:left="1300" w:firstLine="652"/>
        <w:spacing w:after="0" w:line="260" w:lineRule="auto"/>
        <w:tabs>
          <w:tab w:leader="none" w:pos="2495" w:val="left"/>
        </w:tabs>
        <w:numPr>
          <w:ilvl w:val="1"/>
          <w:numId w:val="30"/>
        </w:numPr>
        <w:rPr>
          <w:rFonts w:ascii="Arial" w:cs="Arial" w:eastAsia="Arial" w:hAnsi="Arial"/>
          <w:sz w:val="20"/>
          <w:szCs w:val="20"/>
          <w:color w:val="auto"/>
        </w:rPr>
      </w:pPr>
      <w:r>
        <w:rPr>
          <w:rFonts w:ascii="Arial" w:cs="Arial" w:eastAsia="Arial" w:hAnsi="Arial"/>
          <w:sz w:val="20"/>
          <w:szCs w:val="20"/>
          <w:color w:val="auto"/>
        </w:rPr>
        <w:t>in the case of a Eurodollar Borrowing, the initial Interest Period to be applicable thereto, which shall be a period contemplated by the definition of the term “Interest Period”; and</w:t>
      </w:r>
    </w:p>
    <w:p>
      <w:pPr>
        <w:spacing w:after="0" w:line="176" w:lineRule="exact"/>
        <w:rPr>
          <w:rFonts w:ascii="Arial" w:cs="Arial" w:eastAsia="Arial" w:hAnsi="Arial"/>
          <w:sz w:val="20"/>
          <w:szCs w:val="20"/>
          <w:color w:val="auto"/>
        </w:rPr>
      </w:pPr>
    </w:p>
    <w:p>
      <w:pPr>
        <w:ind w:left="1300" w:firstLine="652"/>
        <w:spacing w:after="0" w:line="260" w:lineRule="auto"/>
        <w:tabs>
          <w:tab w:leader="none" w:pos="2358" w:val="left"/>
        </w:tabs>
        <w:numPr>
          <w:ilvl w:val="1"/>
          <w:numId w:val="30"/>
        </w:numPr>
        <w:rPr>
          <w:rFonts w:ascii="Arial" w:cs="Arial" w:eastAsia="Arial" w:hAnsi="Arial"/>
          <w:sz w:val="20"/>
          <w:szCs w:val="20"/>
          <w:color w:val="auto"/>
        </w:rPr>
      </w:pPr>
      <w:r>
        <w:rPr>
          <w:rFonts w:ascii="Arial" w:cs="Arial" w:eastAsia="Arial" w:hAnsi="Arial"/>
          <w:sz w:val="20"/>
          <w:szCs w:val="20"/>
          <w:color w:val="auto"/>
        </w:rPr>
        <w:t xml:space="preserve">the location and number of the Borrower’s account to which funds are to be disbursed, which shall comply with the requirements of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1304"/>
        <w:spacing w:after="0" w:line="244" w:lineRule="auto"/>
        <w:tabs>
          <w:tab w:leader="none" w:pos="1706" w:val="left"/>
        </w:tabs>
        <w:numPr>
          <w:ilvl w:val="0"/>
          <w:numId w:val="30"/>
        </w:numPr>
        <w:rPr>
          <w:rFonts w:ascii="Arial" w:cs="Arial" w:eastAsia="Arial" w:hAnsi="Arial"/>
          <w:sz w:val="20"/>
          <w:szCs w:val="20"/>
          <w:color w:val="auto"/>
        </w:rPr>
      </w:pPr>
      <w:r>
        <w:rPr>
          <w:rFonts w:ascii="Arial" w:cs="Arial" w:eastAsia="Arial" w:hAnsi="Arial"/>
          <w:sz w:val="20"/>
          <w:szCs w:val="20"/>
          <w:color w:val="auto"/>
        </w:rPr>
        <w:t>If no election as to the Type of Borrowing is specified, then the requested Borrowing shall be an ABR Borrowing. If no Interest Period is specified with respect to any requested Eurodollar Borrowing, then the Borrower shall be deemed to have selected an Interest Period of one month’s duration. Promptly following receipt of a Credit Request in accordance with this Section, the Administrative Agent shall advise each applicable Lender of the details thereof and of the amount of such Lender’s Loan to be made as part of the requested Borrowing.</w:t>
      </w:r>
    </w:p>
    <w:p>
      <w:pPr>
        <w:spacing w:after="0" w:line="19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44" w:lineRule="auto"/>
        <w:tabs>
          <w:tab w:leader="none" w:pos="1817"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Each Lender shall make each Loan to be made by it hereunder on the proposed date thereof by wire transfer of immediately available funds by 2:00 p.m. to the account of the Administrative Agent most recently designated by it for such purpose by notice to the Lenders. Subject to </w:t>
      </w:r>
      <w:r>
        <w:rPr>
          <w:rFonts w:ascii="Arial" w:cs="Arial" w:eastAsia="Arial" w:hAnsi="Arial"/>
          <w:sz w:val="20"/>
          <w:szCs w:val="20"/>
          <w:u w:val="single" w:color="auto"/>
          <w:color w:val="auto"/>
        </w:rPr>
        <w:t>Section 5.2</w:t>
      </w:r>
      <w:r>
        <w:rPr>
          <w:rFonts w:ascii="Arial" w:cs="Arial" w:eastAsia="Arial" w:hAnsi="Arial"/>
          <w:sz w:val="20"/>
          <w:szCs w:val="20"/>
          <w:color w:val="auto"/>
        </w:rPr>
        <w:t>, the Administrative Agent will make such Loans available to the Borrower by promptly crediting or otherwise transferring the amounts so received, in like funds, to an account of the Borrower designated by the Borrower in the applicable Credit Request.</w:t>
      </w:r>
    </w:p>
    <w:p>
      <w:pPr>
        <w:spacing w:after="0" w:line="194" w:lineRule="exact"/>
        <w:rPr>
          <w:rFonts w:ascii="Arial" w:cs="Arial" w:eastAsia="Arial" w:hAnsi="Arial"/>
          <w:sz w:val="20"/>
          <w:szCs w:val="20"/>
          <w:color w:val="auto"/>
        </w:rPr>
      </w:pPr>
    </w:p>
    <w:p>
      <w:pPr>
        <w:jc w:val="both"/>
        <w:ind w:firstLine="1304"/>
        <w:spacing w:after="0" w:line="263" w:lineRule="auto"/>
        <w:tabs>
          <w:tab w:leader="none" w:pos="17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9"/>
          <w:szCs w:val="19"/>
          <w:u w:val="single" w:color="auto"/>
          <w:color w:val="auto"/>
        </w:rPr>
        <w:t>Section 2.4(a)</w:t>
      </w:r>
      <w:r>
        <w:rPr>
          <w:rFonts w:ascii="Arial" w:cs="Arial" w:eastAsia="Arial" w:hAnsi="Arial"/>
          <w:sz w:val="19"/>
          <w:szCs w:val="19"/>
          <w:color w:val="auto"/>
        </w:rPr>
        <w:t xml:space="preserve"> and may, in reliance upon such assumption, make available to the Borrower a corresponding amount. In such event, if a Lender</w:t>
      </w:r>
    </w:p>
    <w:p>
      <w:pPr>
        <w:spacing w:after="0" w:line="3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18" w:right="339" w:bottom="1440" w:gutter="0" w:footer="0" w:header="0"/>
        </w:sectPr>
      </w:pPr>
    </w:p>
    <w:bookmarkStart w:id="74" w:name="page75"/>
    <w:bookmarkEnd w:id="74"/>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the interest rate that would be otherwise applicable to such Borrowing. Any payment by the Borrower, however, shall be without prejudice to its rights against the applicable Lender. If such Lender pays such amount to the Administrative Agent, then such amount shall constitute such Lender’s Loan.</w:t>
      </w:r>
    </w:p>
    <w:p>
      <w:pPr>
        <w:spacing w:after="0" w:line="19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w:t>
      </w:r>
    </w:p>
    <w:p>
      <w:pPr>
        <w:spacing w:after="0" w:line="216" w:lineRule="exact"/>
        <w:rPr>
          <w:sz w:val="20"/>
          <w:szCs w:val="20"/>
          <w:color w:val="auto"/>
        </w:rPr>
      </w:pPr>
    </w:p>
    <w:p>
      <w:pPr>
        <w:ind w:right="20" w:firstLine="1304"/>
        <w:spacing w:after="0" w:line="260" w:lineRule="auto"/>
        <w:tabs>
          <w:tab w:leader="none" w:pos="1696"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Effective Date Commitments shall automatically and permanently terminate on the Effective Date upon the funding of the Effective Date Term Loans.</w:t>
      </w:r>
    </w:p>
    <w:p>
      <w:pPr>
        <w:spacing w:after="0" w:line="176" w:lineRule="exact"/>
        <w:rPr>
          <w:rFonts w:ascii="Arial" w:cs="Arial" w:eastAsia="Arial" w:hAnsi="Arial"/>
          <w:sz w:val="20"/>
          <w:szCs w:val="20"/>
          <w:color w:val="auto"/>
        </w:rPr>
      </w:pPr>
    </w:p>
    <w:p>
      <w:pPr>
        <w:ind w:left="1740" w:hanging="436"/>
        <w:spacing w:after="0"/>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Delayed Draw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38" w:lineRule="exact"/>
        <w:rPr>
          <w:rFonts w:ascii="Arial" w:cs="Arial" w:eastAsia="Arial" w:hAnsi="Arial"/>
          <w:sz w:val="18"/>
          <w:szCs w:val="18"/>
          <w:color w:val="auto"/>
        </w:rPr>
      </w:pPr>
    </w:p>
    <w:p>
      <w:pPr>
        <w:jc w:val="both"/>
        <w:ind w:firstLine="8"/>
        <w:spacing w:after="0" w:line="241" w:lineRule="auto"/>
        <w:tabs>
          <w:tab w:leader="none" w:pos="258" w:val="left"/>
        </w:tabs>
        <w:numPr>
          <w:ilvl w:val="0"/>
          <w:numId w:val="33"/>
        </w:numPr>
        <w:rPr>
          <w:rFonts w:ascii="Arial" w:cs="Arial" w:eastAsia="Arial" w:hAnsi="Arial"/>
          <w:sz w:val="20"/>
          <w:szCs w:val="20"/>
          <w:color w:val="auto"/>
        </w:rPr>
      </w:pPr>
      <w:r>
        <w:rPr>
          <w:rFonts w:ascii="Arial" w:cs="Arial" w:eastAsia="Arial" w:hAnsi="Arial"/>
          <w:sz w:val="20"/>
          <w:szCs w:val="20"/>
          <w:color w:val="auto"/>
        </w:rPr>
        <w:t>each reduction of such Commitments shall be in the amount of $5,000,000 or a higher integral multiple of $1,000,000 and (ii) unless previously terminated, the Delayed Draw Commitments shall automatically and permanently terminate on the earlier of (x) the Maturity Date and (y) date of the funding of the Delayed Draw Term Loans upon the funding thereof.</w:t>
      </w:r>
    </w:p>
    <w:p>
      <w:pPr>
        <w:spacing w:after="0" w:line="195" w:lineRule="exact"/>
        <w:rPr>
          <w:rFonts w:ascii="Arial" w:cs="Arial" w:eastAsia="Arial" w:hAnsi="Arial"/>
          <w:sz w:val="20"/>
          <w:szCs w:val="20"/>
          <w:color w:val="auto"/>
        </w:rPr>
      </w:pPr>
    </w:p>
    <w:p>
      <w:pPr>
        <w:jc w:val="both"/>
        <w:ind w:firstLine="1304"/>
        <w:spacing w:after="0" w:line="256" w:lineRule="auto"/>
        <w:tabs>
          <w:tab w:leader="none" w:pos="1871"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of any election to terminate or reduce the Delayed Draw Commitments under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Delayed Draw Lenders of the contents thereof. Each notice delivered by the Borrower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the Delayed Draw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Each reduction, and any termination, of the Delayed Draw Commitments shall be permanent and each reduction of the Delayed Draw Commitments shall be made ratably among the Delayed Draw Lenders in accordance with their respective Delayed Draw Commitments.</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2.6.</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63" w:lineRule="auto"/>
        <w:tabs>
          <w:tab w:leader="none" w:pos="1709"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Borrower hereby unconditionally promises to pay to the Administrative Agent (i) for the account of each Effective Date Lender the then unpaid principal amount of each Effective Date Term Loan on the Maturity Date, (ii) for the account of each Delayed Draw Lender the then unpaid principal amount of each Delayed Draw Term Loan on the Maturity Date and (iii) for the account of each Incremental Lender the then unpaid principal amount of each Incremental Term Loan on the Maturity Date.</w:t>
      </w:r>
    </w:p>
    <w:p>
      <w:pPr>
        <w:spacing w:after="0" w:line="176" w:lineRule="exact"/>
        <w:rPr>
          <w:rFonts w:ascii="Arial" w:cs="Arial" w:eastAsia="Arial" w:hAnsi="Arial"/>
          <w:sz w:val="19"/>
          <w:szCs w:val="19"/>
          <w:color w:val="auto"/>
        </w:rPr>
      </w:pPr>
    </w:p>
    <w:p>
      <w:pPr>
        <w:jc w:val="both"/>
        <w:ind w:firstLine="1304"/>
        <w:spacing w:after="0" w:line="250" w:lineRule="auto"/>
        <w:tabs>
          <w:tab w:leader="none" w:pos="1787" w:val="left"/>
        </w:tabs>
        <w:numPr>
          <w:ilvl w:val="0"/>
          <w:numId w:val="34"/>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debt of the Borrower to such Lender resulting from each Loan made by such Lender, including the amounts of principal and interest payable and paid to such Lender from time to time hereunder.</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696"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Administrative Agent shall maintain accounts in which it shall record (2) the amount of each Loan made hereunder, the Class and Type thereof and the Interest Period, if any, applicable thereto, (2) the amount of any principal or interest due and payable or to become due and</w:t>
      </w: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18" w:right="339" w:bottom="1440" w:gutter="0" w:footer="0" w:header="0"/>
        </w:sectPr>
      </w:pPr>
    </w:p>
    <w:bookmarkStart w:id="75" w:name="page76"/>
    <w:bookmarkEnd w:id="75"/>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payable from the Borrower to each Lender hereunder and (2) the amount of any sum received by the Administrative Agent hereunder for the account of the Lenders and each Lender’s share thereof.</w:t>
      </w:r>
    </w:p>
    <w:p>
      <w:pPr>
        <w:spacing w:after="0" w:line="177" w:lineRule="exact"/>
        <w:rPr>
          <w:sz w:val="20"/>
          <w:szCs w:val="20"/>
          <w:color w:val="auto"/>
        </w:rPr>
      </w:pPr>
    </w:p>
    <w:p>
      <w:pPr>
        <w:jc w:val="both"/>
        <w:ind w:firstLine="1304"/>
        <w:spacing w:after="0" w:line="246" w:lineRule="auto"/>
        <w:tabs>
          <w:tab w:leader="none" w:pos="1814" w:val="left"/>
        </w:tabs>
        <w:numPr>
          <w:ilvl w:val="0"/>
          <w:numId w:val="35"/>
        </w:numPr>
        <w:rPr>
          <w:rFonts w:ascii="Arial" w:cs="Arial" w:eastAsia="Arial" w:hAnsi="Arial"/>
          <w:sz w:val="20"/>
          <w:szCs w:val="20"/>
          <w:color w:val="auto"/>
        </w:rPr>
      </w:pPr>
      <w:r>
        <w:rPr>
          <w:rFonts w:ascii="Arial" w:cs="Arial" w:eastAsia="Arial" w:hAnsi="Arial"/>
          <w:sz w:val="20"/>
          <w:szCs w:val="20"/>
          <w:color w:val="auto"/>
        </w:rPr>
        <w:t xml:space="preserve">The entries made in the accounts maintained pursuant to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this Section shall be prima facie evidence of the existence and amounts of the obligations recorded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91" w:lineRule="exact"/>
        <w:rPr>
          <w:rFonts w:ascii="Arial" w:cs="Arial" w:eastAsia="Arial" w:hAnsi="Arial"/>
          <w:sz w:val="20"/>
          <w:szCs w:val="20"/>
          <w:color w:val="auto"/>
        </w:rPr>
      </w:pPr>
    </w:p>
    <w:p>
      <w:pPr>
        <w:jc w:val="both"/>
        <w:ind w:firstLine="1304"/>
        <w:spacing w:after="0" w:line="278" w:lineRule="auto"/>
        <w:tabs>
          <w:tab w:leader="none" w:pos="1709"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Any Lender may request that its Loans be evidenced by a Note. In such event, the Borrower shall prepare, execute and deliver to such Lender a Note payable to the order of such Lender. Thereafter, the Loans evidenced by such Note and interest thereon shall at all times (including after any assignment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be represented by a Note payable to the order of the payee named therein or any Eligible Assignee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except to the extent that any such Lender or Eligible Assignee subsequently returns any such Note for cancellation and requests that such Loans once again be evidenced as described in </w:t>
      </w:r>
      <w:r>
        <w:rPr>
          <w:rFonts w:ascii="Arial" w:cs="Arial" w:eastAsia="Arial" w:hAnsi="Arial"/>
          <w:sz w:val="18"/>
          <w:szCs w:val="18"/>
          <w:u w:val="single" w:color="auto"/>
          <w:color w:val="auto"/>
        </w:rPr>
        <w:t>paragraphs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w:t>
      </w:r>
    </w:p>
    <w:p>
      <w:pPr>
        <w:spacing w:after="0" w:line="16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16" w:lineRule="exact"/>
        <w:rPr>
          <w:sz w:val="20"/>
          <w:szCs w:val="20"/>
          <w:color w:val="auto"/>
        </w:rPr>
      </w:pPr>
    </w:p>
    <w:p>
      <w:pPr>
        <w:ind w:firstLine="1304"/>
        <w:spacing w:after="0" w:line="260" w:lineRule="auto"/>
        <w:tabs>
          <w:tab w:leader="none" w:pos="1723"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Voluntary Prepayments</w:t>
      </w:r>
      <w:r>
        <w:rPr>
          <w:rFonts w:ascii="Arial" w:cs="Arial" w:eastAsia="Arial" w:hAnsi="Arial"/>
          <w:sz w:val="20"/>
          <w:szCs w:val="20"/>
          <w:color w:val="auto"/>
        </w:rPr>
        <w:t>. The Borrower shall have the right at any time and from time to time to prepay any Borrowing in whole or in part, subject to the requirements of this Section.</w:t>
      </w:r>
    </w:p>
    <w:p>
      <w:pPr>
        <w:spacing w:after="0" w:line="176" w:lineRule="exact"/>
        <w:rPr>
          <w:rFonts w:ascii="Arial" w:cs="Arial" w:eastAsia="Arial" w:hAnsi="Arial"/>
          <w:sz w:val="20"/>
          <w:szCs w:val="20"/>
          <w:color w:val="auto"/>
        </w:rPr>
      </w:pPr>
    </w:p>
    <w:p>
      <w:pPr>
        <w:jc w:val="both"/>
        <w:ind w:firstLine="1304"/>
        <w:spacing w:after="0" w:line="255" w:lineRule="auto"/>
        <w:tabs>
          <w:tab w:leader="none" w:pos="1733"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Notice of Prepayment; Application of Prepayments</w:t>
      </w:r>
      <w:r>
        <w:rPr>
          <w:rFonts w:ascii="Arial" w:cs="Arial" w:eastAsia="Arial" w:hAnsi="Arial"/>
          <w:sz w:val="19"/>
          <w:szCs w:val="19"/>
          <w:color w:val="auto"/>
        </w:rPr>
        <w:t xml:space="preserve">. The Borrower shall notify the Administrative Agent by telephone (confirmed by facsimile) of any prepayment hereunder, (i) in the case of a prepayment of a Eurodollar Borrowing, not later than 11:30 a.m. three Business Days before the date of prepayment or (ii) in the case of prepayment of an ABR Borrowing, not later than 11:30 a.m. on the date of the prepayment. Each such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notice of prepayment is given in connection with a conditional notice of termination of the Commitments as contemplated by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then such notice of prepayment may be revoked if such notice of termination is revoked in accordance with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Promptly following receipt of any such notice relating to a Borrowing, the Administrative Agent shall advise the Lenders of the contents thereof. Each partial prepayment of any Borrowing shall be in an integral multiple of $1,000,000 and not less than $5,000,000 (or, if the outstanding principal balance of the applicable Borrowing is less than such minimum amount, then such lesser outstanding principal balance. Each prepayment of a Borrowing shall be applied ratably to the Loans included in the prepaid Borrowing. Prepayments shall be accompanied by accrued interest to the extent required by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if applicable, shall be subject to the provisions of </w:t>
      </w:r>
      <w:r>
        <w:rPr>
          <w:rFonts w:ascii="Arial" w:cs="Arial" w:eastAsia="Arial" w:hAnsi="Arial"/>
          <w:sz w:val="19"/>
          <w:szCs w:val="19"/>
          <w:u w:val="single" w:color="auto"/>
          <w:color w:val="auto"/>
        </w:rPr>
        <w:t>Section 3.6</w:t>
      </w:r>
      <w:r>
        <w:rPr>
          <w:rFonts w:ascii="Arial" w:cs="Arial" w:eastAsia="Arial" w:hAnsi="Arial"/>
          <w:sz w:val="19"/>
          <w:szCs w:val="19"/>
          <w:color w:val="auto"/>
        </w:rPr>
        <w:t>.</w:t>
      </w:r>
    </w:p>
    <w:p>
      <w:pPr>
        <w:spacing w:after="0" w:line="184" w:lineRule="exact"/>
        <w:rPr>
          <w:sz w:val="20"/>
          <w:szCs w:val="20"/>
          <w:color w:val="auto"/>
        </w:rPr>
      </w:pPr>
    </w:p>
    <w:p>
      <w:pPr>
        <w:ind w:left="660"/>
        <w:spacing w:after="0" w:line="230" w:lineRule="exact"/>
        <w:tabs>
          <w:tab w:leader="none" w:pos="1760" w:val="left"/>
        </w:tabs>
        <w:rPr>
          <w:sz w:val="20"/>
          <w:szCs w:val="20"/>
          <w:color w:val="auto"/>
        </w:rPr>
      </w:pPr>
      <w:r>
        <w:rPr>
          <w:rFonts w:ascii="Arial" w:cs="Arial" w:eastAsia="Arial" w:hAnsi="Arial"/>
          <w:sz w:val="20"/>
          <w:szCs w:val="20"/>
          <w:color w:val="auto"/>
        </w:rPr>
        <w:t>Section 2.8.</w:t>
      </w:r>
      <w:r>
        <w:rPr>
          <w:sz w:val="20"/>
          <w:szCs w:val="20"/>
          <w:color w:val="auto"/>
        </w:rPr>
        <w:tab/>
      </w:r>
      <w:r>
        <w:rPr>
          <w:rFonts w:ascii="Arial" w:cs="Arial" w:eastAsia="Arial" w:hAnsi="Arial"/>
          <w:sz w:val="16"/>
          <w:szCs w:val="16"/>
          <w:u w:val="single" w:color="auto"/>
          <w:color w:val="auto"/>
        </w:rPr>
        <w:t>Payments Generally; Pro Rata Treatment; Sharing of Set</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offs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33" w:lineRule="exact"/>
        <w:tabs>
          <w:tab w:leader="none" w:pos="1817"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The Borrower shall make each payment required to be made by it hereunder or under any other Loan Document (whether of principal of Loans, interest or fees, or of amounts payable under </w:t>
      </w:r>
      <w:r>
        <w:rPr>
          <w:rFonts w:ascii="Arial" w:cs="Arial" w:eastAsia="Arial" w:hAnsi="Arial"/>
          <w:sz w:val="20"/>
          <w:szCs w:val="20"/>
          <w:u w:val="single" w:color="auto"/>
          <w:color w:val="auto"/>
        </w:rPr>
        <w:t>Sections 3.5</w:t>
      </w:r>
      <w:r>
        <w:rPr>
          <w:rFonts w:ascii="Arial" w:cs="Arial" w:eastAsia="Arial" w:hAnsi="Arial"/>
          <w:sz w:val="20"/>
          <w:szCs w:val="20"/>
          <w:color w:val="auto"/>
        </w:rPr>
        <w:t xml:space="preserve">, </w:t>
      </w:r>
      <w:r>
        <w:rPr>
          <w:rFonts w:ascii="Arial" w:cs="Arial" w:eastAsia="Arial" w:hAnsi="Arial"/>
          <w:sz w:val="20"/>
          <w:szCs w:val="20"/>
          <w:u w:val="single" w:color="auto"/>
          <w:color w:val="auto"/>
        </w:rPr>
        <w:t>3.6</w:t>
      </w:r>
      <w:r>
        <w:rPr>
          <w:rFonts w:ascii="Arial" w:cs="Arial" w:eastAsia="Arial" w:hAnsi="Arial"/>
          <w:sz w:val="20"/>
          <w:szCs w:val="20"/>
          <w:color w:val="auto"/>
        </w:rPr>
        <w:t xml:space="preserve">, </w:t>
      </w:r>
      <w:r>
        <w:rPr>
          <w:rFonts w:ascii="Arial" w:cs="Arial" w:eastAsia="Arial" w:hAnsi="Arial"/>
          <w:sz w:val="20"/>
          <w:szCs w:val="20"/>
          <w:u w:val="single" w:color="auto"/>
          <w:color w:val="auto"/>
        </w:rPr>
        <w:t>3.7</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10.3</w:t>
      </w:r>
      <w:r>
        <w:rPr>
          <w:rFonts w:ascii="Arial" w:cs="Arial" w:eastAsia="Arial" w:hAnsi="Arial"/>
          <w:sz w:val="20"/>
          <w:szCs w:val="20"/>
          <w:color w:val="auto"/>
        </w:rPr>
        <w:t>, or otherwise) prior to 1:00 p.m. on the date when due, in immediately available funds, without set</w:t>
      </w:r>
      <w:r>
        <w:rPr>
          <w:rFonts w:ascii="MS PGothic" w:cs="MS PGothic" w:eastAsia="MS PGothic" w:hAnsi="MS PGothic"/>
          <w:sz w:val="20"/>
          <w:szCs w:val="20"/>
          <w:color w:val="auto"/>
        </w:rPr>
        <w:t>‑</w:t>
      </w:r>
      <w:r>
        <w:rPr>
          <w:rFonts w:ascii="Arial" w:cs="Arial" w:eastAsia="Arial" w:hAnsi="Arial"/>
          <w:sz w:val="20"/>
          <w:szCs w:val="20"/>
          <w:color w:val="auto"/>
        </w:rPr>
        <w: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 at 10 S. Dearborn, Chicago, Illinois, or such other office as to which</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18" w:right="339" w:bottom="1440" w:gutter="0" w:footer="0" w:header="0"/>
        </w:sectPr>
      </w:pPr>
    </w:p>
    <w:bookmarkStart w:id="76" w:name="page77"/>
    <w:bookmarkEnd w:id="76"/>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the Administrative Agent may notify the other parties hereto, except that payments pursuant to </w:t>
      </w:r>
      <w:r>
        <w:rPr>
          <w:rFonts w:ascii="Arial" w:cs="Arial" w:eastAsia="Arial" w:hAnsi="Arial"/>
          <w:sz w:val="18"/>
          <w:szCs w:val="18"/>
          <w:u w:val="single" w:color="auto"/>
          <w:color w:val="auto"/>
        </w:rPr>
        <w:t>Sections 3.3(c)</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65" w:lineRule="exact"/>
        <w:rPr>
          <w:sz w:val="20"/>
          <w:szCs w:val="20"/>
          <w:color w:val="auto"/>
        </w:rPr>
      </w:pPr>
    </w:p>
    <w:p>
      <w:pPr>
        <w:jc w:val="both"/>
        <w:ind w:firstLine="1304"/>
        <w:spacing w:after="0" w:line="270" w:lineRule="auto"/>
        <w:tabs>
          <w:tab w:leader="none" w:pos="17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Borrowing, each payment or prepayment of principal of any Borrowing, each payment of interest on the Loans, each payment of fees, each reduction of the Delayed Draw Commitments and each conversion of any Borrowing to or continuation of any Borrowing as a Borrowing of any Type shall be allocated pro rata among the Lenders in accordance with their respective applicable Commitments (or, if such Commitments shall have expired or been terminated, in accordance with the respective principal amounts of their outstanding Loans). All payments (including prepayments) shall be applied to pay the Loans of the Lenders pro rata in accordance with their Total Percentages. Each Lender agrees that in computing such Lender’s portion of any Borrowing to be made hereunder, the Administrative Agent may, in its discretion, round each Lender’s percentage of such Borrowing to the next higher or lower whole dollar amount. If at any time insufficient funds are received by and available to the Administrative Agent to pay fully all amounts of principal of Loans, interest, fees and commissions then due hereunder, such funds shall be applied (2) first, towards payment of interest, fees and commissions then due hereunder, ratably among the parties entitled thereto in accordance with the amounts of interest, fees and commissions then due to such parties and (2) second, towards payment of principal of Loans then due hereunder, ratably among the parties entitled thereto in accordance with the amounts of principal of Loans then due to such parties.</w:t>
      </w:r>
    </w:p>
    <w:p>
      <w:pPr>
        <w:spacing w:after="0" w:line="175" w:lineRule="exact"/>
        <w:rPr>
          <w:rFonts w:ascii="Arial" w:cs="Arial" w:eastAsia="Arial" w:hAnsi="Arial"/>
          <w:sz w:val="18"/>
          <w:szCs w:val="18"/>
          <w:color w:val="auto"/>
        </w:rPr>
      </w:pPr>
    </w:p>
    <w:p>
      <w:pPr>
        <w:jc w:val="both"/>
        <w:ind w:firstLine="1304"/>
        <w:spacing w:after="0" w:line="231" w:lineRule="exact"/>
        <w:tabs>
          <w:tab w:leader="none" w:pos="17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Lender shall, by exercising any right of set</w:t>
      </w:r>
      <w:r>
        <w:rPr>
          <w:rFonts w:ascii="MS PGothic" w:cs="MS PGothic" w:eastAsia="MS PGothic" w:hAnsi="MS PGothic"/>
          <w:sz w:val="18"/>
          <w:szCs w:val="18"/>
          <w:color w:val="auto"/>
        </w:rPr>
        <w:t>‑</w:t>
      </w:r>
      <w:r>
        <w:rPr>
          <w:rFonts w:ascii="Arial" w:cs="Arial" w:eastAsia="Arial" w:hAnsi="Arial"/>
          <w:sz w:val="18"/>
          <w:szCs w:val="18"/>
          <w:color w:val="auto"/>
        </w:rPr>
        <w:t xml:space="preserve">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(2) if any such participations are purchased and all or any portion of the payment giving rise thereto is recovered, such participations shall be rescinded and the purchase price restored to the extent of such recovery, without interest, and (2)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w:t>
      </w:r>
      <w:r>
        <w:rPr>
          <w:rFonts w:ascii="MS PGothic" w:cs="MS PGothic" w:eastAsia="MS PGothic" w:hAnsi="MS PGothic"/>
          <w:sz w:val="18"/>
          <w:szCs w:val="18"/>
          <w:color w:val="auto"/>
        </w:rPr>
        <w:t>‑</w:t>
      </w:r>
      <w:r>
        <w:rPr>
          <w:rFonts w:ascii="Arial" w:cs="Arial" w:eastAsia="Arial" w:hAnsi="Arial"/>
          <w:sz w:val="18"/>
          <w:szCs w:val="18"/>
          <w:color w:val="auto"/>
        </w:rPr>
        <w:t>off and counterclaim with respect to such participation as fully as if such Lender were a direct creditor of the Borrower in the amount of such participation.</w:t>
      </w:r>
    </w:p>
    <w:p>
      <w:pPr>
        <w:spacing w:after="0" w:line="205" w:lineRule="exact"/>
        <w:rPr>
          <w:rFonts w:ascii="Arial" w:cs="Arial" w:eastAsia="Arial" w:hAnsi="Arial"/>
          <w:sz w:val="18"/>
          <w:szCs w:val="18"/>
          <w:color w:val="auto"/>
        </w:rPr>
      </w:pPr>
    </w:p>
    <w:p>
      <w:pPr>
        <w:jc w:val="both"/>
        <w:ind w:firstLine="1304"/>
        <w:spacing w:after="0" w:line="291" w:lineRule="auto"/>
        <w:tabs>
          <w:tab w:leader="none" w:pos="1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is due to the Administrative Agent for the account of the applicable Credit Parties hereunder that the Borrower will not make such payment, the Administrative Agent may assume that the Borrower has made such payment on such date in accordance herewith and may, in</w:t>
      </w:r>
    </w:p>
    <w:p>
      <w:pPr>
        <w:spacing w:after="0" w:line="36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18" w:right="339" w:bottom="1440" w:gutter="0" w:footer="0" w:header="0"/>
        </w:sectPr>
      </w:pPr>
    </w:p>
    <w:bookmarkStart w:id="77" w:name="page78"/>
    <w:bookmarkEnd w:id="77"/>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reliance upon such assumption, distribute to such Credit Parties the amount due. In such event, if the Borrower has not in fact made such payment, then each such Credit Party severally agrees to repay to the Administrative Agent forthwith on demand the amount so distributed to such Credit Party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94" w:lineRule="exact"/>
        <w:rPr>
          <w:sz w:val="20"/>
          <w:szCs w:val="20"/>
          <w:color w:val="auto"/>
        </w:rPr>
      </w:pPr>
    </w:p>
    <w:p>
      <w:pPr>
        <w:jc w:val="both"/>
        <w:ind w:firstLine="1304"/>
        <w:spacing w:after="0" w:line="243" w:lineRule="auto"/>
        <w:tabs>
          <w:tab w:leader="none" w:pos="1723"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If any Credit Party shall fail to make any payment required to be made by it pursuant to </w:t>
      </w:r>
      <w:r>
        <w:rPr>
          <w:rFonts w:ascii="Arial" w:cs="Arial" w:eastAsia="Arial" w:hAnsi="Arial"/>
          <w:sz w:val="20"/>
          <w:szCs w:val="20"/>
          <w:u w:val="single" w:color="auto"/>
          <w:color w:val="auto"/>
        </w:rPr>
        <w:t>Section 2.4(b)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2.8(d)</w:t>
      </w:r>
      <w:r>
        <w:rPr>
          <w:rFonts w:ascii="Arial" w:cs="Arial" w:eastAsia="Arial" w:hAnsi="Arial"/>
          <w:sz w:val="20"/>
          <w:szCs w:val="20"/>
          <w:color w:val="auto"/>
        </w:rPr>
        <w:t>, then the Administrative Agent may, in its discretion (notwithstanding any contrary provision hereof), (i) apply any amounts thereafter received by the Administrative Agent for the account of such Credit Party to satisfy such Credit Party’s obligations under such Sections until all such unsatisfied obligations are fully paid and (ii) hold any such amounts in a segregated account as cash collateral for, and application to, any future funding obligations of such Lender under such Sections; in the case of each of (i) and (ii) above, in any order as determined by the Administrative Agent in its discretion.</w:t>
      </w:r>
    </w:p>
    <w:p>
      <w:pPr>
        <w:spacing w:after="0" w:line="19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2.9.</w:t>
      </w:r>
      <w:r>
        <w:rPr>
          <w:sz w:val="20"/>
          <w:szCs w:val="20"/>
          <w:color w:val="auto"/>
        </w:rPr>
        <w:tab/>
      </w:r>
      <w:r>
        <w:rPr>
          <w:rFonts w:ascii="Arial" w:cs="Arial" w:eastAsia="Arial" w:hAnsi="Arial"/>
          <w:sz w:val="19"/>
          <w:szCs w:val="19"/>
          <w:u w:val="single" w:color="auto"/>
          <w:color w:val="auto"/>
        </w:rPr>
        <w:t>Defaulting Lenders</w:t>
      </w:r>
      <w:r>
        <w:rPr>
          <w:rFonts w:ascii="Arial" w:cs="Arial" w:eastAsia="Arial" w:hAnsi="Arial"/>
          <w:sz w:val="19"/>
          <w:szCs w:val="19"/>
          <w:color w:val="auto"/>
        </w:rPr>
        <w:t>. Notwithstanding any provision of this Agreement to the contrary, if any Lender becomes 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Defaulting Lender, then the following provisions shall apply for so long as such Lender is a Defaulting Lender:</w:t>
      </w:r>
    </w:p>
    <w:p>
      <w:pPr>
        <w:spacing w:after="0" w:line="200" w:lineRule="exact"/>
        <w:rPr>
          <w:sz w:val="20"/>
          <w:szCs w:val="20"/>
          <w:color w:val="auto"/>
        </w:rPr>
      </w:pPr>
    </w:p>
    <w:p>
      <w:pPr>
        <w:ind w:left="1700" w:hanging="396"/>
        <w:spacing w:after="0"/>
        <w:tabs>
          <w:tab w:leader="none" w:pos="17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Fees pursuant to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shall cease to accrue on the unfunded portion of the Delayed Draw Commitment of such</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Defaulting Lender.</w:t>
      </w:r>
    </w:p>
    <w:p>
      <w:pPr>
        <w:spacing w:after="0" w:line="199" w:lineRule="exact"/>
        <w:rPr>
          <w:rFonts w:ascii="Arial" w:cs="Arial" w:eastAsia="Arial" w:hAnsi="Arial"/>
          <w:sz w:val="16"/>
          <w:szCs w:val="16"/>
          <w:color w:val="auto"/>
        </w:rPr>
      </w:pPr>
    </w:p>
    <w:p>
      <w:pPr>
        <w:jc w:val="both"/>
        <w:ind w:firstLine="1304"/>
        <w:spacing w:after="0" w:line="270" w:lineRule="auto"/>
        <w:tabs>
          <w:tab w:leader="none" w:pos="1706"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The Commitments and Loans of such Defaulting Lender shall not be included in determining whether all Lenders or the Required Lenders have voted or taken or may take any action hereunder (including any consent to any amendment, modification or waiver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waiver, amendment or modification requiring the consent of all Lenders or each affected Lender which affects such Defaulting Lender differently than other affected Lenders shall require the consent of such Defaulting Lender and</w:t>
      </w:r>
    </w:p>
    <w:p>
      <w:pPr>
        <w:spacing w:after="0" w:line="2" w:lineRule="exact"/>
        <w:rPr>
          <w:rFonts w:ascii="Arial" w:cs="Arial" w:eastAsia="Arial" w:hAnsi="Arial"/>
          <w:sz w:val="18"/>
          <w:szCs w:val="18"/>
          <w:color w:val="auto"/>
        </w:rPr>
      </w:pPr>
    </w:p>
    <w:p>
      <w:pPr>
        <w:ind w:firstLine="8"/>
        <w:spacing w:after="0" w:line="297" w:lineRule="auto"/>
        <w:tabs>
          <w:tab w:leader="none" w:pos="2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amendment or modification that increases, or extends the maturity of, such Defaulting Lender’s Commitment or reduces the principal amount of, or rate of interest on, any Loan made by such Defaulting Lender, shall require the consent of such Defaulting Lender.</w:t>
      </w:r>
    </w:p>
    <w:p>
      <w:pPr>
        <w:spacing w:after="0" w:line="14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6"/>
          <w:szCs w:val="16"/>
          <w:color w:val="auto"/>
        </w:rPr>
        <w:t>Incremental Term Loans.</w:t>
      </w:r>
    </w:p>
    <w:p>
      <w:pPr>
        <w:spacing w:after="0" w:line="216" w:lineRule="exact"/>
        <w:rPr>
          <w:sz w:val="20"/>
          <w:szCs w:val="20"/>
          <w:color w:val="auto"/>
        </w:rPr>
      </w:pPr>
    </w:p>
    <w:p>
      <w:pPr>
        <w:jc w:val="both"/>
        <w:ind w:firstLine="1304"/>
        <w:spacing w:after="0" w:line="278" w:lineRule="auto"/>
        <w:tabs>
          <w:tab w:leader="none" w:pos="176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Request for Incremental Term Loan</w:t>
      </w:r>
      <w:r>
        <w:rPr>
          <w:rFonts w:ascii="Arial" w:cs="Arial" w:eastAsia="Arial" w:hAnsi="Arial"/>
          <w:sz w:val="18"/>
          <w:szCs w:val="18"/>
          <w:color w:val="auto"/>
        </w:rPr>
        <w:t>. The Borrower may, by notice to the Administrative Agent (who shall promptly notify the Lenders), request one or more additional term loans (each an “</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in an aggregate amount (for all such requests) not exceeding $85,000,000; provided that (i) any such request shall be in a minimum amount of the lesser of (x) $5,000,000 (or such lesser amount as may be approved by the Administrative Agent) and (y) the entire remaining amount of increases available under this Section 2.10 and (ii) the Borrower shall make no more than a total of two requests for Incremental Term Loans under this Section 2.10.</w:t>
      </w:r>
    </w:p>
    <w:p>
      <w:pPr>
        <w:spacing w:after="0" w:line="164" w:lineRule="exact"/>
        <w:rPr>
          <w:rFonts w:ascii="Arial" w:cs="Arial" w:eastAsia="Arial" w:hAnsi="Arial"/>
          <w:sz w:val="18"/>
          <w:szCs w:val="18"/>
          <w:color w:val="auto"/>
        </w:rPr>
      </w:pPr>
    </w:p>
    <w:p>
      <w:pPr>
        <w:jc w:val="both"/>
        <w:ind w:firstLine="1304"/>
        <w:spacing w:after="0" w:line="291" w:lineRule="auto"/>
        <w:tabs>
          <w:tab w:leader="none" w:pos="17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Incremental Lenders</w:t>
      </w:r>
      <w:r>
        <w:rPr>
          <w:rFonts w:ascii="Arial" w:cs="Arial" w:eastAsia="Arial" w:hAnsi="Arial"/>
          <w:sz w:val="18"/>
          <w:szCs w:val="18"/>
          <w:color w:val="auto"/>
        </w:rPr>
        <w:t>. An Incremental Term Loan may be provided by any existing Lender or other Person that is an Eligible Assignee (each such existing Lender or other Person that agrees to provide an Incremental Term Loan, an “</w:t>
      </w:r>
      <w:r>
        <w:rPr>
          <w:rFonts w:ascii="Arial" w:cs="Arial" w:eastAsia="Arial" w:hAnsi="Arial"/>
          <w:sz w:val="18"/>
          <w:szCs w:val="18"/>
          <w:u w:val="single" w:color="auto"/>
          <w:color w:val="auto"/>
        </w:rPr>
        <w:t>Incremental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Incremental Lender, other than an existing Lender, shall be subject to the consent (in each case, not to be</w:t>
      </w:r>
    </w:p>
    <w:p>
      <w:pPr>
        <w:spacing w:after="0" w:line="36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18" w:right="339" w:bottom="1440" w:gutter="0" w:footer="0" w:header="0"/>
        </w:sectPr>
      </w:pPr>
    </w:p>
    <w:bookmarkStart w:id="78" w:name="page79"/>
    <w:bookmarkEnd w:id="78"/>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unreasonably withheld or delayed) of the Administrative Agent. Notwithstanding anything herein to the contrary, no Lender shall have any obligation to agree to provide an Incremental Term Loan pursuant to this Section 2.10, and any election to do so shall be in the sole discretion of such Lender.</w:t>
      </w:r>
    </w:p>
    <w:p>
      <w:pPr>
        <w:spacing w:after="0" w:line="186" w:lineRule="exact"/>
        <w:rPr>
          <w:sz w:val="20"/>
          <w:szCs w:val="20"/>
          <w:color w:val="auto"/>
        </w:rPr>
      </w:pPr>
    </w:p>
    <w:p>
      <w:pPr>
        <w:jc w:val="both"/>
        <w:ind w:firstLine="1304"/>
        <w:spacing w:after="0" w:line="282" w:lineRule="auto"/>
        <w:tabs>
          <w:tab w:leader="none" w:pos="177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Incremental Effective Date</w:t>
      </w:r>
      <w:r>
        <w:rPr>
          <w:rFonts w:ascii="Arial" w:cs="Arial" w:eastAsia="Arial" w:hAnsi="Arial"/>
          <w:sz w:val="18"/>
          <w:szCs w:val="18"/>
          <w:color w:val="auto"/>
        </w:rPr>
        <w:t>. The Administrative Agent and the Borrower shall determine the effective date for each Incremental Term Loan pursuant to this Section 2.10 (an “</w:t>
      </w:r>
      <w:r>
        <w:rPr>
          <w:rFonts w:ascii="Arial" w:cs="Arial" w:eastAsia="Arial" w:hAnsi="Arial"/>
          <w:sz w:val="18"/>
          <w:szCs w:val="18"/>
          <w:u w:val="single" w:color="auto"/>
          <w:color w:val="auto"/>
        </w:rPr>
        <w:t>Incremental Effective Date</w:t>
      </w:r>
      <w:r>
        <w:rPr>
          <w:rFonts w:ascii="Arial" w:cs="Arial" w:eastAsia="Arial" w:hAnsi="Arial"/>
          <w:sz w:val="18"/>
          <w:szCs w:val="18"/>
          <w:color w:val="auto"/>
        </w:rPr>
        <w:t>”) and, if applicable, the final allocation of such Incremental Term Loan among the Persons providing it, which date shall be a Business Day at least 10 Business Days after delivery of the request pursuant to Section 2.10(a) (unless otherwise approved by the Administrative Agent) and at least 30 days before the Maturity Date.</w:t>
      </w:r>
    </w:p>
    <w:p>
      <w:pPr>
        <w:spacing w:after="0" w:line="161" w:lineRule="exact"/>
        <w:rPr>
          <w:rFonts w:ascii="Arial" w:cs="Arial" w:eastAsia="Arial" w:hAnsi="Arial"/>
          <w:sz w:val="18"/>
          <w:szCs w:val="18"/>
          <w:color w:val="auto"/>
        </w:rPr>
      </w:pPr>
    </w:p>
    <w:p>
      <w:pPr>
        <w:ind w:firstLine="1304"/>
        <w:spacing w:after="0" w:line="260" w:lineRule="auto"/>
        <w:tabs>
          <w:tab w:leader="none" w:pos="172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Notwithstanding the foregoing, no Incremental Term Loans shall be effective with respect to any Incremental Lender unless:</w:t>
      </w:r>
    </w:p>
    <w:p>
      <w:pPr>
        <w:spacing w:after="0" w:line="176" w:lineRule="exact"/>
        <w:rPr>
          <w:rFonts w:ascii="Arial" w:cs="Arial" w:eastAsia="Arial" w:hAnsi="Arial"/>
          <w:sz w:val="20"/>
          <w:szCs w:val="20"/>
          <w:color w:val="auto"/>
        </w:rPr>
      </w:pPr>
    </w:p>
    <w:p>
      <w:pPr>
        <w:ind w:left="1300" w:firstLine="652"/>
        <w:spacing w:after="0" w:line="260" w:lineRule="auto"/>
        <w:tabs>
          <w:tab w:leader="none" w:pos="2396" w:val="left"/>
        </w:tabs>
        <w:numPr>
          <w:ilvl w:val="1"/>
          <w:numId w:val="43"/>
        </w:numPr>
        <w:rPr>
          <w:rFonts w:ascii="Arial" w:cs="Arial" w:eastAsia="Arial" w:hAnsi="Arial"/>
          <w:sz w:val="20"/>
          <w:szCs w:val="20"/>
          <w:color w:val="auto"/>
        </w:rPr>
      </w:pPr>
      <w:r>
        <w:rPr>
          <w:rFonts w:ascii="Arial" w:cs="Arial" w:eastAsia="Arial" w:hAnsi="Arial"/>
          <w:sz w:val="20"/>
          <w:szCs w:val="20"/>
          <w:color w:val="auto"/>
        </w:rPr>
        <w:t>no Default has occurred and is continuing on the Incremental Effective Date and after giving effect to such Incremental Term Loan;</w:t>
      </w:r>
    </w:p>
    <w:p>
      <w:pPr>
        <w:spacing w:after="0" w:line="176" w:lineRule="exact"/>
        <w:rPr>
          <w:rFonts w:ascii="Arial" w:cs="Arial" w:eastAsia="Arial" w:hAnsi="Arial"/>
          <w:sz w:val="20"/>
          <w:szCs w:val="20"/>
          <w:color w:val="auto"/>
        </w:rPr>
      </w:pPr>
    </w:p>
    <w:p>
      <w:pPr>
        <w:jc w:val="both"/>
        <w:ind w:left="1300" w:firstLine="652"/>
        <w:spacing w:after="0" w:line="291" w:lineRule="auto"/>
        <w:tabs>
          <w:tab w:leader="none" w:pos="241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representations and warranties in this Agreement are true and correct in all material respects on and as of the Incremental Effective Date and after giving effect to such increase, as though made on and as of such date (or, if any such representation or warranty is expressly stated to have been made as of a specific date, as of such specific date);</w:t>
      </w:r>
    </w:p>
    <w:p>
      <w:pPr>
        <w:spacing w:after="0" w:line="151" w:lineRule="exact"/>
        <w:rPr>
          <w:rFonts w:ascii="Arial" w:cs="Arial" w:eastAsia="Arial" w:hAnsi="Arial"/>
          <w:sz w:val="18"/>
          <w:szCs w:val="18"/>
          <w:color w:val="auto"/>
        </w:rPr>
      </w:pPr>
    </w:p>
    <w:p>
      <w:pPr>
        <w:ind w:left="2420" w:hanging="468"/>
        <w:spacing w:after="0"/>
        <w:tabs>
          <w:tab w:leader="none" w:pos="242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Administrative Agent has received the documents required pursuant to Section 2.10(e); and</w:t>
      </w:r>
    </w:p>
    <w:p>
      <w:pPr>
        <w:spacing w:after="0" w:line="215" w:lineRule="exact"/>
        <w:rPr>
          <w:rFonts w:ascii="Arial" w:cs="Arial" w:eastAsia="Arial" w:hAnsi="Arial"/>
          <w:sz w:val="20"/>
          <w:szCs w:val="20"/>
          <w:color w:val="auto"/>
        </w:rPr>
      </w:pPr>
    </w:p>
    <w:p>
      <w:pPr>
        <w:ind w:left="1300" w:firstLine="652"/>
        <w:spacing w:after="0" w:line="260" w:lineRule="auto"/>
        <w:tabs>
          <w:tab w:leader="none" w:pos="2468"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Administrative Agent has received such legal opinions and other documents reasonably requested by the Administrative Agent in connection therewith.</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such Incremental Effective Date, upon the satisfaction of the foregoing conditions, the Administrative Agent shall record the information about the applicable Incremental Term Loans in the Register and give prompt notice thereof to the Borrower and the Lenders (including each Incremental Lender).</w:t>
      </w:r>
    </w:p>
    <w:p>
      <w:pPr>
        <w:spacing w:after="0" w:line="186" w:lineRule="exact"/>
        <w:rPr>
          <w:sz w:val="20"/>
          <w:szCs w:val="20"/>
          <w:color w:val="auto"/>
        </w:rPr>
      </w:pPr>
    </w:p>
    <w:p>
      <w:pPr>
        <w:ind w:left="1700" w:hanging="396"/>
        <w:spacing w:after="0"/>
        <w:tabs>
          <w:tab w:leader="none" w:pos="170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Incremental Term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42" w:lineRule="auto"/>
        <w:tabs>
          <w:tab w:leader="none" w:pos="2598" w:val="left"/>
        </w:tabs>
        <w:numPr>
          <w:ilvl w:val="1"/>
          <w:numId w:val="44"/>
        </w:numPr>
        <w:rPr>
          <w:rFonts w:ascii="Arial" w:cs="Arial" w:eastAsia="Arial" w:hAnsi="Arial"/>
          <w:sz w:val="20"/>
          <w:szCs w:val="20"/>
          <w:color w:val="auto"/>
        </w:rPr>
      </w:pPr>
      <w:r>
        <w:rPr>
          <w:rFonts w:ascii="Arial" w:cs="Arial" w:eastAsia="Arial" w:hAnsi="Arial"/>
          <w:sz w:val="20"/>
          <w:szCs w:val="20"/>
          <w:u w:val="single" w:color="auto"/>
          <w:color w:val="auto"/>
        </w:rPr>
        <w:t>Incremental Term Loan Amendments</w:t>
      </w:r>
      <w:r>
        <w:rPr>
          <w:rFonts w:ascii="Arial" w:cs="Arial" w:eastAsia="Arial" w:hAnsi="Arial"/>
          <w:sz w:val="20"/>
          <w:szCs w:val="20"/>
          <w:color w:val="auto"/>
        </w:rPr>
        <w:t>. The Borrower, the applicable Incremental Lender(s) and the Administrative Agent (but no other Lenders or Persons) shall enter into an amendment or restatement (an “</w:t>
      </w:r>
      <w:r>
        <w:rPr>
          <w:rFonts w:ascii="Arial" w:cs="Arial" w:eastAsia="Arial" w:hAnsi="Arial"/>
          <w:sz w:val="20"/>
          <w:szCs w:val="20"/>
          <w:u w:val="single" w:color="auto"/>
          <w:color w:val="auto"/>
        </w:rPr>
        <w:t>Incremental Term</w:t>
      </w:r>
      <w:r>
        <w:rPr>
          <w:rFonts w:ascii="Arial" w:cs="Arial" w:eastAsia="Arial" w:hAnsi="Arial"/>
          <w:sz w:val="20"/>
          <w:szCs w:val="20"/>
          <w:color w:val="auto"/>
        </w:rPr>
        <w:t xml:space="preserve"> </w:t>
      </w:r>
      <w:r>
        <w:rPr>
          <w:rFonts w:ascii="Arial" w:cs="Arial" w:eastAsia="Arial" w:hAnsi="Arial"/>
          <w:sz w:val="20"/>
          <w:szCs w:val="20"/>
          <w:u w:val="single" w:color="auto"/>
          <w:color w:val="auto"/>
        </w:rPr>
        <w:t>Loan Amendment</w:t>
      </w:r>
      <w:r>
        <w:rPr>
          <w:rFonts w:ascii="Arial" w:cs="Arial" w:eastAsia="Arial" w:hAnsi="Arial"/>
          <w:sz w:val="20"/>
          <w:szCs w:val="20"/>
          <w:color w:val="auto"/>
        </w:rPr>
        <w:t>”) of this Agreement and, as appropriate, the other Loan Documents, in form and substance satisfactory to the Borrower, the applicable Incremental Lender(s) and the Administrative Agent, pursuant to which the applicable Incremental Lender(s) will provide the Incremental Term Loans. Effective as of the applicable Incremental Effective Date, subject to the terms and conditions set forth in this Section 2.10, each Incremental Term Loan shall be a Loan hereunder, and each Incremental Lender providing such Incremental Term Loan shall be, and have all the rights of, a Lender, for all purposes of this Agreement.</w:t>
      </w:r>
    </w:p>
    <w:p>
      <w:pPr>
        <w:spacing w:after="0" w:line="196" w:lineRule="exact"/>
        <w:rPr>
          <w:rFonts w:ascii="Arial" w:cs="Arial" w:eastAsia="Arial" w:hAnsi="Arial"/>
          <w:sz w:val="20"/>
          <w:szCs w:val="20"/>
          <w:color w:val="auto"/>
        </w:rPr>
      </w:pPr>
    </w:p>
    <w:p>
      <w:pPr>
        <w:ind w:left="1300" w:right="20" w:firstLine="652"/>
        <w:spacing w:after="0" w:line="260" w:lineRule="auto"/>
        <w:tabs>
          <w:tab w:leader="none" w:pos="2545" w:val="left"/>
        </w:tabs>
        <w:numPr>
          <w:ilvl w:val="1"/>
          <w:numId w:val="44"/>
        </w:numPr>
        <w:rPr>
          <w:rFonts w:ascii="Arial" w:cs="Arial" w:eastAsia="Arial" w:hAnsi="Arial"/>
          <w:sz w:val="20"/>
          <w:szCs w:val="20"/>
          <w:color w:val="auto"/>
        </w:rPr>
      </w:pPr>
      <w:r>
        <w:rPr>
          <w:rFonts w:ascii="Arial" w:cs="Arial" w:eastAsia="Arial" w:hAnsi="Arial"/>
          <w:sz w:val="20"/>
          <w:szCs w:val="20"/>
          <w:u w:val="single" w:color="auto"/>
          <w:color w:val="auto"/>
        </w:rPr>
        <w:t>Terms of Incremental Term Loans</w:t>
      </w:r>
      <w:r>
        <w:rPr>
          <w:rFonts w:ascii="Arial" w:cs="Arial" w:eastAsia="Arial" w:hAnsi="Arial"/>
          <w:sz w:val="20"/>
          <w:szCs w:val="20"/>
          <w:color w:val="auto"/>
        </w:rPr>
        <w:t>. Except for the maturity date, Applicable Margin, upfront fees, and amortization applicable to an Incremental Term</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18" w:right="339" w:bottom="1440" w:gutter="0" w:footer="0" w:header="0"/>
        </w:sectPr>
      </w:pPr>
    </w:p>
    <w:bookmarkStart w:id="79" w:name="page80"/>
    <w:bookmarkEnd w:id="79"/>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left="1300"/>
        <w:spacing w:after="0" w:line="263" w:lineRule="auto"/>
        <w:rPr>
          <w:sz w:val="20"/>
          <w:szCs w:val="20"/>
          <w:color w:val="auto"/>
        </w:rPr>
      </w:pPr>
      <w:r>
        <w:rPr>
          <w:rFonts w:ascii="Arial" w:cs="Arial" w:eastAsia="Arial" w:hAnsi="Arial"/>
          <w:sz w:val="19"/>
          <w:szCs w:val="19"/>
          <w:color w:val="auto"/>
        </w:rPr>
        <w:t xml:space="preserve">Loan and except as otherwise specifically set forth herein, all of the other terms and conditions applicable to such Incremental Term Loan shall be identical to the terms and conditions applicable to the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final maturity date of the Incremental Term Loans shall be no earlier than the Maturity Date. For the avoidance of doubt, the Incremental Term Loans shall rank pari passu in right of payment with the existing Loans.</w:t>
      </w:r>
    </w:p>
    <w:p>
      <w:pPr>
        <w:spacing w:after="0" w:line="176"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INTEREST, FEES, YIELD PROTECTION, ETC.</w:t>
      </w:r>
      <w:r>
        <w:rPr>
          <w:rFonts w:ascii="Arial" w:cs="Arial" w:eastAsia="Arial" w:hAnsi="Arial"/>
          <w:sz w:val="20"/>
          <w:szCs w:val="20"/>
          <w:u w:val="single" w:color="auto"/>
          <w:color w:val="auto"/>
        </w:rPr>
        <w:t>Interest</w:t>
      </w:r>
      <w:r>
        <w:rPr>
          <w:rFonts w:ascii="Arial" w:cs="Arial" w:eastAsia="Arial" w:hAnsi="Arial"/>
          <w:sz w:val="20"/>
          <w:szCs w:val="20"/>
          <w:color w:val="auto"/>
        </w:rPr>
        <w:t>.</w:t>
      </w:r>
    </w:p>
    <w:p>
      <w:pPr>
        <w:spacing w:after="0" w:line="216" w:lineRule="exact"/>
        <w:rPr>
          <w:sz w:val="20"/>
          <w:szCs w:val="20"/>
          <w:color w:val="auto"/>
        </w:rPr>
      </w:pPr>
    </w:p>
    <w:p>
      <w:pPr>
        <w:jc w:val="both"/>
        <w:ind w:firstLine="1304"/>
        <w:spacing w:after="0" w:line="250" w:lineRule="auto"/>
        <w:tabs>
          <w:tab w:leader="none" w:pos="1723" w:val="left"/>
        </w:tabs>
        <w:numPr>
          <w:ilvl w:val="1"/>
          <w:numId w:val="45"/>
        </w:numPr>
        <w:rPr>
          <w:rFonts w:ascii="Arial" w:cs="Arial" w:eastAsia="Arial" w:hAnsi="Arial"/>
          <w:sz w:val="20"/>
          <w:szCs w:val="20"/>
          <w:color w:val="auto"/>
        </w:rPr>
      </w:pPr>
      <w:r>
        <w:rPr>
          <w:rFonts w:ascii="Arial" w:cs="Arial" w:eastAsia="Arial" w:hAnsi="Arial"/>
          <w:sz w:val="20"/>
          <w:szCs w:val="20"/>
          <w:color w:val="auto"/>
        </w:rPr>
        <w:t xml:space="preserve">The Loans comprising each ABR Borrowing shall bear interest at the Alternate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The Loans comprising each Eurodollar Borrowing shall bear interest at the Adjusted LIBO Rate for the Interest Period in effect for such Borrowing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185" w:lineRule="exact"/>
        <w:rPr>
          <w:rFonts w:ascii="Arial" w:cs="Arial" w:eastAsia="Arial" w:hAnsi="Arial"/>
          <w:sz w:val="20"/>
          <w:szCs w:val="20"/>
          <w:color w:val="auto"/>
        </w:rPr>
      </w:pPr>
    </w:p>
    <w:p>
      <w:pPr>
        <w:jc w:val="both"/>
        <w:ind w:firstLine="1304"/>
        <w:spacing w:after="0" w:line="260" w:lineRule="auto"/>
        <w:tabs>
          <w:tab w:leader="none" w:pos="1760" w:val="left"/>
        </w:tabs>
        <w:numPr>
          <w:ilvl w:val="1"/>
          <w:numId w:val="45"/>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(3) in the case of overdue principal of any Loan, 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otherwise applicable to such Loan as provided in the preceding paragraph of this Section or (3) in the case of any other amount, 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applicable to ABR Borrowings as provided in the preceding paragraph of this Section.</w:t>
      </w:r>
    </w:p>
    <w:p>
      <w:pPr>
        <w:spacing w:after="0" w:line="180" w:lineRule="exact"/>
        <w:rPr>
          <w:rFonts w:ascii="Arial" w:cs="Arial" w:eastAsia="Arial" w:hAnsi="Arial"/>
          <w:sz w:val="19"/>
          <w:szCs w:val="19"/>
          <w:color w:val="auto"/>
        </w:rPr>
      </w:pPr>
    </w:p>
    <w:p>
      <w:pPr>
        <w:ind w:left="1740" w:hanging="436"/>
        <w:spacing w:after="0"/>
        <w:tabs>
          <w:tab w:leader="none" w:pos="17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38" w:lineRule="exact"/>
        <w:rPr>
          <w:rFonts w:ascii="Arial" w:cs="Arial" w:eastAsia="Arial" w:hAnsi="Arial"/>
          <w:sz w:val="18"/>
          <w:szCs w:val="18"/>
          <w:color w:val="auto"/>
        </w:rPr>
      </w:pPr>
    </w:p>
    <w:p>
      <w:pPr>
        <w:jc w:val="both"/>
        <w:ind w:firstLine="8"/>
        <w:spacing w:after="0" w:line="241" w:lineRule="auto"/>
        <w:tabs>
          <w:tab w:leader="none" w:pos="2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interest accrued pursuant to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of this Section shall be payable on demand, (3) in the event of any repayment or prepayment of any Loan, accrued interest on the principal amount repaid or prepaid shall be payable on the date of such repayment or prepayment, and (3) in the event of any conversion of any Eurodollar Loan prior to the end of the current Interest Period therefor, accrued interest on such Loan shall be payable on the effective date of such conversion.</w:t>
      </w:r>
    </w:p>
    <w:p>
      <w:pPr>
        <w:spacing w:after="0" w:line="194" w:lineRule="exact"/>
        <w:rPr>
          <w:rFonts w:ascii="Arial" w:cs="Arial" w:eastAsia="Arial" w:hAnsi="Arial"/>
          <w:sz w:val="20"/>
          <w:szCs w:val="20"/>
          <w:color w:val="auto"/>
        </w:rPr>
      </w:pPr>
    </w:p>
    <w:p>
      <w:pPr>
        <w:jc w:val="both"/>
        <w:ind w:firstLine="1304"/>
        <w:spacing w:after="0" w:line="274" w:lineRule="auto"/>
        <w:tabs>
          <w:tab w:leader="none" w:pos="17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clearly demonstrable error. The Administrative Agent shall, as soon as practicable, notify the Borrower and the Lenders of the effective date and the amount of each change in the Prime Rate or ABR, but any failure to so notify shall not in any manner affect the obligation of the Borrower to pay interest on the Loans in the amounts and on the dates required.</w:t>
      </w:r>
    </w:p>
    <w:p>
      <w:pPr>
        <w:spacing w:after="0" w:line="16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8"/>
          <w:szCs w:val="18"/>
          <w:u w:val="single" w:color="auto"/>
          <w:color w:val="auto"/>
        </w:rPr>
        <w:t>Interest Elections Relating to Borrowings</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63" w:lineRule="auto"/>
        <w:tabs>
          <w:tab w:leader="none" w:pos="1709" w:val="left"/>
        </w:tabs>
        <w:numPr>
          <w:ilvl w:val="0"/>
          <w:numId w:val="47"/>
        </w:numPr>
        <w:rPr>
          <w:rFonts w:ascii="Arial" w:cs="Arial" w:eastAsia="Arial" w:hAnsi="Arial"/>
          <w:sz w:val="19"/>
          <w:szCs w:val="19"/>
          <w:color w:val="auto"/>
        </w:rPr>
      </w:pPr>
      <w:r>
        <w:rPr>
          <w:rFonts w:ascii="Arial" w:cs="Arial" w:eastAsia="Arial" w:hAnsi="Arial"/>
          <w:sz w:val="19"/>
          <w:szCs w:val="19"/>
          <w:color w:val="auto"/>
        </w:rPr>
        <w:t>Each Borrowing initially shall be of the Type specified in the applicable Credit Request and, in the case of a Eurodollar Borrowing, shall have an initial Interest Period as specified in such Credit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w:t>
      </w:r>
    </w:p>
    <w:p>
      <w:pPr>
        <w:spacing w:after="0" w:line="3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18" w:right="339" w:bottom="1440" w:gutter="0" w:footer="0" w:header="0"/>
        </w:sectPr>
      </w:pPr>
    </w:p>
    <w:bookmarkStart w:id="80" w:name="page81"/>
    <w:bookmarkEnd w:id="80"/>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portions of the affected Borrowing, in which case each such portion shall be allocated ratably among the Lenders holding the Loans comprising such Borrowing, and the Loans comprising each such portion shall be considered a separate Borrowing.</w:t>
      </w:r>
    </w:p>
    <w:p>
      <w:pPr>
        <w:spacing w:after="0" w:line="177" w:lineRule="exact"/>
        <w:rPr>
          <w:sz w:val="20"/>
          <w:szCs w:val="20"/>
          <w:color w:val="auto"/>
        </w:rPr>
      </w:pPr>
    </w:p>
    <w:p>
      <w:pPr>
        <w:jc w:val="both"/>
        <w:ind w:firstLine="1304"/>
        <w:spacing w:after="0" w:line="291" w:lineRule="auto"/>
        <w:tabs>
          <w:tab w:leader="none" w:pos="17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To make an election pursuant to this Section, the Borrower shall deliver to the Administrative Agent a signed Interest Election Request in a form approved by the Administrative Agent by the time that a Credit Request would be required under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if the Borrower were requesting a Borrowing of the Type resulting from such election to be made on the effective date of such election.</w:t>
      </w:r>
    </w:p>
    <w:p>
      <w:pPr>
        <w:spacing w:after="0" w:line="151" w:lineRule="exact"/>
        <w:rPr>
          <w:rFonts w:ascii="Arial" w:cs="Arial" w:eastAsia="Arial" w:hAnsi="Arial"/>
          <w:sz w:val="18"/>
          <w:szCs w:val="18"/>
          <w:color w:val="auto"/>
        </w:rPr>
      </w:pPr>
    </w:p>
    <w:p>
      <w:pPr>
        <w:ind w:firstLine="1304"/>
        <w:spacing w:after="0" w:line="260" w:lineRule="auto"/>
        <w:tabs>
          <w:tab w:leader="none" w:pos="1709"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Each such Interest Election Request shall be irrevocable (except as otherwise provided in </w:t>
      </w:r>
      <w:r>
        <w:rPr>
          <w:rFonts w:ascii="Arial" w:cs="Arial" w:eastAsia="Arial" w:hAnsi="Arial"/>
          <w:sz w:val="20"/>
          <w:szCs w:val="20"/>
          <w:u w:val="single" w:color="auto"/>
          <w:color w:val="auto"/>
        </w:rPr>
        <w:t>Section 3.4</w:t>
      </w:r>
      <w:r>
        <w:rPr>
          <w:rFonts w:ascii="Arial" w:cs="Arial" w:eastAsia="Arial" w:hAnsi="Arial"/>
          <w:sz w:val="20"/>
          <w:szCs w:val="20"/>
          <w:color w:val="auto"/>
        </w:rPr>
        <w:t>) and shall specify the following information:</w:t>
      </w:r>
    </w:p>
    <w:p>
      <w:pPr>
        <w:spacing w:after="0" w:line="176" w:lineRule="exact"/>
        <w:rPr>
          <w:rFonts w:ascii="Arial" w:cs="Arial" w:eastAsia="Arial" w:hAnsi="Arial"/>
          <w:sz w:val="20"/>
          <w:szCs w:val="20"/>
          <w:color w:val="auto"/>
        </w:rPr>
      </w:pPr>
    </w:p>
    <w:p>
      <w:pPr>
        <w:jc w:val="both"/>
        <w:ind w:left="1300" w:firstLine="652"/>
        <w:spacing w:after="0" w:line="246" w:lineRule="auto"/>
        <w:tabs>
          <w:tab w:leader="none" w:pos="2369" w:val="left"/>
        </w:tabs>
        <w:numPr>
          <w:ilvl w:val="1"/>
          <w:numId w:val="48"/>
        </w:numPr>
        <w:rPr>
          <w:rFonts w:ascii="Arial" w:cs="Arial" w:eastAsia="Arial" w:hAnsi="Arial"/>
          <w:sz w:val="20"/>
          <w:szCs w:val="20"/>
          <w:color w:val="auto"/>
        </w:rPr>
      </w:pPr>
      <w:r>
        <w:rPr>
          <w:rFonts w:ascii="Arial" w:cs="Arial" w:eastAsia="Arial" w:hAnsi="Arial"/>
          <w:sz w:val="20"/>
          <w:szCs w:val="20"/>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20"/>
          <w:szCs w:val="20"/>
          <w:u w:val="single" w:color="auto"/>
          <w:color w:val="auto"/>
        </w:rPr>
        <w:t>clauses (iii)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of this paragraph shall be specified for each resulting Borrowing);</w:t>
      </w:r>
    </w:p>
    <w:p>
      <w:pPr>
        <w:spacing w:after="0" w:line="191" w:lineRule="exact"/>
        <w:rPr>
          <w:rFonts w:ascii="Arial" w:cs="Arial" w:eastAsia="Arial" w:hAnsi="Arial"/>
          <w:sz w:val="20"/>
          <w:szCs w:val="20"/>
          <w:color w:val="auto"/>
        </w:rPr>
      </w:pPr>
    </w:p>
    <w:p>
      <w:pPr>
        <w:ind w:left="2420" w:hanging="468"/>
        <w:spacing w:after="0"/>
        <w:tabs>
          <w:tab w:leader="none" w:pos="24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Day;</w:t>
      </w:r>
    </w:p>
    <w:p>
      <w:pPr>
        <w:spacing w:after="0" w:line="199" w:lineRule="exact"/>
        <w:rPr>
          <w:rFonts w:ascii="Arial" w:cs="Arial" w:eastAsia="Arial" w:hAnsi="Arial"/>
          <w:sz w:val="18"/>
          <w:szCs w:val="18"/>
          <w:color w:val="auto"/>
        </w:rPr>
      </w:pPr>
    </w:p>
    <w:p>
      <w:pPr>
        <w:ind w:left="2420" w:hanging="468"/>
        <w:spacing w:after="0"/>
        <w:tabs>
          <w:tab w:leader="none" w:pos="2420" w:val="left"/>
        </w:tabs>
        <w:numPr>
          <w:ilvl w:val="1"/>
          <w:numId w:val="48"/>
        </w:numPr>
        <w:rPr>
          <w:rFonts w:ascii="Arial" w:cs="Arial" w:eastAsia="Arial" w:hAnsi="Arial"/>
          <w:sz w:val="20"/>
          <w:szCs w:val="20"/>
          <w:color w:val="auto"/>
        </w:rPr>
      </w:pPr>
      <w:r>
        <w:rPr>
          <w:rFonts w:ascii="Arial" w:cs="Arial" w:eastAsia="Arial" w:hAnsi="Arial"/>
          <w:sz w:val="20"/>
          <w:szCs w:val="20"/>
          <w:color w:val="auto"/>
        </w:rPr>
        <w:t>whether the resulting Borrowing is to be an ABR Borrowing or a Eurodollar Borrowing; and</w:t>
      </w:r>
    </w:p>
    <w:p>
      <w:pPr>
        <w:spacing w:after="0" w:line="215" w:lineRule="exact"/>
        <w:rPr>
          <w:rFonts w:ascii="Arial" w:cs="Arial" w:eastAsia="Arial" w:hAnsi="Arial"/>
          <w:sz w:val="20"/>
          <w:szCs w:val="20"/>
          <w:color w:val="auto"/>
        </w:rPr>
      </w:pPr>
    </w:p>
    <w:p>
      <w:pPr>
        <w:ind w:left="1300" w:firstLine="652"/>
        <w:spacing w:after="0" w:line="287" w:lineRule="auto"/>
        <w:tabs>
          <w:tab w:leader="none" w:pos="2454" w:val="left"/>
        </w:tabs>
        <w:numPr>
          <w:ilvl w:val="1"/>
          <w:numId w:val="48"/>
        </w:numPr>
        <w:rPr>
          <w:rFonts w:ascii="Arial" w:cs="Arial" w:eastAsia="Arial" w:hAnsi="Arial"/>
          <w:sz w:val="19"/>
          <w:szCs w:val="19"/>
          <w:color w:val="auto"/>
        </w:rPr>
      </w:pPr>
      <w:r>
        <w:rPr>
          <w:rFonts w:ascii="Arial" w:cs="Arial" w:eastAsia="Arial" w:hAnsi="Arial"/>
          <w:sz w:val="19"/>
          <w:szCs w:val="19"/>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5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any such Interest Election Request requests a Eurodollar Borrowing but does not specify an Interest Period, then the Borrower shall be deemed to have selected an Interest Period of one month’s duration.</w:t>
      </w:r>
    </w:p>
    <w:p>
      <w:pPr>
        <w:spacing w:after="0" w:line="177" w:lineRule="exact"/>
        <w:rPr>
          <w:sz w:val="20"/>
          <w:szCs w:val="20"/>
          <w:color w:val="auto"/>
        </w:rPr>
      </w:pPr>
    </w:p>
    <w:p>
      <w:pPr>
        <w:ind w:firstLine="1304"/>
        <w:spacing w:after="0" w:line="260" w:lineRule="auto"/>
        <w:tabs>
          <w:tab w:leader="none" w:pos="17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Lender of the applicable Class of the details thereof and of such Lender’s portion of each resulting Borrowing.</w:t>
      </w:r>
    </w:p>
    <w:p>
      <w:pPr>
        <w:spacing w:after="0" w:line="176" w:lineRule="exact"/>
        <w:rPr>
          <w:rFonts w:ascii="Arial" w:cs="Arial" w:eastAsia="Arial" w:hAnsi="Arial"/>
          <w:sz w:val="20"/>
          <w:szCs w:val="20"/>
          <w:color w:val="auto"/>
        </w:rPr>
      </w:pPr>
    </w:p>
    <w:p>
      <w:pPr>
        <w:jc w:val="both"/>
        <w:ind w:firstLine="1304"/>
        <w:spacing w:after="0" w:line="259" w:lineRule="auto"/>
        <w:tabs>
          <w:tab w:leader="none" w:pos="1777" w:val="left"/>
        </w:tabs>
        <w:numPr>
          <w:ilvl w:val="0"/>
          <w:numId w:val="49"/>
        </w:numPr>
        <w:rPr>
          <w:rFonts w:ascii="Arial" w:cs="Arial" w:eastAsia="Arial" w:hAnsi="Arial"/>
          <w:sz w:val="19"/>
          <w:szCs w:val="19"/>
          <w:color w:val="auto"/>
        </w:rPr>
      </w:pPr>
      <w:r>
        <w:rPr>
          <w:rFonts w:ascii="Arial" w:cs="Arial" w:eastAsia="Arial" w:hAnsi="Arial"/>
          <w:sz w:val="19"/>
          <w:szCs w:val="19"/>
          <w:color w:val="auto"/>
        </w:rPr>
        <w:t>If the Borrower fails to deliver a timely Interest Election Request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7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3.3.</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16" w:lineRule="exact"/>
        <w:rPr>
          <w:sz w:val="20"/>
          <w:szCs w:val="20"/>
          <w:color w:val="auto"/>
        </w:rPr>
      </w:pPr>
    </w:p>
    <w:p>
      <w:pPr>
        <w:jc w:val="both"/>
        <w:ind w:firstLine="1304"/>
        <w:spacing w:after="0" w:line="250" w:lineRule="auto"/>
        <w:tabs>
          <w:tab w:leader="none" w:pos="1736"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The Borrower agrees to pay to the Administrative Agent for the account of each Delayed Draw Lender, a ticking fee, which shall accrue at a rate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equal to .30% on the daily amount of the Delayed Draw Commitment of such Lender during the period from and including the date</w:t>
      </w: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18" w:right="339" w:bottom="1440" w:gutter="0" w:footer="0" w:header="0"/>
        </w:sectPr>
      </w:pPr>
    </w:p>
    <w:bookmarkStart w:id="81" w:name="page82"/>
    <w:bookmarkEnd w:id="81"/>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on which this Agreement becomes effective pursuant to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to but excluding the date on which such Delayed Draw Commitment terminates. Accrued ticking fees shall be payable in arrears on the last day of March, June, September and December of each year, each date on which the Delayed Draw Commitments are permanently reduced and on the date on which the Delayed Draw Commitments terminate,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unpaid ticking fees shall be payable on the date on which the Delayed Draw Commitments terminate. All ticking fees shall be computed on the basis of a year of 360 days and shall be payable for the actual number of days elapsed (including the first day but excluding the last day).</w:t>
      </w:r>
    </w:p>
    <w:p>
      <w:pPr>
        <w:spacing w:after="0" w:line="178" w:lineRule="exact"/>
        <w:rPr>
          <w:sz w:val="20"/>
          <w:szCs w:val="20"/>
          <w:color w:val="auto"/>
        </w:rPr>
      </w:pPr>
    </w:p>
    <w:p>
      <w:pPr>
        <w:ind w:firstLine="1304"/>
        <w:spacing w:after="0" w:line="260" w:lineRule="auto"/>
        <w:tabs>
          <w:tab w:leader="none" w:pos="1747"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Borrower agrees to pay to each Credit Party, for its own account, fees and other amounts payable in the amounts and at the times separately agreed upon in writing between the Borrower and such Credit Party.</w:t>
      </w:r>
    </w:p>
    <w:p>
      <w:pPr>
        <w:spacing w:after="0" w:line="176" w:lineRule="exact"/>
        <w:rPr>
          <w:rFonts w:ascii="Arial" w:cs="Arial" w:eastAsia="Arial" w:hAnsi="Arial"/>
          <w:sz w:val="20"/>
          <w:szCs w:val="20"/>
          <w:color w:val="auto"/>
        </w:rPr>
      </w:pPr>
    </w:p>
    <w:p>
      <w:pPr>
        <w:ind w:firstLine="1304"/>
        <w:spacing w:after="0" w:line="260" w:lineRule="auto"/>
        <w:tabs>
          <w:tab w:leader="none" w:pos="1723" w:val="left"/>
        </w:tabs>
        <w:numPr>
          <w:ilvl w:val="0"/>
          <w:numId w:val="51"/>
        </w:numPr>
        <w:rPr>
          <w:rFonts w:ascii="Arial" w:cs="Arial" w:eastAsia="Arial" w:hAnsi="Arial"/>
          <w:sz w:val="20"/>
          <w:szCs w:val="20"/>
          <w:color w:val="auto"/>
        </w:rPr>
      </w:pPr>
      <w:r>
        <w:rPr>
          <w:rFonts w:ascii="Arial" w:cs="Arial" w:eastAsia="Arial" w:hAnsi="Arial"/>
          <w:sz w:val="20"/>
          <w:szCs w:val="20"/>
          <w:color w:val="auto"/>
        </w:rPr>
        <w:t>All fees and other amounts payable hereunder shall be paid on the dates due, in immediately available funds. Fees and other amounts paid shall not be refundable under any circumstances other than clearly demonstrable error.</w:t>
      </w:r>
    </w:p>
    <w:p>
      <w:pPr>
        <w:spacing w:after="0" w:line="17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3.4.</w:t>
      </w:r>
      <w:r>
        <w:rPr>
          <w:sz w:val="20"/>
          <w:szCs w:val="20"/>
          <w:color w:val="auto"/>
        </w:rPr>
        <w:tab/>
      </w:r>
      <w:r>
        <w:rPr>
          <w:rFonts w:ascii="Arial" w:cs="Arial" w:eastAsia="Arial" w:hAnsi="Arial"/>
          <w:sz w:val="18"/>
          <w:szCs w:val="18"/>
          <w:u w:val="single" w:color="auto"/>
          <w:color w:val="auto"/>
        </w:rPr>
        <w:t>Availability of Types of Borrowings; Adequacy of Interest Rate</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50" w:lineRule="auto"/>
        <w:tabs>
          <w:tab w:leader="none" w:pos="1723" w:val="left"/>
        </w:tabs>
        <w:numPr>
          <w:ilvl w:val="0"/>
          <w:numId w:val="52"/>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or any other Loan Document, if the Administrative Agent determines (which determination shall be conclusive absent manifest error), or the Required Lenders notify the Administrative Agent that the Required Lenders have determined, that:</w:t>
      </w:r>
    </w:p>
    <w:p>
      <w:pPr>
        <w:spacing w:after="0" w:line="185" w:lineRule="exact"/>
        <w:rPr>
          <w:rFonts w:ascii="Arial" w:cs="Arial" w:eastAsia="Arial" w:hAnsi="Arial"/>
          <w:sz w:val="20"/>
          <w:szCs w:val="20"/>
          <w:color w:val="auto"/>
        </w:rPr>
      </w:pPr>
    </w:p>
    <w:p>
      <w:pPr>
        <w:ind w:left="1300" w:right="20" w:firstLine="652"/>
        <w:spacing w:after="0" w:line="260" w:lineRule="auto"/>
        <w:tabs>
          <w:tab w:leader="none" w:pos="2409" w:val="left"/>
        </w:tabs>
        <w:numPr>
          <w:ilvl w:val="1"/>
          <w:numId w:val="52"/>
        </w:numPr>
        <w:rPr>
          <w:rFonts w:ascii="Arial" w:cs="Arial" w:eastAsia="Arial" w:hAnsi="Arial"/>
          <w:sz w:val="20"/>
          <w:szCs w:val="20"/>
          <w:color w:val="auto"/>
        </w:rPr>
      </w:pPr>
      <w:r>
        <w:rPr>
          <w:rFonts w:ascii="Arial" w:cs="Arial" w:eastAsia="Arial" w:hAnsi="Arial"/>
          <w:sz w:val="20"/>
          <w:szCs w:val="20"/>
          <w:color w:val="auto"/>
        </w:rPr>
        <w:t>deposits of a type and maturity appropriate to match fund Eurodollar Borrowings are not available to such Lenders in the relevant market, or</w:t>
      </w:r>
    </w:p>
    <w:p>
      <w:pPr>
        <w:spacing w:after="0" w:line="176" w:lineRule="exact"/>
        <w:rPr>
          <w:rFonts w:ascii="Arial" w:cs="Arial" w:eastAsia="Arial" w:hAnsi="Arial"/>
          <w:sz w:val="20"/>
          <w:szCs w:val="20"/>
          <w:color w:val="auto"/>
        </w:rPr>
      </w:pPr>
    </w:p>
    <w:p>
      <w:pPr>
        <w:jc w:val="both"/>
        <w:ind w:left="1300" w:firstLine="652"/>
        <w:spacing w:after="0" w:line="246" w:lineRule="auto"/>
        <w:tabs>
          <w:tab w:leader="none" w:pos="2423"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interest rate applicable to Eurodollar Borrowings for any requested Interest Period is not ascertainable or available (including, without limitation, because the applicable Reuters Screen (or on any successor or substitute page on such screen) is unavailable) or does not adequately and fairly reflect the cost of making or maintaining Eurodollar Borrowings,</w:t>
      </w:r>
    </w:p>
    <w:p>
      <w:pPr>
        <w:spacing w:after="0" w:line="19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then the Administrative Agent shall suspend the availability of Eurodollar Borrowings and require any affected Eurodollar Borrowings to be repaid or converted to ABR Borrowings, subject to the payment of any funding indemnification amounts required by Section 3.4.</w:t>
      </w:r>
    </w:p>
    <w:p>
      <w:pPr>
        <w:spacing w:after="0" w:line="152" w:lineRule="exact"/>
        <w:rPr>
          <w:sz w:val="20"/>
          <w:szCs w:val="20"/>
          <w:color w:val="auto"/>
        </w:rPr>
      </w:pPr>
    </w:p>
    <w:p>
      <w:pPr>
        <w:jc w:val="both"/>
        <w:ind w:firstLine="1304"/>
        <w:spacing w:after="0" w:line="246" w:lineRule="auto"/>
        <w:tabs>
          <w:tab w:leader="none" w:pos="1814" w:val="left"/>
        </w:tabs>
        <w:numPr>
          <w:ilvl w:val="0"/>
          <w:numId w:val="53"/>
        </w:numPr>
        <w:rPr>
          <w:rFonts w:ascii="Arial" w:cs="Arial" w:eastAsia="Arial" w:hAnsi="Arial"/>
          <w:sz w:val="20"/>
          <w:szCs w:val="20"/>
          <w:color w:val="auto"/>
        </w:rPr>
      </w:pPr>
      <w:r>
        <w:rPr>
          <w:rFonts w:ascii="Arial" w:cs="Arial" w:eastAsia="Arial" w:hAnsi="Arial"/>
          <w:sz w:val="20"/>
          <w:szCs w:val="20"/>
          <w:color w:val="auto"/>
        </w:rPr>
        <w:t>Notwithstanding the foregoing or anything to the contrary in this Agreement or any other Loan Document, if the Administrative Agent determines (which determination shall be conclusive absent manifest error), or the Required Lenders notify the Administrative Agent (with a copy to the Borrower) that the Required Lenders have determined, that any one or more of the following (each, a “</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has occurred:</w:t>
      </w:r>
    </w:p>
    <w:p>
      <w:pPr>
        <w:spacing w:after="0" w:line="191" w:lineRule="exact"/>
        <w:rPr>
          <w:rFonts w:ascii="Arial" w:cs="Arial" w:eastAsia="Arial" w:hAnsi="Arial"/>
          <w:sz w:val="20"/>
          <w:szCs w:val="20"/>
          <w:color w:val="auto"/>
        </w:rPr>
      </w:pPr>
    </w:p>
    <w:p>
      <w:pPr>
        <w:jc w:val="both"/>
        <w:ind w:left="1300" w:firstLine="652"/>
        <w:spacing w:after="0" w:line="246" w:lineRule="auto"/>
        <w:tabs>
          <w:tab w:leader="none" w:pos="2328"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circumstances set forth in Section 3.4(a)(ii) have arisen (including, without limitation, a public statement or publication of information by the regulatory supervisor for the administrator of the LIBO Rate described in clause (ii) of this Section 3.4(b) announcing that the LIBO Rate is no longer representative) and such circumstances are unlikely to be temporary,</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18" w:right="339" w:bottom="1440" w:gutter="0" w:footer="0" w:header="0"/>
        </w:sectPr>
      </w:pPr>
    </w:p>
    <w:bookmarkStart w:id="82" w:name="page83"/>
    <w:bookmarkEnd w:id="82"/>
    <w:p>
      <w:pPr>
        <w:ind w:left="980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left="640" w:firstLine="652"/>
        <w:spacing w:after="0" w:line="250" w:lineRule="auto"/>
        <w:tabs>
          <w:tab w:leader="none" w:pos="1777" w:val="left"/>
        </w:tabs>
        <w:numPr>
          <w:ilvl w:val="0"/>
          <w:numId w:val="54"/>
        </w:numPr>
        <w:rPr>
          <w:rFonts w:ascii="Arial" w:cs="Arial" w:eastAsia="Arial" w:hAnsi="Arial"/>
          <w:sz w:val="20"/>
          <w:szCs w:val="20"/>
          <w:color w:val="auto"/>
        </w:rPr>
      </w:pPr>
      <w:r>
        <w:rPr>
          <w:rFonts w:ascii="Arial" w:cs="Arial" w:eastAsia="Arial" w:hAnsi="Arial"/>
          <w:sz w:val="20"/>
          <w:szCs w:val="20"/>
          <w:color w:val="auto"/>
        </w:rPr>
        <w:t>ICE Benchmark Administration (or any Person that has taken over the administration of the LIBO Rate for deposits in Dollars that is acceptable to the Administrative Agent) discontinues its administration and publication of the LIBO Rate for deposits in Dollars,</w:t>
      </w:r>
    </w:p>
    <w:p>
      <w:pPr>
        <w:spacing w:after="0" w:line="185" w:lineRule="exact"/>
        <w:rPr>
          <w:rFonts w:ascii="Arial" w:cs="Arial" w:eastAsia="Arial" w:hAnsi="Arial"/>
          <w:sz w:val="20"/>
          <w:szCs w:val="20"/>
          <w:color w:val="auto"/>
        </w:rPr>
      </w:pPr>
    </w:p>
    <w:p>
      <w:pPr>
        <w:jc w:val="both"/>
        <w:ind w:left="640" w:firstLine="652"/>
        <w:spacing w:after="0" w:line="244" w:lineRule="auto"/>
        <w:tabs>
          <w:tab w:leader="none" w:pos="19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or on behalf of the administrator of the LIBO Rate described in clause (ii) of this Section 3.4(b) announcing that such administrator has ceased or will cease as of a specific date to provide the LIBO Rate (permanently or indefinitely);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there is no successor administrator that is acceptable to the Administrative Agent that will continue to provide the LIBO Rate after such specified date,</w:t>
      </w:r>
    </w:p>
    <w:p>
      <w:pPr>
        <w:spacing w:after="0" w:line="194" w:lineRule="exact"/>
        <w:rPr>
          <w:rFonts w:ascii="Arial" w:cs="Arial" w:eastAsia="Arial" w:hAnsi="Arial"/>
          <w:sz w:val="20"/>
          <w:szCs w:val="20"/>
          <w:color w:val="auto"/>
        </w:rPr>
      </w:pPr>
    </w:p>
    <w:p>
      <w:pPr>
        <w:jc w:val="both"/>
        <w:ind w:left="640" w:firstLine="652"/>
        <w:spacing w:after="0" w:line="257" w:lineRule="auto"/>
        <w:tabs>
          <w:tab w:leader="none" w:pos="1835"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a public statement by the supervisor for the administrator of the LIBO Rate described in clause (ii) of this Section 3.4(b), the U.S. Federal Reserve System, an insolvency official with jurisdiction over such administrator for the LIBO Rate, a resolution authority with jurisdiction over such administrator for the LIBO Rate or a court or an entity with similar insolvency or resolution authority over such administrator for the LIBO Rate, which states that such administrator of the LIBO Rate has ceased or will cease as of a specific date to provide the LIBO Rate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is acceptable to the Administrative Agent that will continue to provide the LIBO Rate after such specified date; or</w:t>
      </w:r>
    </w:p>
    <w:p>
      <w:pPr>
        <w:spacing w:after="0" w:line="184" w:lineRule="exact"/>
        <w:rPr>
          <w:rFonts w:ascii="Arial" w:cs="Arial" w:eastAsia="Arial" w:hAnsi="Arial"/>
          <w:sz w:val="19"/>
          <w:szCs w:val="19"/>
          <w:color w:val="auto"/>
        </w:rPr>
      </w:pPr>
    </w:p>
    <w:p>
      <w:pPr>
        <w:jc w:val="both"/>
        <w:ind w:left="640" w:firstLine="652"/>
        <w:spacing w:after="0" w:line="246" w:lineRule="auto"/>
        <w:tabs>
          <w:tab w:leader="none" w:pos="1739" w:val="left"/>
        </w:tabs>
        <w:numPr>
          <w:ilvl w:val="0"/>
          <w:numId w:val="54"/>
        </w:numPr>
        <w:rPr>
          <w:rFonts w:ascii="Arial" w:cs="Arial" w:eastAsia="Arial" w:hAnsi="Arial"/>
          <w:sz w:val="20"/>
          <w:szCs w:val="20"/>
          <w:color w:val="auto"/>
        </w:rPr>
      </w:pPr>
      <w:r>
        <w:rPr>
          <w:rFonts w:ascii="Arial" w:cs="Arial" w:eastAsia="Arial" w:hAnsi="Arial"/>
          <w:sz w:val="20"/>
          <w:szCs w:val="20"/>
          <w:color w:val="auto"/>
        </w:rPr>
        <w:t>syndicated credit facilities substantially similar to the credit facilities under this Agreement being executed at such time, or that include language substantially similar to that contained in this Section 3.4(b), are being executed or amended, as the case may be, to incorporate or adopt a new benchmark interest rate to replace the LIBO Rate for deposits in Dollars</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u w:val="single" w:color="auto"/>
          <w:color w:val="auto"/>
        </w:rPr>
        <w:t>then the Administrative Agent and the Borrower may amend this Agreement to replace the LIBO Rate with a Benchmark Replacement. Notwithstanding anything to the contrary in Section 10.2, any such amendment with respect to a Benchmark Transition Event (A) pursuant to any of clauses (i) through (iv) of this Section 3.4(b) will become effective without any further action or consent of any other party to this Agreement at 5:00 p.m. (New York City time) on the fifth Business Day after the Administrative Agent has posted such proposed amendment to all Lenders and the Borrower so long as the Administrative Agent has not received, by such time, written notice of objection to such amendment from Lenders comprising the Required Lenders or (B) pursuant to clause (v) of this Section 3.4(b), will become effective without any further action or consent of any other party to this Agreement on the date that Lenders comprising the Required Lenders have delivered to the Administrative Agent written notice that such Required Lenders accept such amendment; provided that, if the notice of a Benchmark Trigger Event pursuant to clause (v) has been provided by the Required Lenders and not the Administrative Agent and such notice specifies the Benchmark Replacement, then the Lenders comprising the Required Lenders shall be deemed to have accepted such amendment on the date such amendment has been posted by the Administrative Agent to all Lenders. No replacement of the LIBO Rate with a Benchmark Replacement pursuant to this Section 3.4(b) will occur prior to the date set forth in the applicable amendment.</w:t>
      </w:r>
    </w:p>
    <w:p>
      <w:pPr>
        <w:spacing w:after="0" w:line="38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0580"/>
          </w:cols>
          <w:pgMar w:left="980" w:top="118" w:right="339" w:bottom="1440" w:gutter="0" w:footer="0" w:header="0"/>
        </w:sectPr>
      </w:pPr>
    </w:p>
    <w:bookmarkStart w:id="83" w:name="page84"/>
    <w:bookmarkEnd w:id="83"/>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left="660" w:firstLine="1296"/>
        <w:spacing w:after="0" w:line="246" w:lineRule="auto"/>
        <w:rPr>
          <w:sz w:val="20"/>
          <w:szCs w:val="20"/>
          <w:color w:val="auto"/>
        </w:rPr>
      </w:pPr>
      <w:r>
        <w:rPr>
          <w:rFonts w:ascii="Arial" w:cs="Arial" w:eastAsia="Arial" w:hAnsi="Arial"/>
          <w:sz w:val="20"/>
          <w:szCs w:val="20"/>
          <w:u w:val="single" w:color="auto"/>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91" w:lineRule="exact"/>
        <w:rPr>
          <w:sz w:val="20"/>
          <w:szCs w:val="20"/>
          <w:color w:val="auto"/>
        </w:rPr>
      </w:pPr>
    </w:p>
    <w:p>
      <w:pPr>
        <w:jc w:val="both"/>
        <w:ind w:left="660" w:firstLine="1296"/>
        <w:spacing w:after="0" w:line="275" w:lineRule="auto"/>
        <w:rPr>
          <w:sz w:val="20"/>
          <w:szCs w:val="20"/>
          <w:color w:val="auto"/>
        </w:rPr>
      </w:pPr>
      <w:r>
        <w:rPr>
          <w:rFonts w:ascii="Arial" w:cs="Arial" w:eastAsia="Arial" w:hAnsi="Arial"/>
          <w:sz w:val="18"/>
          <w:szCs w:val="18"/>
          <w:u w:val="single" w:color="auto"/>
          <w:color w:val="auto"/>
        </w:rPr>
        <w:t>The Administrative Agent will promptly notify the Borrower and the Lenders of (1) any occurrence of a Benchmark Transition Event (other than pursuant to clause (v) of this Section 3.4(b)), (2) the implementation of any Benchmark Replacement,</w:t>
      </w:r>
    </w:p>
    <w:p>
      <w:pPr>
        <w:spacing w:after="0" w:line="1" w:lineRule="exact"/>
        <w:rPr>
          <w:sz w:val="20"/>
          <w:szCs w:val="20"/>
          <w:color w:val="auto"/>
        </w:rPr>
      </w:pPr>
    </w:p>
    <w:p>
      <w:pPr>
        <w:jc w:val="both"/>
        <w:ind w:left="660" w:hanging="4"/>
        <w:spacing w:after="0" w:line="255" w:lineRule="auto"/>
        <w:tabs>
          <w:tab w:leader="none" w:pos="987" w:val="left"/>
        </w:tabs>
        <w:numPr>
          <w:ilvl w:val="0"/>
          <w:numId w:val="5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the effectiveness of any Benchmark Replacement Conforming Changes and (4) the commencement or conclusion of any Benchmark Unavailability Period. Any determination, decision or election that may be made by the Administrative Agent or Lenders pursuant to this Section 3.4(b),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3.4(b).</w:t>
      </w:r>
    </w:p>
    <w:p>
      <w:pPr>
        <w:spacing w:after="0" w:line="184" w:lineRule="exact"/>
        <w:rPr>
          <w:rFonts w:ascii="Arial" w:cs="Arial" w:eastAsia="Arial" w:hAnsi="Arial"/>
          <w:sz w:val="19"/>
          <w:szCs w:val="19"/>
          <w:u w:val="single" w:color="auto"/>
          <w:color w:val="auto"/>
        </w:rPr>
      </w:pPr>
    </w:p>
    <w:p>
      <w:pPr>
        <w:jc w:val="both"/>
        <w:ind w:firstLine="1304"/>
        <w:spacing w:after="0" w:line="274" w:lineRule="auto"/>
        <w:tabs>
          <w:tab w:leader="none" w:pos="1723" w:val="left"/>
        </w:tabs>
        <w:numPr>
          <w:ilvl w:val="1"/>
          <w:numId w:val="55"/>
        </w:numPr>
        <w:rPr>
          <w:rFonts w:ascii="Arial" w:cs="Arial" w:eastAsia="Arial" w:hAnsi="Arial"/>
          <w:sz w:val="18"/>
          <w:szCs w:val="18"/>
          <w:color w:val="auto"/>
        </w:rPr>
      </w:pPr>
      <w:r>
        <w:rPr>
          <w:rFonts w:ascii="Arial" w:cs="Arial" w:eastAsia="Arial" w:hAnsi="Arial"/>
          <w:sz w:val="18"/>
          <w:szCs w:val="18"/>
          <w:color w:val="auto"/>
        </w:rPr>
        <w:t>Upon notice to the Borrower by the Administrative Agent in accordance with Section 10.1 of the commencement of a Benchmark Unavailability Period and until a Benchmark Replacement is determined in accordance with this Section 3.4(b), (A) any request pursuant to Section 3.2 that requests the conversion of any Borrowing to, or continuation of any Borrowing as, a Eurodollar Borrowing may be revoked by the Borrower and if not revoked shall be ineffective and any such Borrowing shall be continued as or converted to, as the case may be, an ABR Borrowing, and (B) if any request pursuant to Section 2.3 requests a Eurodollar Borrowing, such request may be revoked by the Borrower and if not revoked such Borrowing shall be made as an ABR Borrowing. During any Benchmark Unavailability Period, the component of the Alternate Base Rate based upon the Eurodollar Rate will not be used in any determination of the Alternate Base Rate.</w:t>
      </w:r>
    </w:p>
    <w:p>
      <w:pPr>
        <w:spacing w:after="0" w:line="16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3.5.</w:t>
      </w:r>
      <w:r>
        <w:rPr>
          <w:sz w:val="20"/>
          <w:szCs w:val="20"/>
          <w:color w:val="auto"/>
        </w:rPr>
        <w:tab/>
      </w:r>
      <w:r>
        <w:rPr>
          <w:rFonts w:ascii="Arial" w:cs="Arial" w:eastAsia="Arial" w:hAnsi="Arial"/>
          <w:sz w:val="18"/>
          <w:szCs w:val="18"/>
          <w:u w:val="single" w:color="auto"/>
          <w:color w:val="auto"/>
        </w:rPr>
        <w:t>Increased Costs; Illegality</w:t>
      </w:r>
      <w:r>
        <w:rPr>
          <w:rFonts w:ascii="Arial" w:cs="Arial" w:eastAsia="Arial" w:hAnsi="Arial"/>
          <w:sz w:val="18"/>
          <w:szCs w:val="18"/>
          <w:color w:val="auto"/>
        </w:rPr>
        <w:t>.</w:t>
      </w:r>
    </w:p>
    <w:p>
      <w:pPr>
        <w:spacing w:after="0" w:line="216" w:lineRule="exact"/>
        <w:rPr>
          <w:sz w:val="20"/>
          <w:szCs w:val="20"/>
          <w:color w:val="auto"/>
        </w:rPr>
      </w:pPr>
    </w:p>
    <w:p>
      <w:pPr>
        <w:ind w:left="1700" w:hanging="396"/>
        <w:spacing w:after="0"/>
        <w:tabs>
          <w:tab w:leader="none" w:pos="17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any Change in Law shall:</w:t>
      </w:r>
    </w:p>
    <w:p>
      <w:pPr>
        <w:spacing w:after="0" w:line="215" w:lineRule="exact"/>
        <w:rPr>
          <w:rFonts w:ascii="Arial" w:cs="Arial" w:eastAsia="Arial" w:hAnsi="Arial"/>
          <w:sz w:val="20"/>
          <w:szCs w:val="20"/>
          <w:color w:val="auto"/>
        </w:rPr>
      </w:pPr>
    </w:p>
    <w:p>
      <w:pPr>
        <w:jc w:val="both"/>
        <w:ind w:left="1300" w:firstLine="652"/>
        <w:spacing w:after="0" w:line="250" w:lineRule="auto"/>
        <w:tabs>
          <w:tab w:leader="none" w:pos="2355" w:val="left"/>
        </w:tabs>
        <w:numPr>
          <w:ilvl w:val="1"/>
          <w:numId w:val="56"/>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liquidity or similar requirement against assets of, deposits with or for the account of, or credit extended by, any Credit Party (except any such reserve requirement reflected in the Adjusted LIBO Rate);</w:t>
      </w:r>
    </w:p>
    <w:p>
      <w:pPr>
        <w:spacing w:after="0" w:line="185" w:lineRule="exact"/>
        <w:rPr>
          <w:rFonts w:ascii="Arial" w:cs="Arial" w:eastAsia="Arial" w:hAnsi="Arial"/>
          <w:sz w:val="20"/>
          <w:szCs w:val="20"/>
          <w:color w:val="auto"/>
        </w:rPr>
      </w:pPr>
    </w:p>
    <w:p>
      <w:pPr>
        <w:jc w:val="both"/>
        <w:ind w:left="1300" w:firstLine="652"/>
        <w:spacing w:after="0" w:line="250" w:lineRule="auto"/>
        <w:tabs>
          <w:tab w:leader="none" w:pos="2599" w:val="left"/>
        </w:tabs>
        <w:numPr>
          <w:ilvl w:val="1"/>
          <w:numId w:val="56"/>
        </w:numPr>
        <w:rPr>
          <w:rFonts w:ascii="Arial" w:cs="Arial" w:eastAsia="Arial" w:hAnsi="Arial"/>
          <w:sz w:val="20"/>
          <w:szCs w:val="20"/>
          <w:color w:val="auto"/>
        </w:rPr>
      </w:pPr>
      <w:r>
        <w:rPr>
          <w:rFonts w:ascii="Arial" w:cs="Arial" w:eastAsia="Arial" w:hAnsi="Arial"/>
          <w:sz w:val="20"/>
          <w:szCs w:val="20"/>
          <w:color w:val="auto"/>
        </w:rPr>
        <w:t>subject any Recipient to any Taxes with respect to this Agreement or on its Loans, loan principal, Commitments, or other obligations, or its deposits, reserves, other liabilities or capital attributable thereto in respect thereof (other than (A) Indemnified Taxes and (B) Excluded Taxes); or</w:t>
      </w:r>
    </w:p>
    <w:p>
      <w:pPr>
        <w:spacing w:after="0" w:line="185" w:lineRule="exact"/>
        <w:rPr>
          <w:rFonts w:ascii="Arial" w:cs="Arial" w:eastAsia="Arial" w:hAnsi="Arial"/>
          <w:sz w:val="20"/>
          <w:szCs w:val="20"/>
          <w:color w:val="auto"/>
        </w:rPr>
      </w:pPr>
    </w:p>
    <w:p>
      <w:pPr>
        <w:ind w:left="1300" w:firstLine="652"/>
        <w:spacing w:after="0" w:line="260" w:lineRule="auto"/>
        <w:tabs>
          <w:tab w:leader="none" w:pos="2438" w:val="left"/>
        </w:tabs>
        <w:numPr>
          <w:ilvl w:val="1"/>
          <w:numId w:val="56"/>
        </w:numPr>
        <w:rPr>
          <w:rFonts w:ascii="Arial" w:cs="Arial" w:eastAsia="Arial" w:hAnsi="Arial"/>
          <w:sz w:val="20"/>
          <w:szCs w:val="20"/>
          <w:color w:val="auto"/>
        </w:rPr>
      </w:pPr>
      <w:r>
        <w:rPr>
          <w:rFonts w:ascii="Arial" w:cs="Arial" w:eastAsia="Arial" w:hAnsi="Arial"/>
          <w:sz w:val="20"/>
          <w:szCs w:val="20"/>
          <w:color w:val="auto"/>
        </w:rPr>
        <w:t>impose on any Credit Party or the London interbank market any other condition affecting this Agreement, any Eurodollar Loans made by such Credit Party or any participation therein;</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and the result of any of the foregoing shall be to increase the cost to such Credit Party of making, continuing, converting or maintaining any Eurodollar Loan hereunder or to increase the cost to such Credit Party or</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18" w:right="339" w:bottom="1440" w:gutter="0" w:footer="0" w:header="0"/>
        </w:sectPr>
      </w:pPr>
    </w:p>
    <w:bookmarkStart w:id="84" w:name="page85"/>
    <w:bookmarkEnd w:id="84"/>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to reduce the amount of any sum received or receivable by such Credit Party hereunder (whether of principal, interest or otherwise), then the Borrower will pay to such Credit Party such additional amount or amounts as will compensate such Credit Party for such additional costs incurred or reduction suffered.</w:t>
      </w:r>
    </w:p>
    <w:p>
      <w:pPr>
        <w:spacing w:after="0" w:line="186" w:lineRule="exact"/>
        <w:rPr>
          <w:sz w:val="20"/>
          <w:szCs w:val="20"/>
          <w:color w:val="auto"/>
        </w:rPr>
      </w:pPr>
    </w:p>
    <w:p>
      <w:pPr>
        <w:jc w:val="both"/>
        <w:ind w:firstLine="1304"/>
        <w:spacing w:after="0" w:line="243" w:lineRule="auto"/>
        <w:tabs>
          <w:tab w:leader="none" w:pos="1706" w:val="left"/>
        </w:tabs>
        <w:numPr>
          <w:ilvl w:val="0"/>
          <w:numId w:val="57"/>
        </w:numPr>
        <w:rPr>
          <w:rFonts w:ascii="Arial" w:cs="Arial" w:eastAsia="Arial" w:hAnsi="Arial"/>
          <w:sz w:val="20"/>
          <w:szCs w:val="20"/>
          <w:color w:val="auto"/>
        </w:rPr>
      </w:pPr>
      <w:r>
        <w:rPr>
          <w:rFonts w:ascii="Arial" w:cs="Arial" w:eastAsia="Arial" w:hAnsi="Arial"/>
          <w:sz w:val="20"/>
          <w:szCs w:val="20"/>
          <w:color w:val="auto"/>
        </w:rPr>
        <w:t>If any Credit Party determines that any Change in Law regarding capital or liquidity requirements has or would have the effect of reducing the rate of return on such Credit Party’s capital or on the capital of such Credit Party’s holding company, if any, as a consequence of this Agreement or the Loans made by such Credit Party to a level below that which such Credit Party or such Credit Party’s holding company could have achieved but for such Change in Law (taking into consideration such Credit Party’s policies and the policies of such Credit Party’s holding company with respect to capital adequacy), then from time to time the Borrower will pay to such Credit Party such additional amount or amounts as will compensate such Credit Party or such Credit Party’s holding company for any such reduction suffered.</w:t>
      </w:r>
    </w:p>
    <w:p>
      <w:pPr>
        <w:spacing w:after="0" w:line="192" w:lineRule="exact"/>
        <w:rPr>
          <w:rFonts w:ascii="Arial" w:cs="Arial" w:eastAsia="Arial" w:hAnsi="Arial"/>
          <w:sz w:val="20"/>
          <w:szCs w:val="20"/>
          <w:color w:val="auto"/>
        </w:rPr>
      </w:pPr>
    </w:p>
    <w:p>
      <w:pPr>
        <w:jc w:val="both"/>
        <w:ind w:firstLine="1304"/>
        <w:spacing w:after="0" w:line="246" w:lineRule="auto"/>
        <w:tabs>
          <w:tab w:leader="none" w:pos="1763"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A certificate of a Credit Party setting forth the amount or amounts necessary to compensate such Credit Party or its holding company, as applicable, as specified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shall be delivered to the Borrower and shall be conclusive and binding upon all parties hereto absent manifest error. The Borrower shall pay such Credit Party the amount shown as due on any such certificate within 10 Business Days after receipt thereof.</w:t>
      </w:r>
    </w:p>
    <w:p>
      <w:pPr>
        <w:spacing w:after="0" w:line="191" w:lineRule="exact"/>
        <w:rPr>
          <w:rFonts w:ascii="Arial" w:cs="Arial" w:eastAsia="Arial" w:hAnsi="Arial"/>
          <w:sz w:val="20"/>
          <w:szCs w:val="20"/>
          <w:color w:val="auto"/>
        </w:rPr>
      </w:pPr>
    </w:p>
    <w:p>
      <w:pPr>
        <w:jc w:val="both"/>
        <w:ind w:firstLine="1304"/>
        <w:spacing w:after="0" w:line="243" w:lineRule="auto"/>
        <w:tabs>
          <w:tab w:leader="none" w:pos="1733"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Failure or delay on the part of any Credit Party to demand compensation pursuant to this Section shall not constitute a waiver of such Credit Party’s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be required to compensate a Credit Party pursuant to this Section for any increased costs or reductions incurred more than 180 days prior to the date that such Credit Party notifies the Borrower of the Change in Law giving rise to such increased costs or reductions and of such Credit Party’s intention to claim compensation therefor;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if the Change in Law giving rise to such increased costs or reductions is retroactive, then the 180 day period referred to above shall be extended to include the period of retroactive effect thereof but not to exceed a period of 365 days.</w:t>
      </w:r>
    </w:p>
    <w:p>
      <w:pPr>
        <w:spacing w:after="0" w:line="192" w:lineRule="exact"/>
        <w:rPr>
          <w:rFonts w:ascii="Arial" w:cs="Arial" w:eastAsia="Arial" w:hAnsi="Arial"/>
          <w:sz w:val="20"/>
          <w:szCs w:val="20"/>
          <w:color w:val="auto"/>
        </w:rPr>
      </w:pPr>
    </w:p>
    <w:p>
      <w:pPr>
        <w:jc w:val="both"/>
        <w:ind w:firstLine="1304"/>
        <w:spacing w:after="0" w:line="250" w:lineRule="auto"/>
        <w:tabs>
          <w:tab w:leader="none" w:pos="1709" w:val="left"/>
        </w:tabs>
        <w:numPr>
          <w:ilvl w:val="0"/>
          <w:numId w:val="57"/>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if any Change in Law shall make it unlawful for any Lender to make or maintain any Eurodollar Loan or to give effect to its obligations as contemplated hereby with respect to any Eurodollar Loan, then, by written notice to the Borrower and to the Administrative Agent:</w:t>
      </w:r>
    </w:p>
    <w:p>
      <w:pPr>
        <w:spacing w:after="0" w:line="185" w:lineRule="exact"/>
        <w:rPr>
          <w:rFonts w:ascii="Arial" w:cs="Arial" w:eastAsia="Arial" w:hAnsi="Arial"/>
          <w:sz w:val="20"/>
          <w:szCs w:val="20"/>
          <w:color w:val="auto"/>
        </w:rPr>
      </w:pPr>
    </w:p>
    <w:p>
      <w:pPr>
        <w:jc w:val="both"/>
        <w:ind w:left="1300" w:firstLine="652"/>
        <w:spacing w:after="0" w:line="257" w:lineRule="auto"/>
        <w:tabs>
          <w:tab w:leader="none" w:pos="2369" w:val="left"/>
        </w:tabs>
        <w:numPr>
          <w:ilvl w:val="1"/>
          <w:numId w:val="57"/>
        </w:numPr>
        <w:rPr>
          <w:rFonts w:ascii="Arial" w:cs="Arial" w:eastAsia="Arial" w:hAnsi="Arial"/>
          <w:sz w:val="19"/>
          <w:szCs w:val="19"/>
          <w:color w:val="auto"/>
        </w:rPr>
      </w:pPr>
      <w:r>
        <w:rPr>
          <w:rFonts w:ascii="Arial" w:cs="Arial" w:eastAsia="Arial" w:hAnsi="Arial"/>
          <w:sz w:val="19"/>
          <w:szCs w:val="19"/>
          <w:color w:val="auto"/>
        </w:rPr>
        <w:t>such Lender may declare that Eurodollar Loans will not thereafter (for the duration of such unlawfulness) be made by such Lender hereunder (or be continued for additional Interest Periods) and ABR Loans will not thereafter (for such duration) be converted into Eurodollar Loans, whereupon any request for a Eurodollar Borrowing or to convert an ABR Borrowing to a Eurodollar Borrowing or to continue a Eurodollar Borrowing, as applicable, for an additional Interest Period shall, as to such Lender only, be deemed a request for an ABR Loan (or a request to continue an ABR Loan as such for an additional Interest Period or to convert a Eurodollar Loan into an ABR Loan, as applicable), unless such declaration shall be subsequently withdrawn; and</w:t>
      </w:r>
    </w:p>
    <w:p>
      <w:pPr>
        <w:spacing w:after="0" w:line="184" w:lineRule="exact"/>
        <w:rPr>
          <w:rFonts w:ascii="Arial" w:cs="Arial" w:eastAsia="Arial" w:hAnsi="Arial"/>
          <w:sz w:val="19"/>
          <w:szCs w:val="19"/>
          <w:color w:val="auto"/>
        </w:rPr>
      </w:pPr>
    </w:p>
    <w:p>
      <w:pPr>
        <w:jc w:val="both"/>
        <w:ind w:left="1300" w:firstLine="652"/>
        <w:spacing w:after="0" w:line="250" w:lineRule="auto"/>
        <w:tabs>
          <w:tab w:leader="none" w:pos="2464" w:val="left"/>
        </w:tabs>
        <w:numPr>
          <w:ilvl w:val="1"/>
          <w:numId w:val="57"/>
        </w:numPr>
        <w:rPr>
          <w:rFonts w:ascii="Arial" w:cs="Arial" w:eastAsia="Arial" w:hAnsi="Arial"/>
          <w:sz w:val="20"/>
          <w:szCs w:val="20"/>
          <w:color w:val="auto"/>
        </w:rPr>
      </w:pPr>
      <w:r>
        <w:rPr>
          <w:rFonts w:ascii="Arial" w:cs="Arial" w:eastAsia="Arial" w:hAnsi="Arial"/>
          <w:sz w:val="20"/>
          <w:szCs w:val="20"/>
          <w:color w:val="auto"/>
        </w:rPr>
        <w:t>such Lender may require that all outstanding Eurodollar Loans made by it be converted to ABR Loans, in which event all such Eurodollar Loans shall be automatically converted to ABR Loans, as of the effective date of such notice as provided in the last sentence of this paragraph.</w:t>
      </w: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18" w:right="339" w:bottom="1440" w:gutter="0" w:footer="0" w:header="0"/>
        </w:sectPr>
      </w:pPr>
    </w:p>
    <w:bookmarkStart w:id="85" w:name="page86"/>
    <w:bookmarkEnd w:id="85"/>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In the event any Lender shall exercise its rights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of this paragraph, all payments and prepayments of principal that would otherwise have been applied to repay the Eurodollar Loans that would have been made by such Lender or the converted Eurodollar Loans of such Lender shall instead be applied to repay the ABR Loans made by such Lender in lieu of, or resulting from the conversion of, such Eurodollar Loans, as applicable. For purposes of this paragraph, a notice to the Borrower by any Lender shall be effective as to each Eurodollar Loan made by such Lender, if lawful, on the last day of the Interest Period currently applicable to such Eurodollar Loan; in all other cases such notice shall be effective on the date of receipt by the Borrower.</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Break Funding Payments</w:t>
      </w:r>
      <w:r>
        <w:rPr>
          <w:rFonts w:ascii="Arial" w:cs="Arial" w:eastAsia="Arial" w:hAnsi="Arial"/>
          <w:sz w:val="18"/>
          <w:szCs w:val="18"/>
          <w:color w:val="auto"/>
        </w:rPr>
        <w:t xml:space="preserve">. In the event of (3) the payment or prepayment (voluntary or otherwise) of any principal of any Eurodollar Loan other than on the last day of an Interest Period applicable thereto (including as a result of an Event of Default), (3) the conversion of any Eurodollar Loan other than on the last day of the Interest Period applicable thereto, (3) the failure to borrow, convert, continue or prepay any Eurodollar Loan on the date specified in any notice delivered pursuant hereto (regardless of whether such notice may be revoked under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and is revoked in accordance therewith), or (3) the assignment of any Eurodollar Loan other than on the last day of the Interest Period or maturity date applicable thereto as a result of a request by the Borrower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 then, in any such event, the Borrower shall compensate each Lender for the loss, cost and expense attributable to such event. In the case of a Eurodollar Loan, such loss, cost or expense to any Lender shall be deemed to include an amount determined by such Lender to be the excess, if any, of</w:t>
      </w:r>
    </w:p>
    <w:p>
      <w:pPr>
        <w:spacing w:after="0" w:line="3" w:lineRule="exact"/>
        <w:rPr>
          <w:sz w:val="20"/>
          <w:szCs w:val="20"/>
          <w:color w:val="auto"/>
        </w:rPr>
      </w:pPr>
    </w:p>
    <w:p>
      <w:pPr>
        <w:jc w:val="both"/>
        <w:ind w:firstLine="8"/>
        <w:spacing w:after="0" w:line="254" w:lineRule="auto"/>
        <w:tabs>
          <w:tab w:leader="none" w:pos="286"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amount of interest that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(3) the amount of interest that would accrue on such principal amount for such period at the interest rate that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Business Days after receipt thereof.</w:t>
      </w:r>
    </w:p>
    <w:p>
      <w:pPr>
        <w:spacing w:after="0" w:line="18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3.7.</w:t>
      </w:r>
      <w:r>
        <w:rPr>
          <w:sz w:val="20"/>
          <w:szCs w:val="20"/>
          <w:color w:val="auto"/>
        </w:rPr>
        <w:tab/>
      </w:r>
      <w:r>
        <w:rPr>
          <w:rFonts w:ascii="Arial" w:cs="Arial" w:eastAsia="Arial" w:hAnsi="Arial"/>
          <w:sz w:val="18"/>
          <w:szCs w:val="18"/>
          <w:u w:val="single" w:color="auto"/>
          <w:color w:val="auto"/>
        </w:rPr>
        <w:t>Withholding of Taxes; Gross-Up.</w:t>
      </w:r>
    </w:p>
    <w:p>
      <w:pPr>
        <w:spacing w:after="0" w:line="216" w:lineRule="exact"/>
        <w:rPr>
          <w:sz w:val="20"/>
          <w:szCs w:val="20"/>
          <w:color w:val="auto"/>
        </w:rPr>
      </w:pPr>
    </w:p>
    <w:p>
      <w:pPr>
        <w:jc w:val="both"/>
        <w:ind w:firstLine="1304"/>
        <w:spacing w:after="0" w:line="273" w:lineRule="auto"/>
        <w:tabs>
          <w:tab w:leader="none" w:pos="175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Payments to be Free and Clear</w:t>
      </w:r>
      <w:r>
        <w:rPr>
          <w:rFonts w:ascii="Arial" w:cs="Arial" w:eastAsia="Arial" w:hAnsi="Arial"/>
          <w:sz w:val="18"/>
          <w:szCs w:val="18"/>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68" w:lineRule="exact"/>
        <w:rPr>
          <w:rFonts w:ascii="Arial" w:cs="Arial" w:eastAsia="Arial" w:hAnsi="Arial"/>
          <w:sz w:val="18"/>
          <w:szCs w:val="18"/>
          <w:color w:val="auto"/>
        </w:rPr>
      </w:pPr>
    </w:p>
    <w:p>
      <w:pPr>
        <w:ind w:firstLine="1304"/>
        <w:spacing w:after="0" w:line="260" w:lineRule="auto"/>
        <w:tabs>
          <w:tab w:leader="none" w:pos="176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The Borrower shall timely pay to the relevant Governmental Authority in accordance with applicable law, or at the option of the Administrative Agent timely reimburse it for, Other Taxes.</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1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0"/>
          <w:szCs w:val="20"/>
          <w:b w:val="1"/>
          <w:bCs w:val="1"/>
          <w:color w:val="auto"/>
        </w:rPr>
        <w:t>Exhibit 4</w:t>
      </w:r>
    </w:p>
    <w:p>
      <w:pPr>
        <w:spacing w:after="0" w:line="221" w:lineRule="exact"/>
        <w:rPr>
          <w:sz w:val="20"/>
          <w:szCs w:val="20"/>
          <w:color w:val="auto"/>
        </w:rPr>
      </w:pPr>
    </w:p>
    <w:p>
      <w:pPr>
        <w:jc w:val="both"/>
        <w:ind w:firstLine="1304"/>
        <w:spacing w:after="0" w:line="246" w:lineRule="auto"/>
        <w:tabs>
          <w:tab w:leader="none" w:pos="1696"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1" w:lineRule="exact"/>
        <w:rPr>
          <w:rFonts w:ascii="Arial" w:cs="Arial" w:eastAsia="Arial" w:hAnsi="Arial"/>
          <w:sz w:val="20"/>
          <w:szCs w:val="20"/>
          <w:color w:val="auto"/>
        </w:rPr>
      </w:pPr>
    </w:p>
    <w:p>
      <w:pPr>
        <w:jc w:val="both"/>
        <w:ind w:firstLine="1304"/>
        <w:spacing w:after="0" w:line="243" w:lineRule="auto"/>
        <w:tabs>
          <w:tab w:leader="none" w:pos="1706"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Indemnification by the Borrower</w:t>
      </w:r>
      <w:r>
        <w:rPr>
          <w:rFonts w:ascii="Arial" w:cs="Arial" w:eastAsia="Arial" w:hAnsi="Arial"/>
          <w:sz w:val="20"/>
          <w:szCs w:val="20"/>
          <w:color w:val="auto"/>
        </w:rPr>
        <w:t>. The Borrower shall indemnify each Recipient, within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92" w:lineRule="exact"/>
        <w:rPr>
          <w:rFonts w:ascii="Arial" w:cs="Arial" w:eastAsia="Arial" w:hAnsi="Arial"/>
          <w:sz w:val="20"/>
          <w:szCs w:val="20"/>
          <w:color w:val="auto"/>
        </w:rPr>
      </w:pPr>
    </w:p>
    <w:p>
      <w:pPr>
        <w:jc w:val="both"/>
        <w:ind w:firstLine="1304"/>
        <w:spacing w:after="0" w:line="255" w:lineRule="auto"/>
        <w:tabs>
          <w:tab w:leader="none" w:pos="1723"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xml:space="preserve">.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9"/>
          <w:szCs w:val="19"/>
          <w:u w:val="single" w:color="auto"/>
          <w:color w:val="auto"/>
        </w:rPr>
        <w:t>Section 10.4(d)</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86" w:lineRule="exact"/>
        <w:rPr>
          <w:rFonts w:ascii="Arial" w:cs="Arial" w:eastAsia="Arial" w:hAnsi="Arial"/>
          <w:sz w:val="19"/>
          <w:szCs w:val="19"/>
          <w:color w:val="auto"/>
        </w:rPr>
      </w:pPr>
    </w:p>
    <w:p>
      <w:pPr>
        <w:ind w:left="1680" w:hanging="376"/>
        <w:spacing w:after="0"/>
        <w:tabs>
          <w:tab w:leader="none" w:pos="168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71" w:lineRule="auto"/>
        <w:tabs>
          <w:tab w:leader="none" w:pos="239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3.7(f)(ii)(A), (ii)(B) and (ii)(D) below) shall not be required if in the Lender’s reasonable judgment such completion, execution or submission would subject such Lender to any</w:t>
      </w:r>
    </w:p>
    <w:p>
      <w:pPr>
        <w:spacing w:after="0" w:line="3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18" w:right="339" w:bottom="1440" w:gutter="0" w:footer="0" w:header="0"/>
        </w:sectPr>
      </w:pPr>
    </w:p>
    <w:bookmarkStart w:id="87" w:name="page88"/>
    <w:bookmarkEnd w:id="87"/>
    <w:p>
      <w:pPr>
        <w:ind w:left="934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material unreimbursed cost or expense or would materially prejudice the legal or commercial position of such Lender.</w:t>
      </w:r>
    </w:p>
    <w:p>
      <w:pPr>
        <w:spacing w:after="0" w:line="239" w:lineRule="exact"/>
        <w:rPr>
          <w:sz w:val="20"/>
          <w:szCs w:val="20"/>
          <w:color w:val="auto"/>
        </w:rPr>
      </w:pPr>
    </w:p>
    <w:p>
      <w:pPr>
        <w:ind w:left="840"/>
        <w:spacing w:after="0"/>
        <w:tabs>
          <w:tab w:leader="none" w:pos="124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8"/>
          <w:szCs w:val="18"/>
          <w:color w:val="auto"/>
        </w:rPr>
        <w:t>Without limiting the generality of the foregoing, in the event that the Borrower is a U.S. Person,</w:t>
      </w:r>
    </w:p>
    <w:p>
      <w:pPr>
        <w:spacing w:after="0" w:line="216" w:lineRule="exact"/>
        <w:rPr>
          <w:sz w:val="20"/>
          <w:szCs w:val="20"/>
          <w:color w:val="auto"/>
        </w:rPr>
      </w:pPr>
    </w:p>
    <w:p>
      <w:pPr>
        <w:jc w:val="both"/>
        <w:ind w:left="180" w:firstLine="652"/>
        <w:spacing w:after="0" w:line="246" w:lineRule="auto"/>
        <w:tabs>
          <w:tab w:leader="none" w:pos="131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91" w:lineRule="exact"/>
        <w:rPr>
          <w:rFonts w:ascii="Arial" w:cs="Arial" w:eastAsia="Arial" w:hAnsi="Arial"/>
          <w:sz w:val="20"/>
          <w:szCs w:val="20"/>
          <w:color w:val="auto"/>
        </w:rPr>
      </w:pPr>
    </w:p>
    <w:p>
      <w:pPr>
        <w:jc w:val="both"/>
        <w:ind w:left="180" w:firstLine="652"/>
        <w:spacing w:after="0" w:line="246" w:lineRule="auto"/>
        <w:tabs>
          <w:tab w:leader="none" w:pos="1434"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91" w:lineRule="exact"/>
        <w:rPr>
          <w:rFonts w:ascii="Arial" w:cs="Arial" w:eastAsia="Arial" w:hAnsi="Arial"/>
          <w:sz w:val="20"/>
          <w:szCs w:val="20"/>
          <w:color w:val="auto"/>
        </w:rPr>
      </w:pPr>
    </w:p>
    <w:p>
      <w:pPr>
        <w:jc w:val="both"/>
        <w:ind w:left="840" w:firstLine="640"/>
        <w:spacing w:after="0" w:line="276" w:lineRule="auto"/>
        <w:tabs>
          <w:tab w:leader="none" w:pos="183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an executed copy of IRS Form W-8BEN-E or IRS Form W-8BEN establishing an exemption from, or reduction of, U.S. federal withholding Tax pursuant to the “interest” article of such tax treaty and (y) with respect to any other applicable payments under any Loan Document, IRS Form W-8BEN-E or IRS Form W-8BEN establishing an exemption from, or reduction of, U.S. federal withholding Tax pursuant to the “business profits” or “other income” article of such tax treaty;</w:t>
      </w:r>
    </w:p>
    <w:p>
      <w:pPr>
        <w:spacing w:after="0" w:line="164" w:lineRule="exact"/>
        <w:rPr>
          <w:rFonts w:ascii="Arial" w:cs="Arial" w:eastAsia="Arial" w:hAnsi="Arial"/>
          <w:sz w:val="18"/>
          <w:szCs w:val="18"/>
          <w:color w:val="auto"/>
        </w:rPr>
      </w:pPr>
    </w:p>
    <w:p>
      <w:pPr>
        <w:ind w:left="840" w:firstLine="640"/>
        <w:spacing w:after="0" w:line="260" w:lineRule="auto"/>
        <w:tabs>
          <w:tab w:leader="none" w:pos="1938" w:val="left"/>
        </w:tabs>
        <w:numPr>
          <w:ilvl w:val="1"/>
          <w:numId w:val="61"/>
        </w:numPr>
        <w:rPr>
          <w:rFonts w:ascii="Arial" w:cs="Arial" w:eastAsia="Arial" w:hAnsi="Arial"/>
          <w:sz w:val="20"/>
          <w:szCs w:val="20"/>
          <w:color w:val="auto"/>
        </w:rPr>
      </w:pPr>
      <w:r>
        <w:rPr>
          <w:rFonts w:ascii="Arial" w:cs="Arial" w:eastAsia="Arial" w:hAnsi="Arial"/>
          <w:sz w:val="20"/>
          <w:szCs w:val="20"/>
          <w:color w:val="auto"/>
        </w:rPr>
        <w:t>in the case of a Foreign Lender claiming that its extension of credit will generate U.S. effectively connected income, an executed copy of IRS Form W-8ECI;</w:t>
      </w:r>
    </w:p>
    <w:p>
      <w:pPr>
        <w:spacing w:after="0" w:line="176" w:lineRule="exact"/>
        <w:rPr>
          <w:rFonts w:ascii="Arial" w:cs="Arial" w:eastAsia="Arial" w:hAnsi="Arial"/>
          <w:sz w:val="20"/>
          <w:szCs w:val="20"/>
          <w:color w:val="auto"/>
        </w:rPr>
      </w:pPr>
    </w:p>
    <w:p>
      <w:pPr>
        <w:jc w:val="both"/>
        <w:ind w:left="840" w:firstLine="640"/>
        <w:spacing w:after="0" w:line="243" w:lineRule="auto"/>
        <w:tabs>
          <w:tab w:leader="none" w:pos="1924" w:val="left"/>
        </w:tabs>
        <w:numPr>
          <w:ilvl w:val="1"/>
          <w:numId w:val="61"/>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 meaning of Section 881(h)(3)(B) of the Code, or a “controlled foreign corporation” described in Section 881(c)(3)(C) of the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an executed copy of IRS Form W-8BEN-E or IRS Form W-8BEN; or</w:t>
      </w:r>
    </w:p>
    <w:p>
      <w:pPr>
        <w:spacing w:after="0" w:line="195" w:lineRule="exact"/>
        <w:rPr>
          <w:rFonts w:ascii="Arial" w:cs="Arial" w:eastAsia="Arial" w:hAnsi="Arial"/>
          <w:sz w:val="20"/>
          <w:szCs w:val="20"/>
          <w:color w:val="auto"/>
        </w:rPr>
      </w:pPr>
    </w:p>
    <w:p>
      <w:pPr>
        <w:jc w:val="both"/>
        <w:ind w:left="840" w:firstLine="640"/>
        <w:spacing w:after="0" w:line="282" w:lineRule="auto"/>
        <w:tabs>
          <w:tab w:leader="none" w:pos="1897"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an executed copy of IRS Form W-8IMY, accompanied by IRS Form W-8ECI, IRS Form W-8BEN-E, IRS Form W-8BEN, a U.S. Tax Compliance Certificate substantially in the form of Exhibit E-2 or Exhibit E-3,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w:t>
      </w:r>
    </w:p>
    <w:p>
      <w:pPr>
        <w:spacing w:after="0" w:line="37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0120"/>
          </w:cols>
          <w:pgMar w:left="1440" w:top="118" w:right="339" w:bottom="1440" w:gutter="0" w:footer="0" w:header="0"/>
        </w:sectPr>
      </w:pPr>
    </w:p>
    <w:bookmarkStart w:id="88" w:name="page89"/>
    <w:bookmarkEnd w:id="88"/>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left="1960"/>
        <w:spacing w:after="0" w:line="250" w:lineRule="auto"/>
        <w:rPr>
          <w:sz w:val="20"/>
          <w:szCs w:val="20"/>
          <w:color w:val="auto"/>
        </w:rPr>
      </w:pPr>
      <w:r>
        <w:rPr>
          <w:rFonts w:ascii="Arial" w:cs="Arial" w:eastAsia="Arial" w:hAnsi="Arial"/>
          <w:sz w:val="20"/>
          <w:szCs w:val="20"/>
          <w:color w:val="auto"/>
        </w:rPr>
        <w:t>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6" w:lineRule="exact"/>
        <w:rPr>
          <w:sz w:val="20"/>
          <w:szCs w:val="20"/>
          <w:color w:val="auto"/>
        </w:rPr>
      </w:pPr>
    </w:p>
    <w:p>
      <w:pPr>
        <w:jc w:val="both"/>
        <w:ind w:left="1300" w:firstLine="652"/>
        <w:spacing w:after="0" w:line="257" w:lineRule="auto"/>
        <w:tabs>
          <w:tab w:leader="none" w:pos="2554"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4" w:lineRule="exact"/>
        <w:rPr>
          <w:rFonts w:ascii="Arial" w:cs="Arial" w:eastAsia="Arial" w:hAnsi="Arial"/>
          <w:sz w:val="19"/>
          <w:szCs w:val="19"/>
          <w:color w:val="auto"/>
        </w:rPr>
      </w:pPr>
    </w:p>
    <w:p>
      <w:pPr>
        <w:jc w:val="both"/>
        <w:ind w:left="1300" w:firstLine="652"/>
        <w:spacing w:after="0" w:line="255" w:lineRule="auto"/>
        <w:tabs>
          <w:tab w:leader="none" w:pos="2457" w:val="left"/>
        </w:tabs>
        <w:numPr>
          <w:ilvl w:val="0"/>
          <w:numId w:val="62"/>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 (C)(i)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03" w:lineRule="exact"/>
        <w:rPr>
          <w:sz w:val="20"/>
          <w:szCs w:val="20"/>
          <w:color w:val="auto"/>
        </w:rPr>
      </w:pPr>
    </w:p>
    <w:p>
      <w:pPr>
        <w:spacing w:after="0" w:line="34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17" w:lineRule="exact"/>
        <w:rPr>
          <w:sz w:val="20"/>
          <w:szCs w:val="20"/>
          <w:color w:val="auto"/>
        </w:rPr>
      </w:pPr>
    </w:p>
    <w:p>
      <w:pPr>
        <w:jc w:val="both"/>
        <w:ind w:firstLine="1304"/>
        <w:spacing w:after="0" w:line="271" w:lineRule="auto"/>
        <w:tabs>
          <w:tab w:leader="none" w:pos="17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8"/>
          <w:szCs w:val="18"/>
          <w:u w:val="single" w:color="auto"/>
          <w:color w:val="auto"/>
        </w:rPr>
        <w:t>paragraph (g)</w:t>
      </w:r>
      <w:r>
        <w:rPr>
          <w:rFonts w:ascii="Arial" w:cs="Arial" w:eastAsia="Arial" w:hAnsi="Arial"/>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8"/>
          <w:szCs w:val="18"/>
          <w:u w:val="single" w:color="auto"/>
          <w:color w:val="auto"/>
        </w:rPr>
        <w:t>paragraph (g)</w:t>
      </w:r>
      <w:r>
        <w:rPr>
          <w:rFonts w:ascii="Arial" w:cs="Arial" w:eastAsia="Arial" w:hAnsi="Arial"/>
          <w:sz w:val="18"/>
          <w:szCs w:val="18"/>
          <w:color w:val="auto"/>
        </w:rPr>
        <w:t xml:space="preserve">, in no event will the indemnified party be required to pay any amount to an indemnifying party pursuant to this </w:t>
      </w:r>
      <w:r>
        <w:rPr>
          <w:rFonts w:ascii="Arial" w:cs="Arial" w:eastAsia="Arial" w:hAnsi="Arial"/>
          <w:sz w:val="18"/>
          <w:szCs w:val="18"/>
          <w:u w:val="single" w:color="auto"/>
          <w:color w:val="auto"/>
        </w:rPr>
        <w:t>paragraph (g)</w:t>
      </w:r>
      <w:r>
        <w:rPr>
          <w:rFonts w:ascii="Arial" w:cs="Arial" w:eastAsia="Arial" w:hAnsi="Arial"/>
          <w:sz w:val="18"/>
          <w:szCs w:val="18"/>
          <w:color w:val="auto"/>
        </w:rPr>
        <w:t xml:space="preserve"> the payment of which would place the indemnified party in a less favorable net after-tax position than</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18" w:right="339" w:bottom="1440" w:gutter="0" w:footer="0" w:header="0"/>
        </w:sectPr>
      </w:pPr>
    </w:p>
    <w:bookmarkStart w:id="89" w:name="page90"/>
    <w:bookmarkEnd w:id="89"/>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1" w:lineRule="exact"/>
        <w:rPr>
          <w:sz w:val="20"/>
          <w:szCs w:val="20"/>
          <w:color w:val="auto"/>
        </w:rPr>
      </w:pPr>
    </w:p>
    <w:p>
      <w:pPr>
        <w:jc w:val="both"/>
        <w:ind w:firstLine="1304"/>
        <w:spacing w:after="0" w:line="250" w:lineRule="auto"/>
        <w:tabs>
          <w:tab w:leader="none" w:pos="172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5" w:lineRule="exact"/>
        <w:rPr>
          <w:rFonts w:ascii="Arial" w:cs="Arial" w:eastAsia="Arial" w:hAnsi="Arial"/>
          <w:sz w:val="20"/>
          <w:szCs w:val="20"/>
          <w:color w:val="auto"/>
        </w:rPr>
      </w:pPr>
    </w:p>
    <w:p>
      <w:pPr>
        <w:ind w:left="1680" w:hanging="376"/>
        <w:spacing w:after="0"/>
        <w:tabs>
          <w:tab w:leader="none" w:pos="168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For purposes of this Section, the term “</w:t>
      </w:r>
      <w:r>
        <w:rPr>
          <w:rFonts w:ascii="Arial" w:cs="Arial" w:eastAsia="Arial" w:hAnsi="Arial"/>
          <w:sz w:val="20"/>
          <w:szCs w:val="20"/>
          <w:u w:val="single" w:color="auto"/>
          <w:color w:val="auto"/>
        </w:rPr>
        <w:t>applicable law</w:t>
      </w:r>
      <w:r>
        <w:rPr>
          <w:rFonts w:ascii="Arial" w:cs="Arial" w:eastAsia="Arial" w:hAnsi="Arial"/>
          <w:sz w:val="20"/>
          <w:szCs w:val="20"/>
          <w:color w:val="auto"/>
        </w:rPr>
        <w:t>” includes FATCA.</w:t>
      </w:r>
    </w:p>
    <w:p>
      <w:pPr>
        <w:spacing w:after="0" w:line="21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3.8.</w:t>
      </w:r>
      <w:r>
        <w:rPr>
          <w:sz w:val="20"/>
          <w:szCs w:val="20"/>
          <w:color w:val="auto"/>
        </w:rPr>
        <w:tab/>
      </w:r>
      <w:r>
        <w:rPr>
          <w:rFonts w:ascii="Arial" w:cs="Arial" w:eastAsia="Arial" w:hAnsi="Arial"/>
          <w:sz w:val="18"/>
          <w:szCs w:val="18"/>
          <w:u w:val="single" w:color="auto"/>
          <w:color w:val="auto"/>
        </w:rPr>
        <w:t>Mitigation Obligations</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42" w:lineRule="auto"/>
        <w:tabs>
          <w:tab w:leader="none" w:pos="1709"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Designation of a Different Lending Office</w:t>
      </w:r>
      <w:r>
        <w:rPr>
          <w:rFonts w:ascii="Arial" w:cs="Arial" w:eastAsia="Arial" w:hAnsi="Arial"/>
          <w:sz w:val="20"/>
          <w:szCs w:val="20"/>
          <w:color w:val="auto"/>
        </w:rPr>
        <w:t xml:space="preserve">. In the event that the Borrower becomes obligated to pay additional amounts to any Lender (or to any Governmental Authority for the account of any Lender)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3.7</w:t>
      </w:r>
      <w:r>
        <w:rPr>
          <w:rFonts w:ascii="Arial" w:cs="Arial" w:eastAsia="Arial" w:hAnsi="Arial"/>
          <w:sz w:val="20"/>
          <w:szCs w:val="20"/>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96" w:lineRule="exact"/>
        <w:rPr>
          <w:rFonts w:ascii="Arial" w:cs="Arial" w:eastAsia="Arial" w:hAnsi="Arial"/>
          <w:sz w:val="20"/>
          <w:szCs w:val="20"/>
          <w:color w:val="auto"/>
        </w:rPr>
      </w:pPr>
    </w:p>
    <w:p>
      <w:pPr>
        <w:jc w:val="both"/>
        <w:ind w:firstLine="1304"/>
        <w:spacing w:after="0" w:line="269" w:lineRule="auto"/>
        <w:tabs>
          <w:tab w:leader="none" w:pos="170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In the event that (3) the Borrower becomes obligated to pay additional amounts to any Lender (or to any Governmental Authority for the account of any Lender)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(3) any Lender becomes a Defaulting Lender, or (3) if any Lender has failed to consent to a proposed amendment, waiver, discharge or termination that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requires the consent of all the Lenders and with respect to which the Required Lenders shall have granted their consent, then the Borrower may, at its sole cost and expense, within 60 days of the demand by such Lender for such additional amounts or the relevant default or action or inaction by such Lender, as the case may be, and subject to and in accordance with the provisions of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(with the Borrower obligated to pay any applicable processing and recordation fee), designate an Eligible Assignee (acceptable to the Administrative Agent) to purchase and assume all of such Lender’s interests, rights and obligations under the Loan Documents, without recourse to or warranty by or expense to, such Lender, for a purchase price equal to the outstanding principal amount of such Lender’s Loans plus any accrued but unpaid interest thereon and accrued but unpaid ticking fees in respect of such Lender’s Delayed Draw Commitment and any other amounts payable to such Lender hereunder, and to assume all the obligations of such Lender hereunder, and, upon such purchase, such Lender shall no longer be a party hereto or have any rights hereunder (except those that survive full repayment hereunder) and shall be relieved from all obligations to the Borrower hereunder, and the Eligible Assignee shall succeed to the rights and obligations of such Lender hereunder. No replacement of a Defaulting Lender pursuant to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shall be deemed to be a waiver of any right that the Borrower, the Administrative Agent or any other Lender may have against such Defaulting Lender. The Borrower shall execute and deliver to such Eligible Assignee a Note. Notwithstanding anything herein to the contrary, in the event that a</w:t>
      </w:r>
    </w:p>
    <w:p>
      <w:pPr>
        <w:spacing w:after="0" w:line="3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18" w:right="339" w:bottom="1440" w:gutter="0" w:footer="0" w:header="0"/>
        </w:sectPr>
      </w:pPr>
    </w:p>
    <w:bookmarkStart w:id="90" w:name="page91"/>
    <w:bookmarkEnd w:id="90"/>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Lender is replaced pursuant to this </w:t>
      </w:r>
      <w:r>
        <w:rPr>
          <w:rFonts w:ascii="Arial" w:cs="Arial" w:eastAsia="Arial" w:hAnsi="Arial"/>
          <w:sz w:val="20"/>
          <w:szCs w:val="20"/>
          <w:u w:val="single" w:color="auto"/>
          <w:color w:val="auto"/>
        </w:rPr>
        <w:t>Section 3.8</w:t>
      </w:r>
      <w:r>
        <w:rPr>
          <w:rFonts w:ascii="Arial" w:cs="Arial" w:eastAsia="Arial" w:hAnsi="Arial"/>
          <w:sz w:val="20"/>
          <w:szCs w:val="20"/>
          <w:color w:val="auto"/>
        </w:rPr>
        <w:t xml:space="preserve"> as a result of the Borrower becoming obligated to pay additional amounts to such Lender (or to any Governmental Authority for the account of any Lender)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such Lender shall be entitled to receive such additional amounts as if it had not been so replaced, except as otherwise provided in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if such Lender becomes a Defaulting Lender.</w:t>
      </w:r>
    </w:p>
    <w:p>
      <w:pPr>
        <w:spacing w:after="0" w:line="19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3.9.</w:t>
      </w:r>
      <w:r>
        <w:rPr>
          <w:sz w:val="20"/>
          <w:szCs w:val="20"/>
          <w:color w:val="auto"/>
        </w:rPr>
        <w:tab/>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The Borrower is not an EEA Financial Institution.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Plan Assets; Prohibited Transactions</w:t>
      </w:r>
      <w:r>
        <w:rPr>
          <w:rFonts w:ascii="Arial" w:cs="Arial" w:eastAsia="Arial" w:hAnsi="Arial"/>
          <w:sz w:val="20"/>
          <w:szCs w:val="20"/>
          <w:color w:val="auto"/>
        </w:rPr>
        <w:t>. None of the Borrower or any of its Subsidiaries is an entity deemed to hold “plan assets” (within the meaning of the Plan Asset Regulations), and neither the execution, delivery nor performance of the transactions contemplated under this Agreement, including the making of any Loan hereunder, will give rise to a non-exempt prohibited transaction under Section 406 of ERISA or Section 4975 of the Code.</w:t>
      </w:r>
    </w:p>
    <w:p>
      <w:pPr>
        <w:spacing w:after="0" w:line="191"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4.</w:t>
      </w:r>
    </w:p>
    <w:p>
      <w:pPr>
        <w:spacing w:after="0" w:line="229"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REPRESENTATIONS AND WARRANTIES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Borrower represents and warrants to the Credit Parties that:</w:t>
      </w:r>
    </w:p>
    <w:p>
      <w:pPr>
        <w:spacing w:after="0" w:line="21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Organization; Powers</w:t>
      </w:r>
      <w:r>
        <w:rPr>
          <w:rFonts w:ascii="Arial" w:cs="Arial" w:eastAsia="Arial" w:hAnsi="Arial"/>
          <w:sz w:val="16"/>
          <w:szCs w:val="16"/>
          <w:color w:val="auto"/>
        </w:rPr>
        <w:t>. Each of the Borrower and each Subsidiary is duly organized or formed, validly existing and in good standing under the laws of the jurisdiction of its organization or formation, has all requisite corporate power and authority to carry on its business as now conducted and, except where the failure to do so, individually or in the aggregate, would not reasonably be expected to result in a Material Adverse Effect, is qualified to do business in, and is in good standing in, every jurisdiction where such qualification is required.</w:t>
      </w:r>
    </w:p>
    <w:p>
      <w:pPr>
        <w:spacing w:after="0" w:line="12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are within the corporate powers of the Borrower and have been duly authorized by all necessary corporate and, if required, equity holder action. Each Loan Document has been duly executed and delivered by the Borrower and constitutes a legal, valid and binding obligation thereof, enforceable in accordance with its terms, subject to applicable bankruptcy, insolvency, reorganization, moratorium or other similar laws affecting creditors’ rights generally and general principles of equity.</w:t>
      </w:r>
    </w:p>
    <w:p>
      <w:pPr>
        <w:spacing w:after="0" w:line="16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4.3.</w:t>
      </w:r>
      <w:r>
        <w:rPr>
          <w:sz w:val="20"/>
          <w:szCs w:val="20"/>
          <w:color w:val="auto"/>
        </w:rPr>
        <w:tab/>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82" w:lineRule="auto"/>
        <w:tabs>
          <w:tab w:leader="none" w:pos="17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execution, delivery and performance by the Borrower of the Loan Documents and the borrowing of the Loans do not require any consent or approval of, registration or filing with, or any other action by, any Governmental Authority, except for (i) information filings to be made in the ordinary course of business, which filings are not a condition to the Borrower’s performance under the Loan Documents and (ii) such as have been obtained or made and are in full force and effect and not subject to any appeals period.</w:t>
      </w:r>
    </w:p>
    <w:p>
      <w:pPr>
        <w:spacing w:after="0" w:line="161" w:lineRule="exact"/>
        <w:rPr>
          <w:rFonts w:ascii="Arial" w:cs="Arial" w:eastAsia="Arial" w:hAnsi="Arial"/>
          <w:sz w:val="18"/>
          <w:szCs w:val="18"/>
          <w:color w:val="auto"/>
        </w:rPr>
      </w:pPr>
    </w:p>
    <w:p>
      <w:pPr>
        <w:jc w:val="both"/>
        <w:ind w:firstLine="1304"/>
        <w:spacing w:after="0" w:line="282" w:lineRule="auto"/>
        <w:tabs>
          <w:tab w:leader="none" w:pos="1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Transactions will not (i) violate the charter, by-laws or other organizational documents of the Borrower, (ii) violate any applicable law or regulation or any order of any Governmental Authority, (iii) violate or result in a default under any material indenture, agreement or other instrument binding upon the Borrower or its assets, or give rise to a right thereunder to require any payment to be made by the Borrower, and (iv) result in or require the creation or imposition of any Lien on any asset of the Borrower.</w:t>
      </w:r>
    </w:p>
    <w:p>
      <w:pPr>
        <w:spacing w:after="0" w:line="3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1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4</w:t>
      </w:r>
    </w:p>
    <w:p>
      <w:pPr>
        <w:spacing w:after="0" w:line="22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4.4.</w:t>
      </w:r>
      <w:r>
        <w:rPr>
          <w:sz w:val="20"/>
          <w:szCs w:val="20"/>
          <w:color w:val="auto"/>
        </w:rPr>
        <w:tab/>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33" w:lineRule="exact"/>
        <w:tabs>
          <w:tab w:leader="none" w:pos="169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Borrower has previously delivered to the Credit Parties copies of its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2019, containing the audited consolidated balance sheet of the Borrower and its Subsidiaries and the related audited consolidated statements of operations, comprehensive income, changes in stockholders’ equity and cash flows for the fiscal year ending December 31, 2019 (including with the applicable related notes and schedules, the “</w:t>
      </w:r>
      <w:r>
        <w:rPr>
          <w:rFonts w:ascii="Arial" w:cs="Arial" w:eastAsia="Arial" w:hAnsi="Arial"/>
          <w:sz w:val="18"/>
          <w:szCs w:val="18"/>
          <w:u w:val="single" w:color="auto"/>
          <w:color w:val="auto"/>
        </w:rPr>
        <w:t>Borrower Financial Statements</w:t>
      </w:r>
      <w:r>
        <w:rPr>
          <w:rFonts w:ascii="Arial" w:cs="Arial" w:eastAsia="Arial" w:hAnsi="Arial"/>
          <w:sz w:val="18"/>
          <w:szCs w:val="18"/>
          <w:color w:val="auto"/>
        </w:rPr>
        <w:t>”). All such financial statements have been prepared in accordance with GAAP and fairly present in all material respects the consolidated financial condition and results of the operations of the Borrower and its Subsidiaries as of the dates and for the periods indicated therein.</w:t>
      </w:r>
    </w:p>
    <w:p>
      <w:pPr>
        <w:spacing w:after="0" w:line="195" w:lineRule="exact"/>
        <w:rPr>
          <w:rFonts w:ascii="Arial" w:cs="Arial" w:eastAsia="Arial" w:hAnsi="Arial"/>
          <w:sz w:val="18"/>
          <w:szCs w:val="18"/>
          <w:color w:val="auto"/>
        </w:rPr>
      </w:pPr>
    </w:p>
    <w:p>
      <w:pPr>
        <w:ind w:left="1720" w:hanging="416"/>
        <w:spacing w:after="0"/>
        <w:tabs>
          <w:tab w:leader="none" w:pos="1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Since December 31, 2019, there has been no Material Adverse Change.</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Litigation</w:t>
      </w:r>
      <w:r>
        <w:rPr>
          <w:rFonts w:ascii="Arial" w:cs="Arial" w:eastAsia="Arial" w:hAnsi="Arial"/>
          <w:sz w:val="19"/>
          <w:szCs w:val="19"/>
          <w:color w:val="auto"/>
        </w:rPr>
        <w:t>. There are no actions, suits or proceedings by or before any arbitrator or Governmental Authority pending against or, to the knowledge of the Borrower, threatened in writing against or affecting the Borrower or any Subsidiary that (a) if adversely determined (and provided that there exists a reasonable possibility of such adverse determination), would reasonably be expected, individually or in the aggregate, to result in a Material Adverse Effect, except for any Disclosed Matters, and except that the commencement by the Borrower, any Subsidiary or any Governmental Authority of a rate proceeding, fuel adjustment clause audit or earnings review before such Governmental Authority shall not constitute such a pending or threatened action, suit or proceeding unless and until such Governmental Authority has made a final determination thereunder that would reasonably be expected to have a Material Adverse Effect, or (b) involve any Loan Document or the Transactions.</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for the Disclosed Matters, the Borrower and its Subsidiaries (a) are in compliance with Environmental Law, (b) have received all permits, licenses or other approvals required of them under applicable Environmental Law to conduct their respective businesses and (c) are in compliance with all terms and conditions of any such permit, license, or approval, except, in each case, such as could not reasonably be expected to result in a Material Adverse Effect.</w:t>
      </w:r>
    </w:p>
    <w:p>
      <w:pPr>
        <w:spacing w:after="0" w:line="17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Borrower nor any Subsidiary is an “investment company” or a company “controlled” by an “investment company” as defined in, or is otherwise subject to regulation under, the Investment Company Act of 1940.</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4.8. </w:t>
      </w:r>
      <w:r>
        <w:rPr>
          <w:rFonts w:ascii="Arial" w:cs="Arial" w:eastAsia="Arial" w:hAnsi="Arial"/>
          <w:sz w:val="20"/>
          <w:szCs w:val="20"/>
          <w:u w:val="single" w:color="auto"/>
          <w:color w:val="auto"/>
        </w:rPr>
        <w:t>ERISA</w:t>
      </w:r>
      <w:r>
        <w:rPr>
          <w:rFonts w:ascii="Arial" w:cs="Arial" w:eastAsia="Arial" w:hAnsi="Arial"/>
          <w:sz w:val="20"/>
          <w:szCs w:val="20"/>
          <w:color w:val="auto"/>
        </w:rPr>
        <w:t>. Each of the Borrower and each of its ERISA Affiliates is in compliance in all material respects with the applicable provisions of ERISA and the Code and the regulations and published interpretations thereunder except for any such failure that, individually or in the aggregate, could not reasonably be expected to result in a Material Adverse Effect.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9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4.9.</w:t>
      </w:r>
      <w:r>
        <w:rPr>
          <w:sz w:val="20"/>
          <w:szCs w:val="20"/>
          <w:color w:val="auto"/>
        </w:rPr>
        <w:tab/>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46" w:lineRule="auto"/>
        <w:tabs>
          <w:tab w:leader="none" w:pos="1709"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None of the reports, financial statements, certificates or other information furnished by or on behalf of the Borrower or any Subsidiary to any Credit Party in connection with the negotiation of, or delivered under any Loan Document when taken as a whole (as modified or supplemented by other information so furnished, including the information contained in the Borrower’s most recent annual report on Form 10-K and in the Borrower’s reports filed with the SEC under the</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18" w:right="339" w:bottom="1440" w:gutter="0" w:footer="0" w:header="0"/>
        </w:sectPr>
      </w:pPr>
    </w:p>
    <w:bookmarkStart w:id="92" w:name="page93"/>
    <w:bookmarkEnd w:id="92"/>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Securities Exchange Act of 1934 subsequent to the filing of the Form 10-K) contains any material misstatement of fact or omits to state any material fact necessary to make the statements therein, in the light of the circumstances under which they were made, not materially misleading, provided that, to the extent any such reports, financial statements, certificates or other information was based upon or constitutes a forecast or a projection (including statements concerning future financial performance, ongoing business strategies or prospects or possible future actions, and other forward-looking statements), the Borrower represents only that such information was prepared in good faith based upon assumptions believed to be reasonable at the time.</w:t>
      </w:r>
    </w:p>
    <w:p>
      <w:pPr>
        <w:spacing w:after="0" w:line="178" w:lineRule="exact"/>
        <w:rPr>
          <w:sz w:val="20"/>
          <w:szCs w:val="20"/>
          <w:color w:val="auto"/>
        </w:rPr>
      </w:pPr>
    </w:p>
    <w:p>
      <w:pPr>
        <w:ind w:firstLine="1304"/>
        <w:spacing w:after="0" w:line="316" w:lineRule="auto"/>
        <w:tabs>
          <w:tab w:leader="none" w:pos="1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4.10. </w:t>
      </w:r>
      <w:r>
        <w:rPr>
          <w:rFonts w:ascii="Arial" w:cs="Arial" w:eastAsia="Arial" w:hAnsi="Arial"/>
          <w:sz w:val="20"/>
          <w:szCs w:val="20"/>
          <w:u w:val="single" w:color="auto"/>
          <w:color w:val="auto"/>
        </w:rPr>
        <w:t>Subsidiaries</w:t>
      </w:r>
      <w:r>
        <w:rPr>
          <w:rFonts w:ascii="Arial" w:cs="Arial" w:eastAsia="Arial" w:hAnsi="Arial"/>
          <w:sz w:val="20"/>
          <w:szCs w:val="20"/>
          <w:color w:val="auto"/>
        </w:rPr>
        <w:t xml:space="preserve">. As of the date hereof, the Borrower has only the Subsidiaries set forth on </w:t>
      </w:r>
      <w:r>
        <w:rPr>
          <w:rFonts w:ascii="Arial" w:cs="Arial" w:eastAsia="Arial" w:hAnsi="Arial"/>
          <w:sz w:val="20"/>
          <w:szCs w:val="20"/>
          <w:u w:val="single" w:color="auto"/>
          <w:color w:val="auto"/>
        </w:rPr>
        <w:t>Schedule 4.10</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4.10</w:t>
      </w:r>
      <w:r>
        <w:rPr>
          <w:rFonts w:ascii="Arial" w:cs="Arial" w:eastAsia="Arial" w:hAnsi="Arial"/>
          <w:sz w:val="20"/>
          <w:szCs w:val="20"/>
          <w:color w:val="auto"/>
        </w:rPr>
        <w:t xml:space="preserve"> sets forth with respect to each Subsidiary, the identity of each Person that owns Equity Interests in such Subsidiary and the percentage of the issued and outstanding Equity Interests owned by each such Person. The shares of each Subsidiary (excluding any Immaterial Subsidiary) are duly authorized, validly issued, fully paid and non assessable and are owned free and clear of any Liens, other than Liens permitted pursuant to </w:t>
      </w:r>
      <w:r>
        <w:rPr>
          <w:rFonts w:ascii="Arial" w:cs="Arial" w:eastAsia="Arial" w:hAnsi="Arial"/>
          <w:sz w:val="20"/>
          <w:szCs w:val="20"/>
          <w:u w:val="single" w:color="auto"/>
          <w:color w:val="auto"/>
        </w:rPr>
        <w:t>Section 7.1</w:t>
      </w:r>
      <w:r>
        <w:rPr>
          <w:rFonts w:ascii="Arial" w:cs="Arial" w:eastAsia="Arial" w:hAnsi="Arial"/>
          <w:sz w:val="20"/>
          <w:szCs w:val="20"/>
          <w:color w:val="auto"/>
        </w:rPr>
        <w:t>.</w:t>
      </w:r>
    </w:p>
    <w:p>
      <w:pPr>
        <w:spacing w:after="0" w:line="19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color w:val="auto"/>
        </w:rPr>
        <w:t>Section 4.11.</w:t>
      </w:r>
      <w:r>
        <w:rPr>
          <w:sz w:val="20"/>
          <w:szCs w:val="20"/>
          <w:color w:val="auto"/>
        </w:rPr>
        <w:tab/>
      </w:r>
      <w:r>
        <w:rPr>
          <w:rFonts w:ascii="Arial" w:cs="Arial" w:eastAsia="Arial" w:hAnsi="Arial"/>
          <w:sz w:val="16"/>
          <w:szCs w:val="16"/>
          <w:u w:val="single" w:color="auto"/>
          <w:color w:val="auto"/>
        </w:rPr>
        <w:t>Use of Proceeds; Federal Reserve Regulations</w:t>
      </w:r>
      <w:r>
        <w:rPr>
          <w:rFonts w:ascii="Arial" w:cs="Arial" w:eastAsia="Arial" w:hAnsi="Arial"/>
          <w:sz w:val="16"/>
          <w:szCs w:val="16"/>
          <w:color w:val="auto"/>
        </w:rPr>
        <w:t>.</w:t>
      </w:r>
    </w:p>
    <w:p>
      <w:pPr>
        <w:spacing w:after="0" w:line="216" w:lineRule="exact"/>
        <w:rPr>
          <w:sz w:val="20"/>
          <w:szCs w:val="20"/>
          <w:color w:val="auto"/>
        </w:rPr>
      </w:pPr>
    </w:p>
    <w:p>
      <w:pPr>
        <w:ind w:left="1700" w:hanging="396"/>
        <w:spacing w:after="0"/>
        <w:tabs>
          <w:tab w:leader="none" w:pos="17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proceeds of the Loans will be used for general corporate purposes not inconsistent with the terms hereof.</w:t>
      </w:r>
    </w:p>
    <w:p>
      <w:pPr>
        <w:spacing w:after="0" w:line="227" w:lineRule="exact"/>
        <w:rPr>
          <w:rFonts w:ascii="Arial" w:cs="Arial" w:eastAsia="Arial" w:hAnsi="Arial"/>
          <w:sz w:val="19"/>
          <w:szCs w:val="19"/>
          <w:color w:val="auto"/>
        </w:rPr>
      </w:pPr>
    </w:p>
    <w:p>
      <w:pPr>
        <w:jc w:val="both"/>
        <w:ind w:firstLine="1304"/>
        <w:spacing w:after="0" w:line="291" w:lineRule="auto"/>
        <w:tabs>
          <w:tab w:leader="none" w:pos="1706"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Neither the Borrower nor any Subsidiary is engaged principally, or as one of their important activities, in the business of extending credit for the purpose of buying or carrying Margin Stock. Immediately before and after giving effect to the making of each Loan, Margin Stock will constitute less than 25% of the Borrower’s assets as determined in accordance with Regulation U.</w:t>
      </w:r>
    </w:p>
    <w:p>
      <w:pPr>
        <w:spacing w:after="0" w:line="151" w:lineRule="exact"/>
        <w:rPr>
          <w:rFonts w:ascii="Arial" w:cs="Arial" w:eastAsia="Arial" w:hAnsi="Arial"/>
          <w:sz w:val="18"/>
          <w:szCs w:val="18"/>
          <w:color w:val="auto"/>
        </w:rPr>
      </w:pPr>
    </w:p>
    <w:p>
      <w:pPr>
        <w:jc w:val="both"/>
        <w:ind w:firstLine="1304"/>
        <w:spacing w:after="0" w:line="244" w:lineRule="auto"/>
        <w:tabs>
          <w:tab w:leader="none" w:pos="1709" w:val="left"/>
        </w:tabs>
        <w:numPr>
          <w:ilvl w:val="0"/>
          <w:numId w:val="70"/>
        </w:numPr>
        <w:rPr>
          <w:rFonts w:ascii="Arial" w:cs="Arial" w:eastAsia="Arial" w:hAnsi="Arial"/>
          <w:sz w:val="20"/>
          <w:szCs w:val="20"/>
          <w:color w:val="auto"/>
        </w:rPr>
      </w:pPr>
      <w:r>
        <w:rPr>
          <w:rFonts w:ascii="Arial" w:cs="Arial" w:eastAsia="Arial" w:hAnsi="Arial"/>
          <w:sz w:val="20"/>
          <w:szCs w:val="20"/>
          <w:color w:val="auto"/>
        </w:rPr>
        <w:t>No part of the proceeds of any Loan will be used, whether directly or indirectly, and whether immediately, incidentally or ultimately, (4) to purchase, acquire or carry any Margin Stock (other than any purchase of Equity Interests in the Borrower so long as such Equity Interests are retired immediately upon the purchase thereof) or for any purpose that entails a violation of, or that is inconsistent with, the provisions of the regulations of the Board, including Regulation T, U or X or (4) to fund a personal loan to or for the benefit of a director or executive officer of the Borrower or any Subsidiary.</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4.12. </w:t>
      </w:r>
      <w:r>
        <w:rPr>
          <w:rFonts w:ascii="Arial" w:cs="Arial" w:eastAsia="Arial" w:hAnsi="Arial"/>
          <w:sz w:val="20"/>
          <w:szCs w:val="20"/>
          <w:u w:val="single" w:color="auto"/>
          <w:color w:val="auto"/>
        </w:rPr>
        <w:t>Anti-Money Laundering and Anti-Terrorism Finance Laws</w:t>
      </w:r>
      <w:r>
        <w:rPr>
          <w:rFonts w:ascii="Arial" w:cs="Arial" w:eastAsia="Arial" w:hAnsi="Arial"/>
          <w:sz w:val="20"/>
          <w:szCs w:val="20"/>
          <w:color w:val="auto"/>
        </w:rPr>
        <w:t>. The Borrower has implemented and maintains in effect policies and procedures designed to ensure compliance by the Borrower, its Subsidiaries and their respective directors, officers, employees and agents with Anti-Corruption Laws. To the extent applicable, Borrower is in compliance, in all material respects, with Anti-Corruption Laws, anti-money laundering laws and anti-terrorism finance laws including the Bank Secrecy Act and the PATRIOT Act (the “</w:t>
      </w:r>
      <w:r>
        <w:rPr>
          <w:rFonts w:ascii="Arial" w:cs="Arial" w:eastAsia="Arial" w:hAnsi="Arial"/>
          <w:sz w:val="20"/>
          <w:szCs w:val="20"/>
          <w:u w:val="single" w:color="auto"/>
          <w:color w:val="auto"/>
        </w:rPr>
        <w:t>Anti-Terrorism Laws</w:t>
      </w:r>
      <w:r>
        <w:rPr>
          <w:rFonts w:ascii="Arial" w:cs="Arial" w:eastAsia="Arial" w:hAnsi="Arial"/>
          <w:sz w:val="20"/>
          <w:szCs w:val="20"/>
          <w:color w:val="auto"/>
        </w:rPr>
        <w:t>”).</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4.13. </w:t>
      </w:r>
      <w:r>
        <w:rPr>
          <w:rFonts w:ascii="Arial" w:cs="Arial" w:eastAsia="Arial" w:hAnsi="Arial"/>
          <w:sz w:val="20"/>
          <w:szCs w:val="20"/>
          <w:u w:val="single" w:color="auto"/>
          <w:color w:val="auto"/>
        </w:rPr>
        <w:t>Foreign Corrupt Practices Act</w:t>
      </w:r>
      <w:r>
        <w:rPr>
          <w:rFonts w:ascii="Arial" w:cs="Arial" w:eastAsia="Arial" w:hAnsi="Arial"/>
          <w:sz w:val="20"/>
          <w:szCs w:val="20"/>
          <w:color w:val="auto"/>
        </w:rPr>
        <w:t>. No part of the proceeds of the Loans shall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18" w:right="339" w:bottom="1440" w:gutter="0" w:footer="0" w:header="0"/>
        </w:sectPr>
      </w:pPr>
    </w:p>
    <w:bookmarkStart w:id="93" w:name="page94"/>
    <w:bookmarkEnd w:id="93"/>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4.14. </w:t>
      </w:r>
      <w:r>
        <w:rPr>
          <w:rFonts w:ascii="Arial" w:cs="Arial" w:eastAsia="Arial" w:hAnsi="Arial"/>
          <w:sz w:val="19"/>
          <w:szCs w:val="19"/>
          <w:u w:val="single" w:color="auto"/>
          <w:color w:val="auto"/>
        </w:rPr>
        <w:t>Sanctions Laws</w:t>
      </w:r>
      <w:r>
        <w:rPr>
          <w:rFonts w:ascii="Arial" w:cs="Arial" w:eastAsia="Arial" w:hAnsi="Arial"/>
          <w:sz w:val="19"/>
          <w:szCs w:val="19"/>
          <w:color w:val="auto"/>
        </w:rPr>
        <w:t>. Neither the Borrower nor, to the knowledge of the Borrower, any Affiliate or broker or other agent of the Borrower acting or benefiting in any capacity in connection with the Loans, is any of the following (a “</w:t>
      </w:r>
      <w:r>
        <w:rPr>
          <w:rFonts w:ascii="Arial" w:cs="Arial" w:eastAsia="Arial" w:hAnsi="Arial"/>
          <w:sz w:val="19"/>
          <w:szCs w:val="19"/>
          <w:u w:val="single" w:color="auto"/>
          <w:color w:val="auto"/>
        </w:rPr>
        <w:t>Restricted Person</w:t>
      </w:r>
      <w:r>
        <w:rPr>
          <w:rFonts w:ascii="Arial" w:cs="Arial" w:eastAsia="Arial" w:hAnsi="Arial"/>
          <w:sz w:val="19"/>
          <w:szCs w:val="19"/>
          <w:color w:val="auto"/>
        </w:rPr>
        <w:t>”): (i) a Person that is listed in the annex to, or is otherwise subject to the provisions of, Executive Order No. 13224 on Terrorist Financing, effective September 24, 2001; (ii) a Person that is named as a “specially designated national and blocked person” on the most current list published by the U.S. Treasury Department Office of Foreign Assets Control (“</w:t>
      </w:r>
      <w:r>
        <w:rPr>
          <w:rFonts w:ascii="Arial" w:cs="Arial" w:eastAsia="Arial" w:hAnsi="Arial"/>
          <w:sz w:val="19"/>
          <w:szCs w:val="19"/>
          <w:u w:val="single" w:color="auto"/>
          <w:color w:val="auto"/>
        </w:rPr>
        <w:t>OFAC</w:t>
      </w:r>
      <w:r>
        <w:rPr>
          <w:rFonts w:ascii="Arial" w:cs="Arial" w:eastAsia="Arial" w:hAnsi="Arial"/>
          <w:sz w:val="19"/>
          <w:szCs w:val="19"/>
          <w:color w:val="auto"/>
        </w:rPr>
        <w:t>”) at its official website or any replacement website or other replacement official publication of such list or similarly named by any similar foreign governmental authority; (iii) an agency of the government of a country, an organization controlled by a country, or a Person resident in a country that is subject to a sanctions program identified on the lists maintained by OFAC; or (iv) a Person that derives more than 10% of its assets or operating income from investments in or transactions with any such country, agency, organization or person. Further, none of the proceeds from the Loans shall be used to finance any operations, investments or activities in, or make any payments to, any such country, agency, organization or Person subject to OFAC sanctions.</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ARTICLE 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Effectiveness</w:t>
      </w:r>
      <w:r>
        <w:rPr>
          <w:rFonts w:ascii="Arial" w:cs="Arial" w:eastAsia="Arial" w:hAnsi="Arial"/>
          <w:sz w:val="20"/>
          <w:szCs w:val="20"/>
          <w:color w:val="auto"/>
        </w:rPr>
        <w:t xml:space="preserve">. The obligations of the Lenders to make the Loans are subject to the satisfaction (or waiver in accordance with </w:t>
      </w:r>
      <w:r>
        <w:rPr>
          <w:rFonts w:ascii="Arial" w:cs="Arial" w:eastAsia="Arial" w:hAnsi="Arial"/>
          <w:sz w:val="20"/>
          <w:szCs w:val="20"/>
          <w:u w:val="single" w:color="auto"/>
          <w:color w:val="auto"/>
        </w:rPr>
        <w:t>Section 10.2</w:t>
      </w:r>
      <w:r>
        <w:rPr>
          <w:rFonts w:ascii="Arial" w:cs="Arial" w:eastAsia="Arial" w:hAnsi="Arial"/>
          <w:sz w:val="20"/>
          <w:szCs w:val="20"/>
          <w:color w:val="auto"/>
        </w:rPr>
        <w:t>) of the following conditions precedent:</w:t>
      </w:r>
    </w:p>
    <w:p>
      <w:pPr>
        <w:spacing w:after="0" w:line="177" w:lineRule="exact"/>
        <w:rPr>
          <w:sz w:val="20"/>
          <w:szCs w:val="20"/>
          <w:color w:val="auto"/>
        </w:rPr>
      </w:pPr>
    </w:p>
    <w:p>
      <w:pPr>
        <w:jc w:val="both"/>
        <w:ind w:firstLine="1304"/>
        <w:spacing w:after="0" w:line="291" w:lineRule="auto"/>
        <w:tabs>
          <w:tab w:leader="none" w:pos="1709"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Term Loan Agreement</w:t>
      </w:r>
      <w:r>
        <w:rPr>
          <w:rFonts w:ascii="Arial" w:cs="Arial" w:eastAsia="Arial" w:hAnsi="Arial"/>
          <w:sz w:val="18"/>
          <w:szCs w:val="18"/>
          <w:color w:val="auto"/>
        </w:rPr>
        <w:t>. The Administrative Agent (or its counsel) shall have received from each party hereto either (5) a counterpart of this Agreement signed on behalf of such party or (5) written evidence satisfactory to the Administrative Agent (which may include facsimile transmission of a signed signature page of this Agreement) that such party has signed a counterpart of this Agreement.</w:t>
      </w:r>
    </w:p>
    <w:p>
      <w:pPr>
        <w:spacing w:after="0" w:line="151" w:lineRule="exact"/>
        <w:rPr>
          <w:rFonts w:ascii="Arial" w:cs="Arial" w:eastAsia="Arial" w:hAnsi="Arial"/>
          <w:sz w:val="18"/>
          <w:szCs w:val="18"/>
          <w:color w:val="auto"/>
        </w:rPr>
      </w:pPr>
    </w:p>
    <w:p>
      <w:pPr>
        <w:ind w:firstLine="1304"/>
        <w:spacing w:after="0" w:line="260" w:lineRule="auto"/>
        <w:tabs>
          <w:tab w:leader="none" w:pos="1828"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xml:space="preserve">. The Administrative Agent shall have received any Note requested by a Lender pursuant to </w:t>
      </w:r>
      <w:r>
        <w:rPr>
          <w:rFonts w:ascii="Arial" w:cs="Arial" w:eastAsia="Arial" w:hAnsi="Arial"/>
          <w:sz w:val="20"/>
          <w:szCs w:val="20"/>
          <w:u w:val="single" w:color="auto"/>
          <w:color w:val="auto"/>
        </w:rPr>
        <w:t>Section 2.6(e)</w:t>
      </w:r>
      <w:r>
        <w:rPr>
          <w:rFonts w:ascii="Arial" w:cs="Arial" w:eastAsia="Arial" w:hAnsi="Arial"/>
          <w:sz w:val="20"/>
          <w:szCs w:val="20"/>
          <w:color w:val="auto"/>
        </w:rPr>
        <w:t xml:space="preserve"> payable to the order of such requesting Lender.</w:t>
      </w:r>
    </w:p>
    <w:p>
      <w:pPr>
        <w:spacing w:after="0" w:line="176" w:lineRule="exact"/>
        <w:rPr>
          <w:rFonts w:ascii="Arial" w:cs="Arial" w:eastAsia="Arial" w:hAnsi="Arial"/>
          <w:sz w:val="20"/>
          <w:szCs w:val="20"/>
          <w:color w:val="auto"/>
        </w:rPr>
      </w:pPr>
    </w:p>
    <w:p>
      <w:pPr>
        <w:jc w:val="both"/>
        <w:ind w:firstLine="1304"/>
        <w:spacing w:after="0" w:line="244" w:lineRule="auto"/>
        <w:tabs>
          <w:tab w:leader="none" w:pos="1804"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received favorable written opinions (addressed to the Credit Parties and dated on or prior to the Effective Date) from Margaret A.Thickens, Vice President, Chief Legal Officer and Corporate Secretary of the Borrower, and Cohen Tauber Spievack &amp; Wagner P.C., special counsel to the Borrower, covering such matters relating to the Borrower, the Loan Documents and the Transactions as the Required Lenders may reasonably request. The Borrower hereby requests such counsel to deliver such opinion.</w:t>
      </w:r>
    </w:p>
    <w:p>
      <w:pPr>
        <w:spacing w:after="0" w:line="194" w:lineRule="exact"/>
        <w:rPr>
          <w:rFonts w:ascii="Arial" w:cs="Arial" w:eastAsia="Arial" w:hAnsi="Arial"/>
          <w:sz w:val="20"/>
          <w:szCs w:val="20"/>
          <w:color w:val="auto"/>
        </w:rPr>
      </w:pPr>
    </w:p>
    <w:p>
      <w:pPr>
        <w:jc w:val="both"/>
        <w:ind w:firstLine="1304"/>
        <w:spacing w:after="0" w:line="273" w:lineRule="auto"/>
        <w:tabs>
          <w:tab w:leader="none" w:pos="17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Organizational Documents, etc</w:t>
      </w:r>
      <w:r>
        <w:rPr>
          <w:rFonts w:ascii="Arial" w:cs="Arial" w:eastAsia="Arial" w:hAnsi="Arial"/>
          <w:sz w:val="18"/>
          <w:szCs w:val="18"/>
          <w:color w:val="auto"/>
        </w:rPr>
        <w:t>. The Administrative Agent shall have received such documents and certificates as the Administrative Agent or its counsel may reasonably request relating to (5) the organization, existence and good standing of the Borrower (including (x) a certificate of incorporation of the Borrower, certified as of a recent date by the Secretary of State of the jurisdiction of its incorporation, and (y) certificates of good standing (or comparable certificates) for the Borrower, certified as of a recent date prior to the Effective Date, by the Secretaries of State (or comparable official) of the jurisdiction of its incorporation and each other jurisdiction in which it is qualified to do business, (5) the authorization of the Transactions, (5) the incumbency of its officer or officers who may sign the Loan Documents, including therein a signature specimen of such officer or officers, and (5) any other legal matters relating to the Borrower, the Loan Documents or the Transactions, all in form and substance reasonably satisfactory to the Administrative Agent and its counsel.</w:t>
      </w:r>
    </w:p>
    <w:p>
      <w:pPr>
        <w:spacing w:after="0" w:line="38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18" w:right="339" w:bottom="1440" w:gutter="0" w:footer="0" w:header="0"/>
        </w:sectPr>
      </w:pPr>
    </w:p>
    <w:bookmarkStart w:id="94" w:name="page95"/>
    <w:bookmarkEnd w:id="94"/>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firstLine="1304"/>
        <w:spacing w:after="0" w:line="250" w:lineRule="auto"/>
        <w:tabs>
          <w:tab w:leader="none" w:pos="173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Fees etc.</w:t>
      </w:r>
      <w:r>
        <w:rPr>
          <w:rFonts w:ascii="Arial" w:cs="Arial" w:eastAsia="Arial" w:hAnsi="Arial"/>
          <w:sz w:val="20"/>
          <w:szCs w:val="20"/>
          <w:color w:val="auto"/>
        </w:rPr>
        <w:t xml:space="preserve"> The Administrative Agent shall have received all fees and other amounts due and payable on or prior to the Effective Date, including, to the extent invoiced, reimbursement or payment of all reasonable out-of-pocket expenses required to be reimbursed or paid by the Borrower hereunder.</w:t>
      </w:r>
    </w:p>
    <w:p>
      <w:pPr>
        <w:spacing w:after="0" w:line="185" w:lineRule="exact"/>
        <w:rPr>
          <w:rFonts w:ascii="Arial" w:cs="Arial" w:eastAsia="Arial" w:hAnsi="Arial"/>
          <w:sz w:val="20"/>
          <w:szCs w:val="20"/>
          <w:color w:val="auto"/>
        </w:rPr>
      </w:pPr>
    </w:p>
    <w:p>
      <w:pPr>
        <w:jc w:val="both"/>
        <w:ind w:firstLine="1304"/>
        <w:spacing w:after="0" w:line="263" w:lineRule="auto"/>
        <w:tabs>
          <w:tab w:leader="none" w:pos="1714"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The Administrative Agent shall have received a certificate, in form and substance satisfactory to the Administrative Agent, dated on or prior to the Effective Date and signed by the chief executive officer, the chief financial officer or the treasurer of the Borrower (or other Financial Officer acceptable to the Administrative Agent), confirming that (i) the representations and warranties of the Borrower set forth in this Agreement are true and correct and (ii) no Default exists.</w:t>
      </w:r>
    </w:p>
    <w:p>
      <w:pPr>
        <w:spacing w:after="0" w:line="176" w:lineRule="exact"/>
        <w:rPr>
          <w:rFonts w:ascii="Arial" w:cs="Arial" w:eastAsia="Arial" w:hAnsi="Arial"/>
          <w:sz w:val="19"/>
          <w:szCs w:val="19"/>
          <w:color w:val="auto"/>
        </w:rPr>
      </w:pPr>
    </w:p>
    <w:p>
      <w:pPr>
        <w:jc w:val="both"/>
        <w:ind w:firstLine="1304"/>
        <w:spacing w:after="0" w:line="246" w:lineRule="auto"/>
        <w:tabs>
          <w:tab w:leader="none" w:pos="170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The Administrative Agent shall have received a certificate of a Financial Officer, in form and substance satisfactory to the Administrative Agent, dated the Effective Date, to the effect that since December 31, 2019, no Material Adverse Change has occurred, except as has been previously disclosed by the Borrower in documents filed with the SEC prior to the Effective Date.</w:t>
      </w:r>
    </w:p>
    <w:p>
      <w:pPr>
        <w:spacing w:after="0" w:line="191" w:lineRule="exact"/>
        <w:rPr>
          <w:rFonts w:ascii="Arial" w:cs="Arial" w:eastAsia="Arial" w:hAnsi="Arial"/>
          <w:sz w:val="20"/>
          <w:szCs w:val="20"/>
          <w:color w:val="auto"/>
        </w:rPr>
      </w:pPr>
    </w:p>
    <w:p>
      <w:pPr>
        <w:jc w:val="both"/>
        <w:ind w:firstLine="1304"/>
        <w:spacing w:after="0" w:line="242" w:lineRule="auto"/>
        <w:tabs>
          <w:tab w:leader="none" w:pos="170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KYC</w:t>
      </w:r>
      <w:r>
        <w:rPr>
          <w:rFonts w:ascii="Arial" w:cs="Arial" w:eastAsia="Arial" w:hAnsi="Arial"/>
          <w:sz w:val="20"/>
          <w:szCs w:val="20"/>
          <w:color w:val="auto"/>
        </w:rPr>
        <w:t>. (i)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days prior to the Effective Date and (ii) to the extent the Borrower qualifies as a “legal entity customer” under the Beneficial Ownership Regulation, at least five days prior to the Effective Date, any Lender that has requested, in a written notice to the Borrower at least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96" w:lineRule="exact"/>
        <w:rPr>
          <w:rFonts w:ascii="Arial" w:cs="Arial" w:eastAsia="Arial" w:hAnsi="Arial"/>
          <w:sz w:val="20"/>
          <w:szCs w:val="20"/>
          <w:color w:val="auto"/>
        </w:rPr>
      </w:pPr>
    </w:p>
    <w:p>
      <w:pPr>
        <w:jc w:val="both"/>
        <w:ind w:firstLine="1304"/>
        <w:spacing w:after="0" w:line="250" w:lineRule="auto"/>
        <w:tabs>
          <w:tab w:leader="none" w:pos="1757"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Approvals.</w:t>
      </w:r>
      <w:r>
        <w:rPr>
          <w:rFonts w:ascii="Arial" w:cs="Arial" w:eastAsia="Arial" w:hAnsi="Arial"/>
          <w:sz w:val="20"/>
          <w:szCs w:val="20"/>
          <w:color w:val="auto"/>
        </w:rPr>
        <w:t xml:space="preserve"> All governmental and third party approvals necessary or, in the discretion of the Administrative Agent, advisable in connection with the financing and the continuing operations of the Borrower and its subsidiaries shall have been obtained and be in full force.</w:t>
      </w:r>
    </w:p>
    <w:p>
      <w:pPr>
        <w:spacing w:after="0" w:line="185" w:lineRule="exact"/>
        <w:rPr>
          <w:rFonts w:ascii="Arial" w:cs="Arial" w:eastAsia="Arial" w:hAnsi="Arial"/>
          <w:sz w:val="20"/>
          <w:szCs w:val="20"/>
          <w:color w:val="auto"/>
        </w:rPr>
      </w:pPr>
    </w:p>
    <w:p>
      <w:pPr>
        <w:ind w:firstLine="1304"/>
        <w:spacing w:after="0" w:line="260" w:lineRule="auto"/>
        <w:tabs>
          <w:tab w:leader="none" w:pos="1703"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The Administrative Agent shall have received such other documents as any Lender or its counsel may have reasonably requested.</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Administrative Agent shall notify the Borrower and the Credit Parties when the conditions set forth above have been satisfied or waived, and such notice shall be conclusive and binding.</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Each Credit Event</w:t>
      </w:r>
      <w:r>
        <w:rPr>
          <w:rFonts w:ascii="Arial" w:cs="Arial" w:eastAsia="Arial" w:hAnsi="Arial"/>
          <w:sz w:val="20"/>
          <w:szCs w:val="20"/>
          <w:color w:val="auto"/>
        </w:rPr>
        <w:t>. The obligation of each Lender to make a Loan on the occasion of any Borrowing, is subject to the satisfaction of the following conditions:</w:t>
      </w:r>
    </w:p>
    <w:p>
      <w:pPr>
        <w:spacing w:after="0" w:line="177" w:lineRule="exact"/>
        <w:rPr>
          <w:sz w:val="20"/>
          <w:szCs w:val="20"/>
          <w:color w:val="auto"/>
        </w:rPr>
      </w:pPr>
    </w:p>
    <w:p>
      <w:pPr>
        <w:jc w:val="both"/>
        <w:ind w:firstLine="1304"/>
        <w:spacing w:after="0" w:line="244" w:lineRule="auto"/>
        <w:tabs>
          <w:tab w:leader="none" w:pos="1696"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the Borrower set forth in the Loan Documents (other than the representations and warranties in </w:t>
      </w:r>
      <w:r>
        <w:rPr>
          <w:rFonts w:ascii="Arial" w:cs="Arial" w:eastAsia="Arial" w:hAnsi="Arial"/>
          <w:sz w:val="20"/>
          <w:szCs w:val="20"/>
          <w:u w:val="single" w:color="auto"/>
          <w:color w:val="auto"/>
        </w:rPr>
        <w:t>Section 4.4(b)</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4.6</w:t>
      </w:r>
      <w:r>
        <w:rPr>
          <w:rFonts w:ascii="Arial" w:cs="Arial" w:eastAsia="Arial" w:hAnsi="Arial"/>
          <w:sz w:val="20"/>
          <w:szCs w:val="20"/>
          <w:color w:val="auto"/>
        </w:rPr>
        <w:t xml:space="preserve"> of this Agreement) shall be true and correct on and as of the date of such Borrowing or the date of such issuance, increase, amendment, renewal or extension, as applicable, except to the extent such representations and warranties specifically relate to an earlier date, in which case such representations and warranties shall have been true and correct on and as of such earlier date.</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1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b w:val="1"/>
          <w:bCs w:val="1"/>
          <w:color w:val="auto"/>
        </w:rPr>
        <w:t>Exhibit 4</w:t>
      </w:r>
    </w:p>
    <w:p>
      <w:pPr>
        <w:spacing w:after="0" w:line="221" w:lineRule="exact"/>
        <w:rPr>
          <w:sz w:val="20"/>
          <w:szCs w:val="20"/>
          <w:color w:val="auto"/>
        </w:rPr>
      </w:pPr>
    </w:p>
    <w:p>
      <w:pPr>
        <w:ind w:firstLine="1304"/>
        <w:spacing w:after="0" w:line="260" w:lineRule="auto"/>
        <w:tabs>
          <w:tab w:leader="none" w:pos="1706" w:val="left"/>
        </w:tabs>
        <w:numPr>
          <w:ilvl w:val="0"/>
          <w:numId w:val="74"/>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Borrowing or such issuance, increase, amendment, renewal or extension, as applicable, no Default shall have occurred and be continuing.</w:t>
      </w:r>
    </w:p>
    <w:p>
      <w:pPr>
        <w:spacing w:after="0" w:line="176" w:lineRule="exact"/>
        <w:rPr>
          <w:rFonts w:ascii="Arial" w:cs="Arial" w:eastAsia="Arial" w:hAnsi="Arial"/>
          <w:sz w:val="20"/>
          <w:szCs w:val="20"/>
          <w:color w:val="auto"/>
        </w:rPr>
      </w:pPr>
    </w:p>
    <w:p>
      <w:pPr>
        <w:ind w:right="20" w:firstLine="1304"/>
        <w:spacing w:after="0" w:line="260" w:lineRule="auto"/>
        <w:tabs>
          <w:tab w:leader="none" w:pos="1736"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Administrative Agent shall have received a Credit Request and such other documentation and assurances as shall be reasonably required by it in connection herewith.</w:t>
      </w:r>
    </w:p>
    <w:p>
      <w:pPr>
        <w:spacing w:after="0" w:line="176" w:lineRule="exact"/>
        <w:rPr>
          <w:rFonts w:ascii="Arial" w:cs="Arial" w:eastAsia="Arial" w:hAnsi="Arial"/>
          <w:sz w:val="20"/>
          <w:szCs w:val="20"/>
          <w:color w:val="auto"/>
        </w:rPr>
      </w:pPr>
    </w:p>
    <w:p>
      <w:pPr>
        <w:ind w:left="1720" w:hanging="416"/>
        <w:spacing w:after="0"/>
        <w:tabs>
          <w:tab w:leader="none" w:pos="172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Such Loan shall not be prohibited by any applicable law, rule or regulation.</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Each Borrowing shall be deemed to constitute a representation and warranty by the Borrower on the date thereof as to the matters specified in </w:t>
      </w:r>
      <w:r>
        <w:rPr>
          <w:rFonts w:ascii="Arial" w:cs="Arial" w:eastAsia="Arial" w:hAnsi="Arial"/>
          <w:sz w:val="20"/>
          <w:szCs w:val="20"/>
          <w:u w:val="single" w:color="auto"/>
          <w:color w:val="auto"/>
        </w:rPr>
        <w:t>paragraphs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16"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and other amounts payable under the Loan Documents shall have been paid in full, the Borrower covenants and agrees with the Credit Parties that:</w:t>
      </w:r>
    </w:p>
    <w:p>
      <w:pPr>
        <w:spacing w:after="0" w:line="13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6.1.</w:t>
      </w:r>
      <w:r>
        <w:rPr>
          <w:sz w:val="20"/>
          <w:szCs w:val="20"/>
          <w:color w:val="auto"/>
        </w:rPr>
        <w:tab/>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Administrative Agent and each Lender:</w:t>
      </w:r>
    </w:p>
    <w:p>
      <w:pPr>
        <w:spacing w:after="0" w:line="216" w:lineRule="exact"/>
        <w:rPr>
          <w:sz w:val="20"/>
          <w:szCs w:val="20"/>
          <w:color w:val="auto"/>
        </w:rPr>
      </w:pPr>
    </w:p>
    <w:p>
      <w:pPr>
        <w:jc w:val="both"/>
        <w:ind w:firstLine="1304"/>
        <w:spacing w:after="0" w:line="232" w:lineRule="exact"/>
        <w:tabs>
          <w:tab w:leader="none" w:pos="1736" w:val="left"/>
        </w:tabs>
        <w:numPr>
          <w:ilvl w:val="0"/>
          <w:numId w:val="75"/>
        </w:numPr>
        <w:rPr>
          <w:rFonts w:ascii="Arial" w:cs="Arial" w:eastAsia="Arial" w:hAnsi="Arial"/>
          <w:sz w:val="19"/>
          <w:szCs w:val="19"/>
          <w:color w:val="auto"/>
        </w:rPr>
      </w:pPr>
      <w:r>
        <w:rPr>
          <w:rFonts w:ascii="Arial" w:cs="Arial" w:eastAsia="Arial" w:hAnsi="Arial"/>
          <w:sz w:val="19"/>
          <w:szCs w:val="19"/>
          <w:color w:val="auto"/>
        </w:rPr>
        <w:t>As soon as available, but in any event within 120 days after the end of each fiscal year, (6) a copy of the Borrower’s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in respect of such fiscal year required to be filed by the Borrower with the SEC, together with the financial statements attached thereto, and (6) the Borrower’s audited consolidated balance sheet and related consolidated statements of income, stockholder’s equity and cash flows as of the end of and for such fiscal year, setting forth in each case in comparative form the figures for the previous fiscal year, all reported on by the Accountants (without a “going concern” or like qualification or exception and without any qualification or exception as to the scope of such audit) to the effect that such consolidated financial statements present fairly in all material respects the financial conditions and results of operations of the Borrower and the Subsidiaries on a consolidated basis in accordance with GAAP consistently applied during such fiscal year;</w:t>
      </w:r>
    </w:p>
    <w:p>
      <w:pPr>
        <w:spacing w:after="0" w:line="202" w:lineRule="exact"/>
        <w:rPr>
          <w:rFonts w:ascii="Arial" w:cs="Arial" w:eastAsia="Arial" w:hAnsi="Arial"/>
          <w:sz w:val="19"/>
          <w:szCs w:val="19"/>
          <w:color w:val="auto"/>
        </w:rPr>
      </w:pPr>
    </w:p>
    <w:p>
      <w:pPr>
        <w:jc w:val="both"/>
        <w:ind w:firstLine="1304"/>
        <w:spacing w:after="0" w:line="232" w:lineRule="exact"/>
        <w:tabs>
          <w:tab w:leader="none" w:pos="170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soon as available, but in any event within 60 days after the end of each of the first three fiscal quarters of each fiscal year, (6) a copy of the Borrower’s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in respect of such fiscal quarter required to be filed by the Borrower with the SEC, together with the financial statements attached thereto, and (6) the Borrower’s unaudited consolidated balance sheet and related consolidated statements of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duly authorized Financial Officer as presenting fairly in all material respects the financial conditions and results of operations of the Borrower and the Subsidiaries on a consolidated basis in accordance with GAAP consistently applied, subject to normal year end audit adjustments and the absence of footnotes;</w:t>
      </w:r>
    </w:p>
    <w:p>
      <w:pPr>
        <w:spacing w:after="0" w:line="196" w:lineRule="exact"/>
        <w:rPr>
          <w:rFonts w:ascii="Arial" w:cs="Arial" w:eastAsia="Arial" w:hAnsi="Arial"/>
          <w:sz w:val="18"/>
          <w:szCs w:val="18"/>
          <w:color w:val="auto"/>
        </w:rPr>
      </w:pPr>
    </w:p>
    <w:p>
      <w:pPr>
        <w:jc w:val="both"/>
        <w:ind w:firstLine="1304"/>
        <w:spacing w:after="0" w:line="250" w:lineRule="auto"/>
        <w:tabs>
          <w:tab w:leader="none" w:pos="1723" w:val="left"/>
        </w:tabs>
        <w:numPr>
          <w:ilvl w:val="0"/>
          <w:numId w:val="75"/>
        </w:numPr>
        <w:rPr>
          <w:rFonts w:ascii="Arial" w:cs="Arial" w:eastAsia="Arial" w:hAnsi="Arial"/>
          <w:sz w:val="20"/>
          <w:szCs w:val="20"/>
          <w:color w:val="auto"/>
        </w:rPr>
      </w:pPr>
      <w:r>
        <w:rPr>
          <w:rFonts w:ascii="Arial" w:cs="Arial" w:eastAsia="Arial" w:hAnsi="Arial"/>
          <w:sz w:val="20"/>
          <w:szCs w:val="20"/>
          <w:color w:val="auto"/>
        </w:rPr>
        <w:t>Within 60 days after the end of each of the first three fiscal quarters and within 120 days after the end of the last fiscal quarter, a Compliance Certificate, signed by a Financial Officer (or such other officer as shall be acceptable to the Administrative Agent) as to the Borrower’s compliance,</w:t>
      </w: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18" w:right="339" w:bottom="1440" w:gutter="0" w:footer="0" w:header="0"/>
        </w:sectPr>
      </w:pPr>
    </w:p>
    <w:bookmarkStart w:id="96" w:name="page97"/>
    <w:bookmarkEnd w:id="96"/>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as of such fiscal quarter ending date, with </w:t>
      </w:r>
      <w:r>
        <w:rPr>
          <w:rFonts w:ascii="Arial" w:cs="Arial" w:eastAsia="Arial" w:hAnsi="Arial"/>
          <w:sz w:val="20"/>
          <w:szCs w:val="20"/>
          <w:u w:val="single" w:color="auto"/>
          <w:color w:val="auto"/>
        </w:rPr>
        <w:t>Section 7.5</w:t>
      </w:r>
      <w:r>
        <w:rPr>
          <w:rFonts w:ascii="Arial" w:cs="Arial" w:eastAsia="Arial" w:hAnsi="Arial"/>
          <w:sz w:val="20"/>
          <w:szCs w:val="20"/>
          <w:color w:val="auto"/>
        </w:rPr>
        <w:t>, and as to the absence of any Default as of such fiscal quarter ending date and the date of such certificate (or if a Default existed or exists, the nature thereof); and</w:t>
      </w:r>
    </w:p>
    <w:p>
      <w:pPr>
        <w:spacing w:after="0" w:line="177" w:lineRule="exact"/>
        <w:rPr>
          <w:sz w:val="20"/>
          <w:szCs w:val="20"/>
          <w:color w:val="auto"/>
        </w:rPr>
      </w:pPr>
    </w:p>
    <w:p>
      <w:pPr>
        <w:jc w:val="both"/>
        <w:ind w:firstLine="1304"/>
        <w:spacing w:after="0" w:line="244" w:lineRule="auto"/>
        <w:tabs>
          <w:tab w:leader="none" w:pos="1828" w:val="left"/>
        </w:tabs>
        <w:numPr>
          <w:ilvl w:val="0"/>
          <w:numId w:val="76"/>
        </w:numPr>
        <w:rPr>
          <w:rFonts w:ascii="Arial" w:cs="Arial" w:eastAsia="Arial" w:hAnsi="Arial"/>
          <w:sz w:val="20"/>
          <w:szCs w:val="20"/>
          <w:color w:val="auto"/>
        </w:rPr>
      </w:pPr>
      <w:r>
        <w:rPr>
          <w:rFonts w:ascii="Arial" w:cs="Arial" w:eastAsia="Arial" w:hAnsi="Arial"/>
          <w:sz w:val="20"/>
          <w:szCs w:val="20"/>
          <w:color w:val="auto"/>
        </w:rPr>
        <w:t>promptly following any request therefor, (i) such other information regarding the operations, business affairs and financial condition of the Borrower or any Subsidiary, or compliance with the terms of the Loan Documents, as any Credit Party may reasonably request and (ii)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9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6.2.</w:t>
      </w:r>
      <w:r>
        <w:rPr>
          <w:sz w:val="20"/>
          <w:szCs w:val="20"/>
          <w:color w:val="auto"/>
        </w:rPr>
        <w:tab/>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 will furnish the following to the Administrative Agent and each Lender:</w:t>
      </w:r>
    </w:p>
    <w:p>
      <w:pPr>
        <w:spacing w:after="0" w:line="216" w:lineRule="exact"/>
        <w:rPr>
          <w:sz w:val="20"/>
          <w:szCs w:val="20"/>
          <w:color w:val="auto"/>
        </w:rPr>
      </w:pPr>
    </w:p>
    <w:p>
      <w:pPr>
        <w:ind w:firstLine="1304"/>
        <w:spacing w:after="0" w:line="260" w:lineRule="auto"/>
        <w:tabs>
          <w:tab w:leader="none" w:pos="1723" w:val="left"/>
        </w:tabs>
        <w:numPr>
          <w:ilvl w:val="0"/>
          <w:numId w:val="77"/>
        </w:numPr>
        <w:rPr>
          <w:rFonts w:ascii="Arial" w:cs="Arial" w:eastAsia="Arial" w:hAnsi="Arial"/>
          <w:sz w:val="20"/>
          <w:szCs w:val="20"/>
          <w:color w:val="auto"/>
        </w:rPr>
      </w:pPr>
      <w:r>
        <w:rPr>
          <w:rFonts w:ascii="Arial" w:cs="Arial" w:eastAsia="Arial" w:hAnsi="Arial"/>
          <w:sz w:val="20"/>
          <w:szCs w:val="20"/>
          <w:color w:val="auto"/>
        </w:rPr>
        <w:t>prompt written notice of the occurrence of any Default, specifying the nature thereof and any action taken or proposed to be taken with respect thereto;</w:t>
      </w:r>
    </w:p>
    <w:p>
      <w:pPr>
        <w:spacing w:after="0" w:line="176" w:lineRule="exact"/>
        <w:rPr>
          <w:rFonts w:ascii="Arial" w:cs="Arial" w:eastAsia="Arial" w:hAnsi="Arial"/>
          <w:sz w:val="20"/>
          <w:szCs w:val="20"/>
          <w:color w:val="auto"/>
        </w:rPr>
      </w:pPr>
    </w:p>
    <w:p>
      <w:pPr>
        <w:jc w:val="both"/>
        <w:ind w:firstLine="1304"/>
        <w:spacing w:after="0" w:line="260" w:lineRule="auto"/>
        <w:tabs>
          <w:tab w:leader="none" w:pos="1774" w:val="left"/>
        </w:tabs>
        <w:numPr>
          <w:ilvl w:val="0"/>
          <w:numId w:val="77"/>
        </w:numPr>
        <w:rPr>
          <w:rFonts w:ascii="Arial" w:cs="Arial" w:eastAsia="Arial" w:hAnsi="Arial"/>
          <w:sz w:val="19"/>
          <w:szCs w:val="19"/>
          <w:color w:val="auto"/>
        </w:rPr>
      </w:pPr>
      <w:r>
        <w:rPr>
          <w:rFonts w:ascii="Arial" w:cs="Arial" w:eastAsia="Arial" w:hAnsi="Arial"/>
          <w:sz w:val="19"/>
          <w:szCs w:val="19"/>
          <w:color w:val="auto"/>
        </w:rPr>
        <w:t>promptly upon becoming available, copies of all (i) regular, periodic or special reports, schedules and other material which the Borrower or any of its Subsidiaries may be required to file with or deliver to any securities exchange or the SEC, or any other Governmental Authority succeeding to the functions thereof, and (ii) upon the written request of the Administrative Agent, reports that the Borrower or any of its Subsidiaries sends to or files with the Federal Energy Regulatory Commission, the WPS, the MPUC or any Governmental Authority succeeding to the functions thereof, or any similar state or local Governmental Authority;</w:t>
      </w:r>
    </w:p>
    <w:p>
      <w:pPr>
        <w:spacing w:after="0" w:line="180" w:lineRule="exact"/>
        <w:rPr>
          <w:rFonts w:ascii="Arial" w:cs="Arial" w:eastAsia="Arial" w:hAnsi="Arial"/>
          <w:sz w:val="19"/>
          <w:szCs w:val="19"/>
          <w:color w:val="auto"/>
        </w:rPr>
      </w:pPr>
    </w:p>
    <w:p>
      <w:pPr>
        <w:jc w:val="both"/>
        <w:ind w:firstLine="1304"/>
        <w:spacing w:after="0" w:line="276" w:lineRule="auto"/>
        <w:tabs>
          <w:tab w:leader="none" w:pos="1696"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prompt written notice of (i) any material citation, summons, subpoena, order, notice, claim or proceeding received by, or brought against, the Borrower or any of its Subsidiaries, with respect to (x) any proceeding before any Governmental Authority (other than proceedings in the ordinary course of business before the WPS or the MPUC), or (y) any real property under any Environmental Law, and (ii) any lapse or other termination of, or refusal to renew or extend, any material franchise or other authorization issued to the Borrower or any of its Subsidiaries by any Governmental Authority (other than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of the foregoing set forth in this paragraph would, individually or in the aggregate, reasonably be expected to have a Material Adverse Effect;</w:t>
      </w:r>
    </w:p>
    <w:p>
      <w:pPr>
        <w:spacing w:after="0" w:line="164" w:lineRule="exact"/>
        <w:rPr>
          <w:rFonts w:ascii="Arial" w:cs="Arial" w:eastAsia="Arial" w:hAnsi="Arial"/>
          <w:sz w:val="18"/>
          <w:szCs w:val="18"/>
          <w:color w:val="auto"/>
        </w:rPr>
      </w:pPr>
    </w:p>
    <w:p>
      <w:pPr>
        <w:ind w:left="1720" w:hanging="416"/>
        <w:spacing w:after="0"/>
        <w:tabs>
          <w:tab w:leader="none" w:pos="17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prompt written notice of any change by any Rating Agency in a Senior Debt Rating; and</w:t>
      </w:r>
    </w:p>
    <w:p>
      <w:pPr>
        <w:spacing w:after="0" w:line="215" w:lineRule="exact"/>
        <w:rPr>
          <w:rFonts w:ascii="Arial" w:cs="Arial" w:eastAsia="Arial" w:hAnsi="Arial"/>
          <w:sz w:val="20"/>
          <w:szCs w:val="20"/>
          <w:color w:val="auto"/>
        </w:rPr>
      </w:pPr>
    </w:p>
    <w:p>
      <w:pPr>
        <w:ind w:firstLine="1304"/>
        <w:spacing w:after="0" w:line="260" w:lineRule="auto"/>
        <w:tabs>
          <w:tab w:leader="none" w:pos="1723" w:val="left"/>
        </w:tabs>
        <w:numPr>
          <w:ilvl w:val="0"/>
          <w:numId w:val="77"/>
        </w:numPr>
        <w:rPr>
          <w:rFonts w:ascii="Arial" w:cs="Arial" w:eastAsia="Arial" w:hAnsi="Arial"/>
          <w:sz w:val="20"/>
          <w:szCs w:val="20"/>
          <w:color w:val="auto"/>
        </w:rPr>
      </w:pPr>
      <w:r>
        <w:rPr>
          <w:rFonts w:ascii="Arial" w:cs="Arial" w:eastAsia="Arial" w:hAnsi="Arial"/>
          <w:sz w:val="20"/>
          <w:szCs w:val="20"/>
          <w:color w:val="auto"/>
        </w:rPr>
        <w:t>any change in the information provided in the Beneficial Ownership Certification delivered to such Lender that would result in a change to the list of beneficial owners identified in such certification.</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Each notice delivered under </w:t>
      </w:r>
      <w:r>
        <w:rPr>
          <w:rFonts w:ascii="Arial" w:cs="Arial" w:eastAsia="Arial" w:hAnsi="Arial"/>
          <w:sz w:val="20"/>
          <w:szCs w:val="20"/>
          <w:u w:val="single" w:color="auto"/>
          <w:color w:val="auto"/>
        </w:rPr>
        <w:t>Section 6.2(a)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Documents required to be delivered pursuant to </w:t>
      </w:r>
      <w:r>
        <w:rPr>
          <w:rFonts w:ascii="Arial" w:cs="Arial" w:eastAsia="Arial" w:hAnsi="Arial"/>
          <w:sz w:val="20"/>
          <w:szCs w:val="20"/>
          <w:u w:val="single" w:color="auto"/>
          <w:color w:val="auto"/>
        </w:rPr>
        <w:t>Section 6.1(a)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6.2(b)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(to the extent any such documents are included in materials otherwise filed with the SEC) may be delivered electronically and if so delivered, shall be deemed to have been delivered on the date (a) on which the Borrower posts such documents, or provides a link thereto, on the Borrower’s website on the Internet at</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18" w:right="339" w:bottom="1440" w:gutter="0" w:footer="0" w:header="0"/>
        </w:sectPr>
      </w:pPr>
    </w:p>
    <w:bookmarkStart w:id="97" w:name="page98"/>
    <w:bookmarkEnd w:id="97"/>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32" w:lineRule="exact"/>
        <w:rPr>
          <w:sz w:val="20"/>
          <w:szCs w:val="20"/>
          <w:color w:val="auto"/>
        </w:rPr>
      </w:pPr>
      <w:r>
        <w:rPr>
          <w:rFonts w:ascii="Arial" w:cs="Arial" w:eastAsia="Arial" w:hAnsi="Arial"/>
          <w:sz w:val="19"/>
          <w:szCs w:val="19"/>
          <w:color w:val="auto"/>
        </w:rPr>
        <w:t xml:space="preserve">the website address listed in </w:t>
      </w:r>
      <w:r>
        <w:rPr>
          <w:rFonts w:ascii="Arial" w:cs="Arial" w:eastAsia="Arial" w:hAnsi="Arial"/>
          <w:sz w:val="19"/>
          <w:szCs w:val="19"/>
          <w:u w:val="single" w:color="auto"/>
          <w:color w:val="auto"/>
        </w:rPr>
        <w:t>Section 10.1</w:t>
      </w:r>
      <w:r>
        <w:rPr>
          <w:rFonts w:ascii="Arial" w:cs="Arial" w:eastAsia="Arial" w:hAnsi="Arial"/>
          <w:sz w:val="19"/>
          <w:szCs w:val="19"/>
          <w:color w:val="auto"/>
        </w:rPr>
        <w:t>; or (b) on which such documents are posted on the Borrower’s behalf on an Internet or intranet website, if any, to which each Lender and the Administrative have access (whether a commercial, third</w:t>
      </w:r>
      <w:r>
        <w:rPr>
          <w:rFonts w:ascii="MS PGothic" w:cs="MS PGothic" w:eastAsia="MS PGothic" w:hAnsi="MS PGothic"/>
          <w:sz w:val="19"/>
          <w:szCs w:val="19"/>
          <w:color w:val="auto"/>
        </w:rPr>
        <w:t>‑</w:t>
      </w:r>
      <w:r>
        <w:rPr>
          <w:rFonts w:ascii="Arial" w:cs="Arial" w:eastAsia="Arial" w:hAnsi="Arial"/>
          <w:sz w:val="19"/>
          <w:szCs w:val="19"/>
          <w:color w:val="auto"/>
        </w:rPr>
        <w:t xml:space="preserve">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(6) the Borrower shall deliver paper copies of such documents to the Administrative Agent or any Lender that requests the Borrower to deliver such paper copies until a written request to cease delivering paper copies is given by the Administrative Agent or such Lender and (6) the Borrower shall notify the Administrative Agent and each Lender (by facsimile or electronic mail) of the posting of any such documents and provide to the Administrative Agent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soft copies) of such documents.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9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Legal Existence</w:t>
      </w:r>
      <w:r>
        <w:rPr>
          <w:rFonts w:ascii="Arial" w:cs="Arial" w:eastAsia="Arial" w:hAnsi="Arial"/>
          <w:sz w:val="18"/>
          <w:szCs w:val="18"/>
          <w:color w:val="auto"/>
        </w:rPr>
        <w:t xml:space="preserve">. Except as permitted under </w:t>
      </w:r>
      <w:r>
        <w:rPr>
          <w:rFonts w:ascii="Arial" w:cs="Arial" w:eastAsia="Arial" w:hAnsi="Arial"/>
          <w:sz w:val="18"/>
          <w:szCs w:val="18"/>
          <w:u w:val="single" w:color="auto"/>
          <w:color w:val="auto"/>
        </w:rPr>
        <w:t>Section 7.2</w:t>
      </w:r>
      <w:r>
        <w:rPr>
          <w:rFonts w:ascii="Arial" w:cs="Arial" w:eastAsia="Arial" w:hAnsi="Arial"/>
          <w:sz w:val="18"/>
          <w:szCs w:val="18"/>
          <w:color w:val="auto"/>
        </w:rPr>
        <w:t>, the Borrower shall maintain its legal existence in good standing in the jurisdiction of its organization or formation and in each other jurisdiction in which the failure so to do would reasonably be expected to have a Material Adverse Effect, and cause each of the Subsidiaries to maintain its qualification to do business and good standing in each jurisdiction in which the failure so to do would reasonably be expected to have a Material Adverse Effect (it being understood that the foregoing shall not prohibit the Borrower from dissolving or terminating the existence of any Subsidiary that is inactive or whose preservation otherwise is no longer desirable in the conduct of the business of the Borrower and its Subsidiaries considered as a whole).</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The Borrower shall pay and discharge when due, and cause each of the Subsidiaries so to do, all Taxes imposed upon it or upon its property, which if unpaid would, individually or collectively, reasonably be expected to have a Material Adverse Effect or become a Lien on the property of the Borrower or such Subsidiary (other than a Lien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Permitted Encumbrances), as the case may be, unless and to the extent only that such Taxes shall be contested in good faith and by appropriate proceedings diligently conducted by the Borrower or such Subsidiary, as the case may be.</w:t>
      </w:r>
    </w:p>
    <w:p>
      <w:pPr>
        <w:spacing w:after="0" w:line="18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Borrower shall maintain, and cause each of its Subsidiaries to maintain, with financially sound and reputable insurance companies insurance on all its property in at least such amounts and against at least such risks as are usually insured against in the same general area by companies engaged in the same or a similar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and its Subsidiaries may self-insure to the same extent as other companies engaged in similar businesses and owning similar properties in the same general areas in which the Borrower or such Subsidiary operates and to the extent consistent with prudent business practice. The Borrower shall furnish to the Administrative Agent, upon written request of the Administrative Agent or any Lender, full information as to the insurance carried.</w:t>
      </w:r>
    </w:p>
    <w:p>
      <w:pPr>
        <w:spacing w:after="0" w:line="1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6.6. </w:t>
      </w:r>
      <w:r>
        <w:rPr>
          <w:rFonts w:ascii="Arial" w:cs="Arial" w:eastAsia="Arial" w:hAnsi="Arial"/>
          <w:sz w:val="20"/>
          <w:szCs w:val="20"/>
          <w:u w:val="single" w:color="auto"/>
          <w:color w:val="auto"/>
        </w:rPr>
        <w:t>Condition of Property</w:t>
      </w:r>
      <w:r>
        <w:rPr>
          <w:rFonts w:ascii="Arial" w:cs="Arial" w:eastAsia="Arial" w:hAnsi="Arial"/>
          <w:sz w:val="20"/>
          <w:szCs w:val="20"/>
          <w:color w:val="auto"/>
        </w:rPr>
        <w:t xml:space="preserve">. The Borrower shall at all times maintain, protect and keep in good repair, working order and condition in all material respects (ordinary wear and tear excepted), and cause each of its Subsidiaries so to do, all material property necessary to the operation of the Borrower’s or such Subsidiary’s, as the case may be, material businesses,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nothing shall prevent the Borrower or its Subsidiaries, as appropriate, from discontinuing the maintenance or operation of any property if such discontinuance is, in the judgment of the Borrower or such Subsidiary, desirable in the conduct of the business of the Borrower or such Subsidiary. It is understood that this covenant relates</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18" w:right="339" w:bottom="1440" w:gutter="0" w:footer="0" w:header="0"/>
        </w:sectPr>
      </w:pPr>
    </w:p>
    <w:bookmarkStart w:id="98" w:name="page99"/>
    <w:bookmarkEnd w:id="98"/>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only to working order and condition of such property in accordance with prudent industry practices and shall not be construed as a covenant not to dispose of property.</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6.7. </w:t>
      </w:r>
      <w:r>
        <w:rPr>
          <w:rFonts w:ascii="Arial" w:cs="Arial" w:eastAsia="Arial" w:hAnsi="Arial"/>
          <w:sz w:val="20"/>
          <w:szCs w:val="20"/>
          <w:u w:val="single" w:color="auto"/>
          <w:color w:val="auto"/>
        </w:rPr>
        <w:t>Observance of Legal Requirements</w:t>
      </w:r>
      <w:r>
        <w:rPr>
          <w:rFonts w:ascii="Arial" w:cs="Arial" w:eastAsia="Arial" w:hAnsi="Arial"/>
          <w:sz w:val="20"/>
          <w:szCs w:val="20"/>
          <w:color w:val="auto"/>
        </w:rPr>
        <w:t>. The Borrower shall observe and comply in all material respects, and cause each of its Subsidiaries so to do, with all laws, regulations and orders of any Governmental Authority which now or at any time hereafter may be applicable to it, including ERISA and all Environmental Laws, a violation of which would individually or collectively reasonably be expected to have a Material Adverse Effect, except such thereof as shall be contested in good faith and, if applicable, by appropriate proceedings diligently conducted by it.</w:t>
      </w:r>
    </w:p>
    <w:p>
      <w:pPr>
        <w:spacing w:after="0" w:line="19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Inspection of Property; Books and Records; Discussions</w:t>
      </w:r>
      <w:r>
        <w:rPr>
          <w:rFonts w:ascii="Arial" w:cs="Arial" w:eastAsia="Arial" w:hAnsi="Arial"/>
          <w:sz w:val="18"/>
          <w:szCs w:val="18"/>
          <w:color w:val="auto"/>
        </w:rPr>
        <w:t xml:space="preserve">. The Borrower shall keep proper books of record and account in conformity with GAAP and all requirements of law. The Borrower shall permit representatives of the Administrative Agent and any Lender to visit its offices, to inspect any of its property (subject to reasonable procedures relating to safety and security) and examine and make copies or abstracts from any of its books and records at any reasonable time and as often as may reasonably be desired, and to discuss the business, operations, prospects, property and financial condition of the Borrower and its Subsidiaries with the officers thereof and the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none of the Administrative Agent, its agents, its representatives or the Lenders shall be entitled to examine or make copies or abstracts of, or otherwise obtain information with respect to, the Borrower’s records relating to pending or threatened litigation if any such disclosure by the Borrower would reasonably be expected (i) to give rise to a waiver of any attorney/client privilege of the Borrower or any of its Subsidiaries relating to such information or (ii) to be otherwise materially disadvantageous to the Borrower or any of its Subsidiaries in the defense of such litigation;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the case of any discussion with the Accountants, the Borrower shall have been given the opportunity to participate in such discussion and, unless a Default exists, the Lender or Lenders requesting such discussion shall pay any fees and expenses of the Accountant in connection therewith.</w:t>
      </w:r>
    </w:p>
    <w:p>
      <w:pPr>
        <w:spacing w:after="0" w:line="176"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1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and other amounts payable under the Loan Documents shall have been paid in full, the Borrower covenants and agrees with the Credit Parties that:</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7.1. </w:t>
      </w:r>
      <w:r>
        <w:rPr>
          <w:rFonts w:ascii="Arial" w:cs="Arial" w:eastAsia="Arial" w:hAnsi="Arial"/>
          <w:sz w:val="20"/>
          <w:szCs w:val="20"/>
          <w:u w:val="single" w:color="auto"/>
          <w:color w:val="auto"/>
        </w:rPr>
        <w:t>Liens</w:t>
      </w:r>
      <w:r>
        <w:rPr>
          <w:rFonts w:ascii="Arial" w:cs="Arial" w:eastAsia="Arial" w:hAnsi="Arial"/>
          <w:sz w:val="20"/>
          <w:szCs w:val="20"/>
          <w:color w:val="auto"/>
        </w:rPr>
        <w:t>. The Borrower shall not, and shall not permit any Subsidiary to, create, incur, assume or suffer to exist any Lien upon any of its property, whether now owned or hereafter acquired by it, except:</w:t>
      </w:r>
    </w:p>
    <w:p>
      <w:pPr>
        <w:spacing w:after="0" w:line="177" w:lineRule="exact"/>
        <w:rPr>
          <w:sz w:val="20"/>
          <w:szCs w:val="20"/>
          <w:color w:val="auto"/>
        </w:rPr>
      </w:pPr>
    </w:p>
    <w:p>
      <w:pPr>
        <w:ind w:left="1700" w:hanging="396"/>
        <w:spacing w:after="0"/>
        <w:tabs>
          <w:tab w:leader="none" w:pos="1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now existing or hereafter arising in favor of the Administrative Agent or the Lenders under the Loan Documents;</w:t>
      </w:r>
    </w:p>
    <w:p>
      <w:pPr>
        <w:spacing w:after="0" w:line="238" w:lineRule="exact"/>
        <w:rPr>
          <w:rFonts w:ascii="Arial" w:cs="Arial" w:eastAsia="Arial" w:hAnsi="Arial"/>
          <w:sz w:val="18"/>
          <w:szCs w:val="18"/>
          <w:color w:val="auto"/>
        </w:rPr>
      </w:pPr>
    </w:p>
    <w:p>
      <w:pPr>
        <w:ind w:left="1720" w:hanging="416"/>
        <w:spacing w:after="0"/>
        <w:tabs>
          <w:tab w:leader="none" w:pos="1720" w:val="left"/>
        </w:tabs>
        <w:numPr>
          <w:ilvl w:val="0"/>
          <w:numId w:val="78"/>
        </w:numPr>
        <w:rPr>
          <w:rFonts w:ascii="Arial" w:cs="Arial" w:eastAsia="Arial" w:hAnsi="Arial"/>
          <w:sz w:val="20"/>
          <w:szCs w:val="20"/>
          <w:color w:val="auto"/>
        </w:rPr>
      </w:pPr>
      <w:r>
        <w:rPr>
          <w:rFonts w:ascii="Arial" w:cs="Arial" w:eastAsia="Arial" w:hAnsi="Arial"/>
          <w:sz w:val="20"/>
          <w:szCs w:val="20"/>
          <w:color w:val="auto"/>
        </w:rPr>
        <w:t>Permitted Encumbrances;</w:t>
      </w:r>
    </w:p>
    <w:p>
      <w:pPr>
        <w:spacing w:after="0" w:line="215" w:lineRule="exact"/>
        <w:rPr>
          <w:rFonts w:ascii="Arial" w:cs="Arial" w:eastAsia="Arial" w:hAnsi="Arial"/>
          <w:sz w:val="20"/>
          <w:szCs w:val="20"/>
          <w:color w:val="auto"/>
        </w:rPr>
      </w:pPr>
    </w:p>
    <w:p>
      <w:pPr>
        <w:jc w:val="both"/>
        <w:ind w:firstLine="1304"/>
        <w:spacing w:after="0" w:line="263" w:lineRule="auto"/>
        <w:tabs>
          <w:tab w:leader="none" w:pos="1709"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any Lien existing on any property prior to the acquisition thereof by the Borrower or any Subsidiary, or existing on any property of any Person that becomes a Subsidiary after the Effective Date prior to the time such Person becomes a Subsidiary or that is merged with or into or consolidated with the Borrower or any Subsidiary prior to such merger or consolidation,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acquisition or such Person becoming a</w:t>
      </w:r>
    </w:p>
    <w:p>
      <w:pPr>
        <w:spacing w:after="0" w:line="3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18" w:right="339" w:bottom="1440" w:gutter="0" w:footer="0" w:header="0"/>
        </w:sectPr>
      </w:pPr>
    </w:p>
    <w:bookmarkStart w:id="99" w:name="page100"/>
    <w:bookmarkEnd w:id="99"/>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Subsidiary or such merger or consolidation, as the case may be, (ii) such Lien shall not apply to any other property of the Borrower or any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Subsidiary and (iii) such Lien shall secure only those obligations and liabilities that it secures on the date of such acquisition or the date such</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Person becomes a Subsidiary of the Borrower or such merger or consolidation, as the case may be;</w:t>
      </w:r>
    </w:p>
    <w:p>
      <w:pPr>
        <w:spacing w:after="0" w:line="200" w:lineRule="exact"/>
        <w:rPr>
          <w:sz w:val="20"/>
          <w:szCs w:val="20"/>
          <w:color w:val="auto"/>
        </w:rPr>
      </w:pPr>
    </w:p>
    <w:p>
      <w:pPr>
        <w:jc w:val="both"/>
        <w:ind w:firstLine="1304"/>
        <w:spacing w:after="0" w:line="255" w:lineRule="auto"/>
        <w:tabs>
          <w:tab w:leader="none" w:pos="1720"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Liens (including precautionary Liens in connection with Capital Lease Obligations) on fixed or capital assets and other property (including any natural gas, oil or other mineral assets, pollution control facilities, electrical generating plants, equipment and machinery, and related accounts, financial assets, contracts and general intangibles) acquired, constructed, explored, drilled, developed, improved, repaired or serviced (including in connection with the financing of working capital and ongoing maintenance) by the Borrower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security interests and the obligations and liabilities secured thereby are incurred prior to or within 270 days after the acquisition of the relevant asset or the completion of the relevant construction, exploration, drilling, development, improvement, repair or servicing (including the relevant financing of working capital and ongoing maintenance), as the case may be, (ii) the obligations and liabilities secured thereby do not exceed the cost of acquiring, constructing, exploring, drilling, developing, improving, repairing or servicing (including the financing of working capital and ongoing maintenance in respect of) the relevant assets, and (iii) such security interests shall not apply to any other property beyond the relevant property set forth in this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(and in the case of construction or improvement, any theretofore unimproved real property on which the property so constructed or the improvement is located) and </w:t>
      </w:r>
      <w:r>
        <w:rPr>
          <w:rFonts w:ascii="Arial" w:cs="Arial" w:eastAsia="Arial" w:hAnsi="Arial"/>
          <w:sz w:val="19"/>
          <w:szCs w:val="19"/>
          <w:u w:val="single" w:color="auto"/>
          <w:color w:val="auto"/>
        </w:rPr>
        <w:t>paragraph (f)</w:t>
      </w:r>
      <w:r>
        <w:rPr>
          <w:rFonts w:ascii="Arial" w:cs="Arial" w:eastAsia="Arial" w:hAnsi="Arial"/>
          <w:sz w:val="19"/>
          <w:szCs w:val="19"/>
          <w:color w:val="auto"/>
        </w:rPr>
        <w:t>, as applicable, of the Borrower or any Subsidiary;</w:t>
      </w:r>
    </w:p>
    <w:p>
      <w:pPr>
        <w:spacing w:after="0" w:line="184" w:lineRule="exact"/>
        <w:rPr>
          <w:rFonts w:ascii="Arial" w:cs="Arial" w:eastAsia="Arial" w:hAnsi="Arial"/>
          <w:sz w:val="19"/>
          <w:szCs w:val="19"/>
          <w:color w:val="auto"/>
        </w:rPr>
      </w:pPr>
    </w:p>
    <w:p>
      <w:pPr>
        <w:ind w:left="1700" w:hanging="396"/>
        <w:spacing w:after="0"/>
        <w:tabs>
          <w:tab w:leader="none" w:pos="17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Liens created under or in connection with the Mortgage and the SWLP Mortgage;</w:t>
      </w:r>
    </w:p>
    <w:p>
      <w:pPr>
        <w:spacing w:after="0" w:line="215" w:lineRule="exact"/>
        <w:rPr>
          <w:rFonts w:ascii="Arial" w:cs="Arial" w:eastAsia="Arial" w:hAnsi="Arial"/>
          <w:sz w:val="20"/>
          <w:szCs w:val="20"/>
          <w:color w:val="auto"/>
        </w:rPr>
      </w:pPr>
    </w:p>
    <w:p>
      <w:pPr>
        <w:jc w:val="both"/>
        <w:ind w:firstLine="1304"/>
        <w:spacing w:after="0" w:line="291" w:lineRule="auto"/>
        <w:tabs>
          <w:tab w:leader="none" w:pos="17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Liens on any Equity Interest owned or otherwise held by or on behalf of the Borrower or any Subsidiary in any Person created as a special purpose, bankruptcy-remote Person for the sole and exclusive purpose of engaging in activities in connection with the owning and operating of property in connection with any project financing permitted to be secured under </w:t>
      </w:r>
      <w:r>
        <w:rPr>
          <w:rFonts w:ascii="Arial" w:cs="Arial" w:eastAsia="Arial" w:hAnsi="Arial"/>
          <w:sz w:val="18"/>
          <w:szCs w:val="18"/>
          <w:u w:val="single" w:color="auto"/>
          <w:color w:val="auto"/>
        </w:rPr>
        <w:t>paragraph (d)</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ind w:left="1720" w:hanging="416"/>
        <w:spacing w:after="0"/>
        <w:tabs>
          <w:tab w:leader="none" w:pos="17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Liens created to secure Indebtedness of any Subsidiary to the Borrower or to any other Subsidiary;</w:t>
      </w:r>
    </w:p>
    <w:p>
      <w:pPr>
        <w:spacing w:after="0" w:line="215" w:lineRule="exact"/>
        <w:rPr>
          <w:rFonts w:ascii="Arial" w:cs="Arial" w:eastAsia="Arial" w:hAnsi="Arial"/>
          <w:sz w:val="20"/>
          <w:szCs w:val="20"/>
          <w:color w:val="auto"/>
        </w:rPr>
      </w:pPr>
    </w:p>
    <w:p>
      <w:pPr>
        <w:jc w:val="both"/>
        <w:ind w:firstLine="1304"/>
        <w:spacing w:after="0" w:line="246" w:lineRule="auto"/>
        <w:tabs>
          <w:tab w:leader="none" w:pos="17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rights reserved to or vested in others to take or receive any part of any coal, ore, gas, oil and other minerals, any timber and/or any electric capacity or energy, gas, water, steam and any other product developed, produced, manufactured, generated, purchased or otherwise acquired by the Borrower or by others on property of the Borrower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Lien described in this paragraph shall secure Indebtedness;</w:t>
      </w:r>
    </w:p>
    <w:p>
      <w:pPr>
        <w:spacing w:after="0" w:line="191" w:lineRule="exact"/>
        <w:rPr>
          <w:rFonts w:ascii="Arial" w:cs="Arial" w:eastAsia="Arial" w:hAnsi="Arial"/>
          <w:sz w:val="20"/>
          <w:szCs w:val="20"/>
          <w:color w:val="auto"/>
        </w:rPr>
      </w:pPr>
    </w:p>
    <w:p>
      <w:pPr>
        <w:jc w:val="both"/>
        <w:ind w:firstLine="1304"/>
        <w:spacing w:after="0" w:line="278" w:lineRule="auto"/>
        <w:tabs>
          <w:tab w:leader="none" w:pos="16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Liens created for the sole purpose of extending, renewing or replacing in whole or in part Indebtedness secured by any lien, mortgage or security interest referred to in the foregoing </w:t>
      </w:r>
      <w:r>
        <w:rPr>
          <w:rFonts w:ascii="Arial" w:cs="Arial" w:eastAsia="Arial" w:hAnsi="Arial"/>
          <w:sz w:val="18"/>
          <w:szCs w:val="18"/>
          <w:u w:val="single" w:color="auto"/>
          <w:color w:val="auto"/>
        </w:rPr>
        <w:t>paragraphs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principal amount of Indebtedness secured thereby shall not exceed the principal amount of Indebtedness so secured at the time of such extension, renewal or replacement and that such extension, renewal or replacement, as the case may be, shall be limited to all or a part of the property or indebtedness that secured the lien or mortgage so extended, renewed or replaced (and any improvements on such property);</w:t>
      </w:r>
    </w:p>
    <w:p>
      <w:pPr>
        <w:spacing w:after="0" w:line="164" w:lineRule="exact"/>
        <w:rPr>
          <w:rFonts w:ascii="Arial" w:cs="Arial" w:eastAsia="Arial" w:hAnsi="Arial"/>
          <w:sz w:val="18"/>
          <w:szCs w:val="18"/>
          <w:color w:val="auto"/>
        </w:rPr>
      </w:pPr>
    </w:p>
    <w:p>
      <w:pPr>
        <w:ind w:firstLine="1304"/>
        <w:spacing w:after="0" w:line="260" w:lineRule="auto"/>
        <w:tabs>
          <w:tab w:leader="none" w:pos="1744" w:val="left"/>
        </w:tabs>
        <w:numPr>
          <w:ilvl w:val="0"/>
          <w:numId w:val="79"/>
        </w:numPr>
        <w:rPr>
          <w:rFonts w:ascii="Arial" w:cs="Arial" w:eastAsia="Arial" w:hAnsi="Arial"/>
          <w:sz w:val="20"/>
          <w:szCs w:val="20"/>
          <w:color w:val="auto"/>
        </w:rPr>
      </w:pPr>
      <w:r>
        <w:rPr>
          <w:rFonts w:ascii="Arial" w:cs="Arial" w:eastAsia="Arial" w:hAnsi="Arial"/>
          <w:sz w:val="20"/>
          <w:szCs w:val="20"/>
          <w:color w:val="auto"/>
        </w:rPr>
        <w:t>Liens on cash or invested funds used to make a defeasance, covenant defeasance or in substance defeasance of any Indebtedness pursuant to an express contractual provision in the</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18" w:right="339" w:bottom="1440" w:gutter="0" w:footer="0" w:header="0"/>
        </w:sectPr>
      </w:pPr>
    </w:p>
    <w:bookmarkStart w:id="100" w:name="page101"/>
    <w:bookmarkEnd w:id="100"/>
    <w:p>
      <w:pPr>
        <w:ind w:left="10460"/>
        <w:spacing w:after="0"/>
        <w:rPr>
          <w:sz w:val="20"/>
          <w:szCs w:val="20"/>
          <w:color w:val="auto"/>
        </w:rPr>
      </w:pPr>
      <w:r>
        <w:rPr>
          <w:rFonts w:ascii="Arial" w:cs="Arial" w:eastAsia="Arial" w:hAnsi="Arial"/>
          <w:sz w:val="18"/>
          <w:szCs w:val="18"/>
          <w:b w:val="1"/>
          <w:bCs w:val="1"/>
          <w:color w:val="auto"/>
        </w:rPr>
        <w:t>Exhibit 4</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agreement governing such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immediately before and immediately after giving effect to the making of such defeasance, no Default shall exist;</w:t>
      </w:r>
    </w:p>
    <w:p>
      <w:pPr>
        <w:spacing w:after="0" w:line="177" w:lineRule="exact"/>
        <w:rPr>
          <w:sz w:val="20"/>
          <w:szCs w:val="20"/>
          <w:color w:val="auto"/>
        </w:rPr>
      </w:pPr>
    </w:p>
    <w:p>
      <w:pPr>
        <w:ind w:left="1720" w:hanging="416"/>
        <w:spacing w:after="0"/>
        <w:tabs>
          <w:tab w:leader="none" w:pos="1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Liens on all CoBank Equities now owned or hereafter acquired by the Borrower; and</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690"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any Lien, in addition to those described in the foregoing </w:t>
      </w:r>
      <w:r>
        <w:rPr>
          <w:rFonts w:ascii="Arial" w:cs="Arial" w:eastAsia="Arial" w:hAnsi="Arial"/>
          <w:sz w:val="20"/>
          <w:szCs w:val="20"/>
          <w:u w:val="single" w:color="auto"/>
          <w:color w:val="auto"/>
        </w:rPr>
        <w:t>paragraphs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(k)</w:t>
      </w:r>
      <w:r>
        <w:rPr>
          <w:rFonts w:ascii="Arial" w:cs="Arial" w:eastAsia="Arial" w:hAnsi="Arial"/>
          <w:sz w:val="20"/>
          <w:szCs w:val="20"/>
          <w:color w:val="auto"/>
        </w:rPr>
        <w:t xml:space="preserve">, securing obligations that, together with all other obligations secured pursuant to this </w:t>
      </w:r>
      <w:r>
        <w:rPr>
          <w:rFonts w:ascii="Arial" w:cs="Arial" w:eastAsia="Arial" w:hAnsi="Arial"/>
          <w:sz w:val="20"/>
          <w:szCs w:val="20"/>
          <w:u w:val="single" w:color="auto"/>
          <w:color w:val="auto"/>
        </w:rPr>
        <w:t>paragraph (l)</w:t>
      </w:r>
      <w:r>
        <w:rPr>
          <w:rFonts w:ascii="Arial" w:cs="Arial" w:eastAsia="Arial" w:hAnsi="Arial"/>
          <w:sz w:val="20"/>
          <w:szCs w:val="20"/>
          <w:color w:val="auto"/>
        </w:rPr>
        <w:t>, do not exceed 10% of Consolidated Assets at the time of the incurrence thereof.</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7.2. </w:t>
      </w:r>
      <w:r>
        <w:rPr>
          <w:rFonts w:ascii="Arial" w:cs="Arial" w:eastAsia="Arial" w:hAnsi="Arial"/>
          <w:sz w:val="20"/>
          <w:szCs w:val="20"/>
          <w:u w:val="single" w:color="auto"/>
          <w:color w:val="auto"/>
        </w:rPr>
        <w:t>Merger; Consolidation</w:t>
      </w:r>
      <w:r>
        <w:rPr>
          <w:rFonts w:ascii="Arial" w:cs="Arial" w:eastAsia="Arial" w:hAnsi="Arial"/>
          <w:sz w:val="20"/>
          <w:szCs w:val="20"/>
          <w:color w:val="auto"/>
        </w:rPr>
        <w:t>. The Borrower shall not, and shall not permit any Subsidiary (excluding any Immaterial Subsidiary) to undergo a Division (as defined in Section 18-217 of the Delaware Limited Liability Company Act) or consolidate with or merge into any other Person (other than a merger of a Subsidiary into, or a consolidation of a Subsidiary with, the Borrower or another Subsidiary), unless:</w:t>
      </w:r>
    </w:p>
    <w:p>
      <w:pPr>
        <w:spacing w:after="0" w:line="191" w:lineRule="exact"/>
        <w:rPr>
          <w:sz w:val="20"/>
          <w:szCs w:val="20"/>
          <w:color w:val="auto"/>
        </w:rPr>
      </w:pPr>
    </w:p>
    <w:p>
      <w:pPr>
        <w:ind w:left="2360" w:hanging="408"/>
        <w:spacing w:after="0"/>
        <w:tabs>
          <w:tab w:leader="none" w:pos="23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immediately before and after giving effect thereto no Default shall exist;</w:t>
      </w:r>
    </w:p>
    <w:p>
      <w:pPr>
        <w:spacing w:after="0" w:line="215" w:lineRule="exact"/>
        <w:rPr>
          <w:rFonts w:ascii="Arial" w:cs="Arial" w:eastAsia="Arial" w:hAnsi="Arial"/>
          <w:sz w:val="20"/>
          <w:szCs w:val="20"/>
          <w:color w:val="auto"/>
        </w:rPr>
      </w:pPr>
    </w:p>
    <w:p>
      <w:pPr>
        <w:jc w:val="both"/>
        <w:ind w:left="1300" w:firstLine="652"/>
        <w:spacing w:after="0" w:line="243" w:lineRule="auto"/>
        <w:tabs>
          <w:tab w:leader="none" w:pos="2448" w:val="left"/>
        </w:tabs>
        <w:numPr>
          <w:ilvl w:val="0"/>
          <w:numId w:val="81"/>
        </w:numPr>
        <w:rPr>
          <w:rFonts w:ascii="Arial" w:cs="Arial" w:eastAsia="Arial" w:hAnsi="Arial"/>
          <w:sz w:val="20"/>
          <w:szCs w:val="20"/>
          <w:color w:val="auto"/>
        </w:rPr>
      </w:pPr>
      <w:r>
        <w:rPr>
          <w:rFonts w:ascii="Arial" w:cs="Arial" w:eastAsia="Arial" w:hAnsi="Arial"/>
          <w:sz w:val="20"/>
          <w:szCs w:val="20"/>
          <w:color w:val="auto"/>
        </w:rPr>
        <w:t>immediately before and after giving effect thereto, all of the representations and warranties contained in the Loan Documents shall be true and correct except as the context thereof otherwise requires and except for those representations and warranties which by their terms or by necessary implication are expressly limited to a state of facts existing at a time prior to such merger, consolidation or acquisition, as the case may be, or such other matters relating thereto as are identified in a writing to the Administrative Agent and the Lenders and are satisfactory to the Administrative Agent and the Lenders; and</w:t>
      </w:r>
    </w:p>
    <w:p>
      <w:pPr>
        <w:spacing w:after="0" w:line="195" w:lineRule="exact"/>
        <w:rPr>
          <w:rFonts w:ascii="Arial" w:cs="Arial" w:eastAsia="Arial" w:hAnsi="Arial"/>
          <w:sz w:val="20"/>
          <w:szCs w:val="20"/>
          <w:color w:val="auto"/>
        </w:rPr>
      </w:pPr>
    </w:p>
    <w:p>
      <w:pPr>
        <w:jc w:val="both"/>
        <w:ind w:left="1300" w:firstLine="652"/>
        <w:spacing w:after="0" w:line="272" w:lineRule="auto"/>
        <w:tabs>
          <w:tab w:leader="none" w:pos="2378"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in the case of a transaction involving the Borrower, either (i) the Borrower shall be the surviving entity thereof, or in the event the Borrower shall not be the surviving entity thereof, each of the following conditions shall be satisfied: (A) such surviving entity shall have been incorporated or otherwise formed in a State of the United States with substantially all of its assets and business located and conducted in the United States, (B) such surviving entity shall, immediately after giving effect to such transaction, have an Investment Grade Rating and (C) such surviving entity shall have expressly assumed the obligations of the Borrower under the Loan Documents pursuant to a writing in form and substance satisfactory to the Administrative Agent; and (ii) the Administrative Agent and the Lenders shall have received a certificate signed by a duly authorized officer of the Borrower identifying the Person to be merged with or into, or consolidated with, or acquired by, the Borrower, and certifying as to each of the matters set forth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above, “</w:t>
      </w:r>
      <w:r>
        <w:rPr>
          <w:rFonts w:ascii="Arial" w:cs="Arial" w:eastAsia="Arial" w:hAnsi="Arial"/>
          <w:sz w:val="20"/>
          <w:szCs w:val="20"/>
          <w:u w:val="single" w:color="auto"/>
          <w:color w:val="auto"/>
        </w:rPr>
        <w:t>Investment Grade Rating</w:t>
      </w:r>
      <w:r>
        <w:rPr>
          <w:rFonts w:ascii="Arial" w:cs="Arial" w:eastAsia="Arial" w:hAnsi="Arial"/>
          <w:sz w:val="20"/>
          <w:szCs w:val="20"/>
          <w:color w:val="auto"/>
        </w:rPr>
        <w:t>” means a Senior Debt Rating from at least two Rating Agencies equal to (1) for any transaction where the surviving entity has a Senior Debt Rating, a rating for such surviving entity of BBB- or higher from S&amp;P or Fitch or Baa3 or higher from Moody’s and (2) for any transaction where the surviving entity is an indirect or direct holding company for a public utility that does not have a Senior Debt Rating, a rating for such surviving entity’s primary utility Subsidiary of BBB- or higher from S&amp;P or Fitch or Baa3 or higher from Moody’s.</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18" w:right="339" w:bottom="1440" w:gutter="0" w:footer="0" w:header="0"/>
        </w:sectPr>
      </w:pPr>
    </w:p>
    <w:bookmarkStart w:id="101" w:name="page102"/>
    <w:bookmarkEnd w:id="101"/>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xml:space="preserve">. The Borrower shall not, and shall not permit any of its Subsidiaries to, sell, transfer, lease or otherwise dispose of (including pursuant to a merger) any property or assets to, or purchase, lease or otherwise acquire (including pursuant to a merger) any property or assets from, or otherwise engage in any other transactions with, any of its Affiliates, except in the ordinary course of business at prices and on terms and conditions not less materially favorable to the Borrower or such Subsidiary, as the case may be, than could be obtained on an arms length basis from unrelated third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Section shall not apply to (i) any transaction that is in compliance with applicable laws and regulations of the Federal Energy Regulatory Commission, the WPS or the MPUC pertaining to affiliate transactions or is authorized by a tariff or rate schedule which has been approved by a Governmental Authority or performed in accordance with its orders, (ii) any transaction that is otherwise permitted under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and (iii) transactions pursuant to any contract in effect on the date hereof, as the same may be amended, extended or replaced from time to time so long as such contract as so amended, extended or replaced is, taken as a whole, not materially less favorable to the Borrower and its Subsidiaries than under those contracts in effect on the date hereof.</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7.4. </w:t>
      </w:r>
      <w:r>
        <w:rPr>
          <w:rFonts w:ascii="Arial" w:cs="Arial" w:eastAsia="Arial" w:hAnsi="Arial"/>
          <w:sz w:val="20"/>
          <w:szCs w:val="20"/>
          <w:u w:val="single" w:color="auto"/>
          <w:color w:val="auto"/>
        </w:rPr>
        <w:t>Permitted Hedge Agreements</w:t>
      </w:r>
      <w:r>
        <w:rPr>
          <w:rFonts w:ascii="Arial" w:cs="Arial" w:eastAsia="Arial" w:hAnsi="Arial"/>
          <w:sz w:val="20"/>
          <w:szCs w:val="20"/>
          <w:color w:val="auto"/>
        </w:rPr>
        <w:t xml:space="preserve">. The Borrower shall not enter into any Hedge Agreements other than (a) Permitted Hedge Agreements and (b) transactions in futures, floors, collars and similar Hedge Agreements involving the stock price of a Person involved in a merger transaction permitted by </w:t>
      </w:r>
      <w:r>
        <w:rPr>
          <w:rFonts w:ascii="Arial" w:cs="Arial" w:eastAsia="Arial" w:hAnsi="Arial"/>
          <w:sz w:val="20"/>
          <w:szCs w:val="20"/>
          <w:u w:val="single" w:color="auto"/>
          <w:color w:val="auto"/>
        </w:rPr>
        <w:t>Section 7.2</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7.5. </w:t>
      </w:r>
      <w:r>
        <w:rPr>
          <w:rFonts w:ascii="Arial" w:cs="Arial" w:eastAsia="Arial" w:hAnsi="Arial"/>
          <w:sz w:val="20"/>
          <w:szCs w:val="20"/>
          <w:u w:val="single" w:color="auto"/>
          <w:color w:val="auto"/>
        </w:rPr>
        <w:t>Financial Covenant</w:t>
      </w:r>
      <w:r>
        <w:rPr>
          <w:rFonts w:ascii="Arial" w:cs="Arial" w:eastAsia="Arial" w:hAnsi="Arial"/>
          <w:sz w:val="20"/>
          <w:szCs w:val="20"/>
          <w:color w:val="auto"/>
        </w:rPr>
        <w:t>. The Borrower will not permit Total Indebtedness to be greater than 65% of Total Capitalization as of the end of any fiscal quarter.</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Anti-Money Laundering and Anti-Terrorism Finance Laws; Foreign Corrupt Practices Act; Sanctions Laws; 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The Borrower shall not, and shall not permit any Subsidiary to, (i) engage in or conspire to engage in any transaction that evades or avoids, or has the purpose of evading or avoiding, or attempts to violate, any prohibition set forth in any Anti-Terrorism Law, (ii) cause or permit any of the funds that are used to repay any obligation under the Loan Documents to be derived from any unlawful activity with the result that the making of the Loans would be in violation of any applicable law, (iii) use any part of the proceeds of the Loans in furtherance of an offer, payment, promise to pay, or authorization of the payment or giving of money, or anything else of value, to any Person in violation of any Anti-Corruption Laws; (iv) use any of the proceeds from the Loans to finance any operations, investments or activities in, or make any payments to, any Restricted Person or in any manner that would result in the violation of any applicable sanctions.</w:t>
      </w:r>
    </w:p>
    <w:p>
      <w:pPr>
        <w:spacing w:after="0" w:line="168"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8.</w:t>
      </w:r>
    </w:p>
    <w:p>
      <w:pPr>
        <w:spacing w:after="0" w:line="229"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EVENTS OF DEFAULT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any of the following events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 shall occur:</w:t>
      </w:r>
    </w:p>
    <w:p>
      <w:pPr>
        <w:spacing w:after="0" w:line="216" w:lineRule="exact"/>
        <w:rPr>
          <w:sz w:val="20"/>
          <w:szCs w:val="20"/>
          <w:color w:val="auto"/>
        </w:rPr>
      </w:pPr>
    </w:p>
    <w:p>
      <w:pPr>
        <w:ind w:firstLine="1304"/>
        <w:spacing w:after="0" w:line="260" w:lineRule="auto"/>
        <w:tabs>
          <w:tab w:leader="none" w:pos="1723"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Borrower shall fail to pay any principal of any Loan when and as the same shall become due and payable, whether at the due date thereof or at a date fixed for prepayment thereof or otherwise;</w:t>
      </w:r>
    </w:p>
    <w:p>
      <w:pPr>
        <w:spacing w:after="0" w:line="176" w:lineRule="exact"/>
        <w:rPr>
          <w:rFonts w:ascii="Arial" w:cs="Arial" w:eastAsia="Arial" w:hAnsi="Arial"/>
          <w:sz w:val="20"/>
          <w:szCs w:val="20"/>
          <w:color w:val="auto"/>
        </w:rPr>
      </w:pPr>
    </w:p>
    <w:p>
      <w:pPr>
        <w:ind w:firstLine="1304"/>
        <w:spacing w:after="0" w:line="260" w:lineRule="auto"/>
        <w:tabs>
          <w:tab w:leader="none" w:pos="1774"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the Borrower shall fail to pay any interest on any Loan or any fee, commission or any other amount (other than an amount referred to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of this Article) payable under any</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15" w:right="339" w:bottom="1440" w:gutter="0" w:footer="0" w:header="0"/>
        </w:sectPr>
      </w:pPr>
    </w:p>
    <w:bookmarkStart w:id="102" w:name="page103"/>
    <w:bookmarkEnd w:id="102"/>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Loan Document, when and as the same shall become due and payable, and such failure shall continue unremedied for a period of five Business Days;</w:t>
      </w:r>
    </w:p>
    <w:p>
      <w:pPr>
        <w:spacing w:after="0" w:line="177" w:lineRule="exact"/>
        <w:rPr>
          <w:sz w:val="20"/>
          <w:szCs w:val="20"/>
          <w:color w:val="auto"/>
        </w:rPr>
      </w:pPr>
    </w:p>
    <w:p>
      <w:pPr>
        <w:jc w:val="both"/>
        <w:ind w:firstLine="1304"/>
        <w:spacing w:after="0" w:line="263" w:lineRule="auto"/>
        <w:tabs>
          <w:tab w:leader="none" w:pos="179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the Borrower or any Subsidiary in or in connection with any Loan Document or any amendment or modification hereof or waiver thereunder, or in any report, certificate, financial statement or other document furnished pursuant to or in connection with any Loan Document or any amendment or modification hereof or waiver thereunder, shall prove to have been incorrect in any material respect when made or deemed made;</w:t>
      </w:r>
    </w:p>
    <w:p>
      <w:pPr>
        <w:spacing w:after="0" w:line="176" w:lineRule="exact"/>
        <w:rPr>
          <w:rFonts w:ascii="Arial" w:cs="Arial" w:eastAsia="Arial" w:hAnsi="Arial"/>
          <w:sz w:val="19"/>
          <w:szCs w:val="19"/>
          <w:color w:val="auto"/>
        </w:rPr>
      </w:pPr>
    </w:p>
    <w:p>
      <w:pPr>
        <w:ind w:firstLine="1304"/>
        <w:spacing w:after="0" w:line="260" w:lineRule="auto"/>
        <w:tabs>
          <w:tab w:leader="none" w:pos="1801"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the Borrower shall fail to observe or perform any covenant, condition or agreement contained in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(with respect to the Borrower’s existence), </w:t>
      </w:r>
      <w:r>
        <w:rPr>
          <w:rFonts w:ascii="Arial" w:cs="Arial" w:eastAsia="Arial" w:hAnsi="Arial"/>
          <w:sz w:val="20"/>
          <w:szCs w:val="20"/>
          <w:u w:val="single" w:color="auto"/>
          <w:color w:val="auto"/>
        </w:rPr>
        <w:t>7.2</w:t>
      </w:r>
      <w:r>
        <w:rPr>
          <w:rFonts w:ascii="Arial" w:cs="Arial" w:eastAsia="Arial" w:hAnsi="Arial"/>
          <w:sz w:val="20"/>
          <w:szCs w:val="20"/>
          <w:color w:val="auto"/>
        </w:rPr>
        <w:t xml:space="preserve">, </w:t>
      </w:r>
      <w:r>
        <w:rPr>
          <w:rFonts w:ascii="Arial" w:cs="Arial" w:eastAsia="Arial" w:hAnsi="Arial"/>
          <w:sz w:val="20"/>
          <w:szCs w:val="20"/>
          <w:u w:val="single" w:color="auto"/>
          <w:color w:val="auto"/>
        </w:rPr>
        <w:t>7.4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7.5</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firstLine="1304"/>
        <w:spacing w:after="0" w:line="316" w:lineRule="auto"/>
        <w:tabs>
          <w:tab w:leader="none" w:pos="1709"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Borrower shall fail to observe or perform any covenant, condition or agreement contained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7.3</w:t>
      </w:r>
      <w:r>
        <w:rPr>
          <w:rFonts w:ascii="Arial" w:cs="Arial" w:eastAsia="Arial" w:hAnsi="Arial"/>
          <w:sz w:val="18"/>
          <w:szCs w:val="18"/>
          <w:color w:val="auto"/>
        </w:rPr>
        <w:t xml:space="preserve"> and such failure shall continue unremedied for a period of ten days after the Borrower shall have obtained knowledge thereof.</w:t>
      </w:r>
    </w:p>
    <w:p>
      <w:pPr>
        <w:spacing w:after="0" w:line="129" w:lineRule="exact"/>
        <w:rPr>
          <w:rFonts w:ascii="Arial" w:cs="Arial" w:eastAsia="Arial" w:hAnsi="Arial"/>
          <w:sz w:val="18"/>
          <w:szCs w:val="18"/>
          <w:color w:val="auto"/>
        </w:rPr>
      </w:pPr>
    </w:p>
    <w:p>
      <w:pPr>
        <w:jc w:val="both"/>
        <w:ind w:firstLine="1304"/>
        <w:spacing w:after="0" w:line="250" w:lineRule="auto"/>
        <w:tabs>
          <w:tab w:leader="none" w:pos="1687"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the Borrower shall fail to observe or perform any covenant, condition or agreement contained in any Loan Document to which it is a party (other than those specified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w:t>
      </w:r>
      <w:r>
        <w:rPr>
          <w:rFonts w:ascii="Arial" w:cs="Arial" w:eastAsia="Arial" w:hAnsi="Arial"/>
          <w:sz w:val="20"/>
          <w:szCs w:val="20"/>
          <w:color w:val="auto"/>
        </w:rPr>
        <w:t xml:space="preserve"> of this Article), and such failure shall continue unremedied for a period of 30 days after the Borrower shall have obtained knowledge thereof;</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801"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Borrower or any Subsidiary shall fail to make any payment (whether of principal or interest and regardless of amount) in respect to any Material Obligations, when and as the same shall become due and payable and after the expiration of any applicable grace period;</w:t>
      </w:r>
    </w:p>
    <w:p>
      <w:pPr>
        <w:spacing w:after="0" w:line="185" w:lineRule="exact"/>
        <w:rPr>
          <w:rFonts w:ascii="Arial" w:cs="Arial" w:eastAsia="Arial" w:hAnsi="Arial"/>
          <w:sz w:val="20"/>
          <w:szCs w:val="20"/>
          <w:color w:val="auto"/>
        </w:rPr>
      </w:pPr>
    </w:p>
    <w:p>
      <w:pPr>
        <w:jc w:val="both"/>
        <w:ind w:firstLine="1304"/>
        <w:spacing w:after="0" w:line="272" w:lineRule="auto"/>
        <w:tabs>
          <w:tab w:leader="none" w:pos="1706"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any event or condition occurs that results in any Material Obligations becoming due prior to their scheduled maturity or payment date, or that enables or permits (with or without the giving of notice, the lapse of time or both) the holder or holders of any Material Obligations or any trustee or agent on its or their behalf to cause any Material Obligations to become due prior to their scheduled maturity or payment date or to require the prepayment, repurchase, redemption or defeasance thereof prior to their scheduled maturity or payment date (in each case after giving effect to any applicable cure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paragraph (h)</w:t>
      </w:r>
      <w:r>
        <w:rPr>
          <w:rFonts w:ascii="Arial" w:cs="Arial" w:eastAsia="Arial" w:hAnsi="Arial"/>
          <w:sz w:val="18"/>
          <w:szCs w:val="18"/>
          <w:color w:val="auto"/>
        </w:rPr>
        <w:t xml:space="preserve"> shall not apply to (i) Indebtedness that becomes due as a result of a notice of voluntary prepayment or redemption delivered by the Borrower or a Subsidiary, (ii) secured Indebtedness that becomes due solely as a result of the voluntary sale or transfer of the property or assets securing such Indebtedness, (iii) intercompany indebtedness or (iv) the exercise of any contractual right to cause the prepayment of any Material Obligations (other than the exercise of a remedy for an event of default under the applicable contract or agreement);</w:t>
      </w:r>
    </w:p>
    <w:p>
      <w:pPr>
        <w:spacing w:after="0" w:line="170" w:lineRule="exact"/>
        <w:rPr>
          <w:rFonts w:ascii="Arial" w:cs="Arial" w:eastAsia="Arial" w:hAnsi="Arial"/>
          <w:sz w:val="18"/>
          <w:szCs w:val="18"/>
          <w:color w:val="auto"/>
        </w:rPr>
      </w:pPr>
    </w:p>
    <w:p>
      <w:pPr>
        <w:jc w:val="both"/>
        <w:ind w:firstLine="1304"/>
        <w:spacing w:after="0" w:line="274" w:lineRule="auto"/>
        <w:tabs>
          <w:tab w:leader="none" w:pos="1676"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except for Immaterial Transactions and transactions expressly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with respect to Subsidiaries, the Borrower or any Subsidiary shall (i) suspend or discontinue its business, (ii) make an assignment for the benefit of creditors, (iii) generally not pay its debts as such debts become due, (iv) admit in writing its inability to pay its debts as they become due, (v) file a voluntary petition in bankruptcy, (vi) become insolvent (however such insolvency shall be evidenced), (vii) file any petition or answer seeking for itself any reorganization, arrangement, composition, readjustment of debt, liquidation or dissolution or similar relief under any present or future statute, law or regulation of any jurisdiction, (viii) petition or apply to any tribunal for any receiver, custodian or any trustee for any substantial part of its property, (ix) be the subject of any such proceeding filed against it which remains</w:t>
      </w:r>
    </w:p>
    <w:p>
      <w:pPr>
        <w:spacing w:after="0" w:line="38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15" w:right="339" w:bottom="1440" w:gutter="0" w:footer="0" w:header="0"/>
        </w:sectPr>
      </w:pPr>
    </w:p>
    <w:bookmarkStart w:id="103" w:name="page104"/>
    <w:bookmarkEnd w:id="103"/>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undismissed for a period of 45 days, (x) file any answer admitting or not contesting the material allegations of any such petition filed against it or any order, judgment or decree approving such petition in any such proceeding, (xi) seek, approve, consent to, or acquiesce in any such proceeding, or in the appointment of any trustee, receiver, sequestrator, custodian, liquidator, or fiscal agent for it, or any substantial part of its property, or an order is entered appointing any such trustee, receiver, custodian, liquidator or fiscal agent and such order remains in effect for 45 days, or (xii) take any formal action for the purpose of effecting any of the foregoing or looking to the liquidation or dissolution of the Borrower or any Subsidiary;</w:t>
      </w:r>
    </w:p>
    <w:p>
      <w:pPr>
        <w:spacing w:after="0" w:line="196" w:lineRule="exact"/>
        <w:rPr>
          <w:sz w:val="20"/>
          <w:szCs w:val="20"/>
          <w:color w:val="auto"/>
        </w:rPr>
      </w:pPr>
    </w:p>
    <w:p>
      <w:pPr>
        <w:jc w:val="both"/>
        <w:ind w:firstLine="1304"/>
        <w:spacing w:after="0" w:line="257" w:lineRule="auto"/>
        <w:tabs>
          <w:tab w:leader="none" w:pos="1663" w:val="left"/>
        </w:tabs>
        <w:numPr>
          <w:ilvl w:val="0"/>
          <w:numId w:val="84"/>
        </w:numPr>
        <w:rPr>
          <w:rFonts w:ascii="Arial" w:cs="Arial" w:eastAsia="Arial" w:hAnsi="Arial"/>
          <w:sz w:val="19"/>
          <w:szCs w:val="19"/>
          <w:color w:val="auto"/>
        </w:rPr>
      </w:pPr>
      <w:r>
        <w:rPr>
          <w:rFonts w:ascii="Arial" w:cs="Arial" w:eastAsia="Arial" w:hAnsi="Arial"/>
          <w:sz w:val="19"/>
          <w:szCs w:val="19"/>
          <w:color w:val="auto"/>
        </w:rPr>
        <w:t>except to the extent arising solely out of an Immaterial Transaction, an order for relief is entered under the United States bankruptcy laws or any other decree or order is entered by a court having jurisdiction (i) adjudging the Borrower or any Subsidiary bankrupt or insolvent, (ii) approving as properly filed a petition seeking reorganization, liquidation, arrangement, adjustment or composition of or in respect of Borrower or any Subsidiary under the United States bankruptcy laws or any other applicable Federal or state law, (iii) appointing a receiver, liquidator, assignee, trustee, custodian, sequestrator (or other similar official) of the Borrower or any Subsidiary of any substantial part of the property thereof, or (iv) ordering the winding up or liquidation (other than, in the case of a Subsidiary, voluntary liquidation, not under any bankruptcy, insolvency or similar law) of the affairs of the Borrower or any Subsidiary, and any such decree or order continues unstayed and in effect for a period of 45 days;</w:t>
      </w:r>
    </w:p>
    <w:p>
      <w:pPr>
        <w:spacing w:after="0" w:line="180" w:lineRule="exact"/>
        <w:rPr>
          <w:rFonts w:ascii="Arial" w:cs="Arial" w:eastAsia="Arial" w:hAnsi="Arial"/>
          <w:sz w:val="19"/>
          <w:szCs w:val="19"/>
          <w:color w:val="auto"/>
        </w:rPr>
      </w:pPr>
    </w:p>
    <w:p>
      <w:pPr>
        <w:jc w:val="both"/>
        <w:ind w:firstLine="1304"/>
        <w:spacing w:after="0" w:line="246" w:lineRule="auto"/>
        <w:tabs>
          <w:tab w:leader="none" w:pos="1868" w:val="left"/>
        </w:tabs>
        <w:numPr>
          <w:ilvl w:val="0"/>
          <w:numId w:val="84"/>
        </w:numPr>
        <w:rPr>
          <w:rFonts w:ascii="Arial" w:cs="Arial" w:eastAsia="Arial" w:hAnsi="Arial"/>
          <w:sz w:val="20"/>
          <w:szCs w:val="20"/>
          <w:color w:val="auto"/>
        </w:rPr>
      </w:pPr>
      <w:r>
        <w:rPr>
          <w:rFonts w:ascii="Arial" w:cs="Arial" w:eastAsia="Arial" w:hAnsi="Arial"/>
          <w:sz w:val="20"/>
          <w:szCs w:val="20"/>
          <w:color w:val="auto"/>
        </w:rPr>
        <w:t>one or more judgments or decrees against the Borrower or any of its Subsidiaries or any combination thereof aggregating in excess of $35,000,000, which judgment or decree (i) shall not be fully covered by insurance after taking into account any applicable deductibles and (ii) shall remain unpaid, unstayed on appeal, undischarged, unbonded or undismissed for a period of at least 30 consecutive days;</w:t>
      </w:r>
    </w:p>
    <w:p>
      <w:pPr>
        <w:spacing w:after="0" w:line="191" w:lineRule="exact"/>
        <w:rPr>
          <w:rFonts w:ascii="Arial" w:cs="Arial" w:eastAsia="Arial" w:hAnsi="Arial"/>
          <w:sz w:val="20"/>
          <w:szCs w:val="20"/>
          <w:color w:val="auto"/>
        </w:rPr>
      </w:pPr>
    </w:p>
    <w:p>
      <w:pPr>
        <w:ind w:firstLine="1304"/>
        <w:spacing w:after="0" w:line="260" w:lineRule="auto"/>
        <w:tabs>
          <w:tab w:leader="none" w:pos="1663" w:val="left"/>
        </w:tabs>
        <w:numPr>
          <w:ilvl w:val="0"/>
          <w:numId w:val="84"/>
        </w:numPr>
        <w:rPr>
          <w:rFonts w:ascii="Arial" w:cs="Arial" w:eastAsia="Arial" w:hAnsi="Arial"/>
          <w:sz w:val="20"/>
          <w:szCs w:val="20"/>
          <w:color w:val="auto"/>
        </w:rPr>
      </w:pPr>
      <w:r>
        <w:rPr>
          <w:rFonts w:ascii="Arial" w:cs="Arial" w:eastAsia="Arial" w:hAnsi="Arial"/>
          <w:sz w:val="20"/>
          <w:szCs w:val="20"/>
          <w:color w:val="auto"/>
        </w:rPr>
        <w:t>any Loan Document shall cease, for any reason, to be in full force and effect or the Borrower shall so assert in writing or shall disavow any of its obligations thereunder;</w:t>
      </w:r>
    </w:p>
    <w:p>
      <w:pPr>
        <w:spacing w:after="0" w:line="176" w:lineRule="exact"/>
        <w:rPr>
          <w:rFonts w:ascii="Arial" w:cs="Arial" w:eastAsia="Arial" w:hAnsi="Arial"/>
          <w:sz w:val="20"/>
          <w:szCs w:val="20"/>
          <w:color w:val="auto"/>
        </w:rPr>
      </w:pPr>
    </w:p>
    <w:p>
      <w:pPr>
        <w:ind w:firstLine="1304"/>
        <w:spacing w:after="0" w:line="260" w:lineRule="auto"/>
        <w:tabs>
          <w:tab w:leader="none" w:pos="1802" w:val="left"/>
        </w:tabs>
        <w:numPr>
          <w:ilvl w:val="0"/>
          <w:numId w:val="84"/>
        </w:numPr>
        <w:rPr>
          <w:rFonts w:ascii="Arial" w:cs="Arial" w:eastAsia="Arial" w:hAnsi="Arial"/>
          <w:sz w:val="20"/>
          <w:szCs w:val="20"/>
          <w:color w:val="auto"/>
        </w:rPr>
      </w:pPr>
      <w:r>
        <w:rPr>
          <w:rFonts w:ascii="Arial" w:cs="Arial" w:eastAsia="Arial" w:hAnsi="Arial"/>
          <w:sz w:val="20"/>
          <w:szCs w:val="20"/>
          <w:color w:val="auto"/>
        </w:rPr>
        <w:t>an ERISA Event shall have occurred that, in the opinion of the Required Lenders, when taken together with all other ERISA Events that have occurred, could reasonably be expected to result in a Material Adverse Effect;</w:t>
      </w:r>
    </w:p>
    <w:p>
      <w:pPr>
        <w:spacing w:after="0" w:line="176" w:lineRule="exact"/>
        <w:rPr>
          <w:rFonts w:ascii="Arial" w:cs="Arial" w:eastAsia="Arial" w:hAnsi="Arial"/>
          <w:sz w:val="20"/>
          <w:szCs w:val="20"/>
          <w:color w:val="auto"/>
        </w:rPr>
      </w:pPr>
    </w:p>
    <w:p>
      <w:pPr>
        <w:ind w:firstLine="1304"/>
        <w:spacing w:after="0" w:line="316" w:lineRule="auto"/>
        <w:tabs>
          <w:tab w:leader="none" w:pos="17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authorization or approval or other action by any Governmental Authority required for the execution, delivery or performance of any Loan Document shall be terminated, revoked or rescinded or shall otherwise no longer be in full force and effect;</w:t>
      </w:r>
    </w:p>
    <w:p>
      <w:pPr>
        <w:spacing w:after="0" w:line="129" w:lineRule="exact"/>
        <w:rPr>
          <w:rFonts w:ascii="Arial" w:cs="Arial" w:eastAsia="Arial" w:hAnsi="Arial"/>
          <w:sz w:val="18"/>
          <w:szCs w:val="18"/>
          <w:color w:val="auto"/>
        </w:rPr>
      </w:pPr>
    </w:p>
    <w:p>
      <w:pPr>
        <w:ind w:left="1720" w:hanging="416"/>
        <w:spacing w:after="0"/>
        <w:tabs>
          <w:tab w:leader="none" w:pos="17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 Change in Control shall occur; or</w:t>
      </w:r>
    </w:p>
    <w:p>
      <w:pPr>
        <w:spacing w:after="0" w:line="215" w:lineRule="exact"/>
        <w:rPr>
          <w:rFonts w:ascii="Arial" w:cs="Arial" w:eastAsia="Arial" w:hAnsi="Arial"/>
          <w:sz w:val="20"/>
          <w:szCs w:val="20"/>
          <w:color w:val="auto"/>
        </w:rPr>
      </w:pPr>
    </w:p>
    <w:p>
      <w:pPr>
        <w:ind w:left="1720" w:hanging="416"/>
        <w:spacing w:after="0"/>
        <w:tabs>
          <w:tab w:leader="none" w:pos="17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Borrower shall fail to own, directly or indirectly, substantially all of the assets of Minnesota Power;</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then, and in every such event (other than an event described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under the Loan</w:t>
      </w:r>
    </w:p>
    <w:p>
      <w:pPr>
        <w:spacing w:after="0" w:line="38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15" w:right="339" w:bottom="1440" w:gutter="0" w:footer="0" w:header="0"/>
        </w:sectPr>
      </w:pPr>
    </w:p>
    <w:bookmarkStart w:id="104" w:name="page105"/>
    <w:bookmarkEnd w:id="104"/>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Documents, shall become due and payable immediately, without presentment, demand, protest or other notice of any kind, all of which are hereby waived by the Borrower; and in case of any event described in </w:t>
      </w:r>
      <w:r>
        <w:rPr>
          <w:rFonts w:ascii="Arial" w:cs="Arial" w:eastAsia="Arial" w:hAnsi="Arial"/>
          <w:sz w:val="20"/>
          <w:szCs w:val="20"/>
          <w:u w:val="single" w:color="auto"/>
          <w:color w:val="auto"/>
        </w:rPr>
        <w:t>paragraph (i)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w:t>
      </w:r>
      <w:r>
        <w:rPr>
          <w:rFonts w:ascii="Arial" w:cs="Arial" w:eastAsia="Arial" w:hAnsi="Arial"/>
          <w:sz w:val="20"/>
          <w:szCs w:val="20"/>
          <w:color w:val="auto"/>
        </w:rPr>
        <w:t xml:space="preserve"> of this Article, the Commitments shall automatically terminate and the principal of the Loans then outstanding, together with accrued interest thereon and all fees and other obligations of the Borrower accrued under the Loan Documents, shall automatically become due and payable, without presentment, demand, protest or other notice of any kind, all of which are hereby waived by the Borrower.</w:t>
      </w:r>
    </w:p>
    <w:p>
      <w:pPr>
        <w:spacing w:after="0" w:line="194"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ADMINISTRATIVE AGENT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Appointment and Authority</w:t>
      </w:r>
      <w:r>
        <w:rPr>
          <w:rFonts w:ascii="Arial" w:cs="Arial" w:eastAsia="Arial" w:hAnsi="Arial"/>
          <w:sz w:val="19"/>
          <w:szCs w:val="19"/>
          <w:color w:val="auto"/>
        </w:rPr>
        <w:t>. Each of the Lenders hereby irrevocably appoints U.S. Bank National Association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otherwise provided in Section 9.6(c), the provisions of this Article IX are solely for the benefit of the Administrative Agent and the Lenders, and the Borrower shall not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9.2. </w:t>
      </w:r>
      <w:r>
        <w:rPr>
          <w:rFonts w:ascii="Arial" w:cs="Arial" w:eastAsia="Arial" w:hAnsi="Arial"/>
          <w:sz w:val="20"/>
          <w:szCs w:val="20"/>
          <w:u w:val="single" w:color="auto"/>
          <w:color w:val="auto"/>
        </w:rPr>
        <w:t>Rights as a Lender</w:t>
      </w:r>
      <w:r>
        <w:rPr>
          <w:rFonts w:ascii="Arial" w:cs="Arial" w:eastAsia="Arial" w:hAnsi="Arial"/>
          <w:sz w:val="20"/>
          <w:szCs w:val="20"/>
          <w:color w:val="auto"/>
        </w:rPr>
        <w:t>. The Person serving as the Administrative Agent hereunder has the same rights and powers in its capacity as a Lender as any other Lender and may exercise them as though it were not the Administrative Agent, and the term “Lender” or “Lenders,” unless otherwise expressly indicated or unless the context otherwise requires, includes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9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9.3.</w:t>
      </w:r>
      <w:r>
        <w:rPr>
          <w:sz w:val="20"/>
          <w:szCs w:val="20"/>
          <w:color w:val="auto"/>
        </w:rPr>
        <w:tab/>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216" w:lineRule="exact"/>
        <w:rPr>
          <w:sz w:val="20"/>
          <w:szCs w:val="20"/>
          <w:color w:val="auto"/>
        </w:rPr>
      </w:pPr>
    </w:p>
    <w:p>
      <w:pPr>
        <w:ind w:right="20" w:firstLine="1304"/>
        <w:spacing w:after="0" w:line="316" w:lineRule="auto"/>
        <w:tabs>
          <w:tab w:leader="none" w:pos="17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Administrative Agent has no duties or obligations except those expressly set forth herein and in the other Loan Documents, and its duties hereunder are administrative in nature. Without limiting the generality of the foregoing, the Administrative Agent:</w:t>
      </w:r>
    </w:p>
    <w:p>
      <w:pPr>
        <w:spacing w:after="0" w:line="129" w:lineRule="exact"/>
        <w:rPr>
          <w:rFonts w:ascii="Arial" w:cs="Arial" w:eastAsia="Arial" w:hAnsi="Arial"/>
          <w:sz w:val="18"/>
          <w:szCs w:val="18"/>
          <w:color w:val="auto"/>
        </w:rPr>
      </w:pPr>
    </w:p>
    <w:p>
      <w:pPr>
        <w:ind w:left="2420" w:hanging="468"/>
        <w:spacing w:after="0"/>
        <w:tabs>
          <w:tab w:leader="none" w:pos="2420" w:val="left"/>
        </w:tabs>
        <w:numPr>
          <w:ilvl w:val="1"/>
          <w:numId w:val="85"/>
        </w:numPr>
        <w:rPr>
          <w:rFonts w:ascii="Arial" w:cs="Arial" w:eastAsia="Arial" w:hAnsi="Arial"/>
          <w:sz w:val="19"/>
          <w:szCs w:val="19"/>
          <w:color w:val="auto"/>
        </w:rPr>
      </w:pPr>
      <w:r>
        <w:rPr>
          <w:rFonts w:ascii="Arial" w:cs="Arial" w:eastAsia="Arial" w:hAnsi="Arial"/>
          <w:sz w:val="19"/>
          <w:szCs w:val="19"/>
          <w:color w:val="auto"/>
        </w:rPr>
        <w:t>is not subject to any fiduciary or other implied duties, regardless of whether a Default has occurred and is</w:t>
      </w:r>
    </w:p>
    <w:p>
      <w:pPr>
        <w:spacing w:after="0" w:line="27"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199" w:lineRule="exact"/>
        <w:rPr>
          <w:rFonts w:ascii="Arial" w:cs="Arial" w:eastAsia="Arial" w:hAnsi="Arial"/>
          <w:sz w:val="19"/>
          <w:szCs w:val="19"/>
          <w:color w:val="auto"/>
        </w:rPr>
      </w:pPr>
    </w:p>
    <w:p>
      <w:pPr>
        <w:jc w:val="both"/>
        <w:ind w:left="1300" w:firstLine="652"/>
        <w:spacing w:after="0" w:line="263" w:lineRule="auto"/>
        <w:tabs>
          <w:tab w:leader="none" w:pos="2423" w:val="left"/>
        </w:tabs>
        <w:numPr>
          <w:ilvl w:val="1"/>
          <w:numId w:val="85"/>
        </w:numPr>
        <w:rPr>
          <w:rFonts w:ascii="Arial" w:cs="Arial" w:eastAsia="Arial" w:hAnsi="Arial"/>
          <w:sz w:val="19"/>
          <w:szCs w:val="19"/>
          <w:color w:val="auto"/>
        </w:rPr>
      </w:pPr>
      <w:r>
        <w:rPr>
          <w:rFonts w:ascii="Arial" w:cs="Arial" w:eastAsia="Arial" w:hAnsi="Arial"/>
          <w:sz w:val="19"/>
          <w:szCs w:val="19"/>
          <w:color w:val="auto"/>
        </w:rPr>
        <w:t>has no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is expressly provided for herein or in the other Loan Documents); provided that the</w:t>
      </w:r>
    </w:p>
    <w:p>
      <w:pPr>
        <w:spacing w:after="0" w:line="3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115" w:right="339" w:bottom="1440" w:gutter="0" w:footer="0" w:header="0"/>
        </w:sectPr>
      </w:pPr>
    </w:p>
    <w:bookmarkStart w:id="105" w:name="page106"/>
    <w:bookmarkEnd w:id="105"/>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ind w:left="1300"/>
        <w:spacing w:after="0" w:line="282" w:lineRule="auto"/>
        <w:rPr>
          <w:sz w:val="20"/>
          <w:szCs w:val="20"/>
          <w:color w:val="auto"/>
        </w:rPr>
      </w:pPr>
      <w:r>
        <w:rPr>
          <w:rFonts w:ascii="Arial" w:cs="Arial" w:eastAsia="Arial" w:hAnsi="Arial"/>
          <w:sz w:val="18"/>
          <w:szCs w:val="18"/>
          <w:color w:val="auto"/>
        </w:rPr>
        <w:t>Administrative Agent is not required to take any action that, in the opinion of the Administrative Agent or its counsel, could expose the Administrative Agent to liability or is contrary to any Loan Document or applicable law, including for the avoidance of doubt any action that could be in violation of the automatic stay under any Debtor Relief Law or that could effect a forfeiture, modification or termination of property of a Defaulting Lender in violation of any Debtor Relief Law; and</w:t>
      </w:r>
    </w:p>
    <w:p>
      <w:pPr>
        <w:spacing w:after="0" w:line="161" w:lineRule="exact"/>
        <w:rPr>
          <w:sz w:val="20"/>
          <w:szCs w:val="20"/>
          <w:color w:val="auto"/>
        </w:rPr>
      </w:pPr>
    </w:p>
    <w:p>
      <w:pPr>
        <w:jc w:val="both"/>
        <w:ind w:left="1300" w:firstLine="652"/>
        <w:spacing w:after="0" w:line="291" w:lineRule="auto"/>
        <w:tabs>
          <w:tab w:leader="none" w:pos="2438" w:val="left"/>
        </w:tabs>
        <w:numPr>
          <w:ilvl w:val="2"/>
          <w:numId w:val="86"/>
        </w:numPr>
        <w:rPr>
          <w:rFonts w:ascii="Arial" w:cs="Arial" w:eastAsia="Arial" w:hAnsi="Arial"/>
          <w:sz w:val="18"/>
          <w:szCs w:val="18"/>
          <w:color w:val="auto"/>
        </w:rPr>
      </w:pPr>
      <w:r>
        <w:rPr>
          <w:rFonts w:ascii="Arial" w:cs="Arial" w:eastAsia="Arial" w:hAnsi="Arial"/>
          <w:sz w:val="18"/>
          <w:szCs w:val="18"/>
          <w:color w:val="auto"/>
        </w:rPr>
        <w:t>does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51" w:lineRule="exact"/>
        <w:rPr>
          <w:rFonts w:ascii="Arial" w:cs="Arial" w:eastAsia="Arial" w:hAnsi="Arial"/>
          <w:sz w:val="18"/>
          <w:szCs w:val="18"/>
          <w:color w:val="auto"/>
        </w:rPr>
      </w:pPr>
    </w:p>
    <w:p>
      <w:pPr>
        <w:jc w:val="both"/>
        <w:ind w:firstLine="1304"/>
        <w:spacing w:after="0" w:line="260" w:lineRule="auto"/>
        <w:tabs>
          <w:tab w:leader="none" w:pos="1706"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The Administrative Agent shall not be liable for any action taken or not taken by it (i) with the consent or at the request of the Required Lenders (or such other number or percentage of the Lenders as is necessary, or as the Administrative Agent believes in good faith is necessary),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in writing by the Borrower or a Lender.</w:t>
      </w:r>
    </w:p>
    <w:p>
      <w:pPr>
        <w:spacing w:after="0" w:line="180" w:lineRule="exact"/>
        <w:rPr>
          <w:rFonts w:ascii="Arial" w:cs="Arial" w:eastAsia="Arial" w:hAnsi="Arial"/>
          <w:sz w:val="19"/>
          <w:szCs w:val="19"/>
          <w:color w:val="auto"/>
        </w:rPr>
      </w:pPr>
    </w:p>
    <w:p>
      <w:pPr>
        <w:jc w:val="both"/>
        <w:ind w:firstLine="1304"/>
        <w:spacing w:after="0" w:line="303" w:lineRule="auto"/>
        <w:tabs>
          <w:tab w:leader="none" w:pos="1709"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Administrative Agent is not responsible for and has no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w:t>
      </w:r>
    </w:p>
    <w:p>
      <w:pPr>
        <w:spacing w:after="0" w:line="2" w:lineRule="exact"/>
        <w:rPr>
          <w:rFonts w:ascii="Arial" w:cs="Arial" w:eastAsia="Arial" w:hAnsi="Arial"/>
          <w:sz w:val="16"/>
          <w:szCs w:val="16"/>
          <w:color w:val="auto"/>
        </w:rPr>
      </w:pPr>
    </w:p>
    <w:p>
      <w:pPr>
        <w:ind w:firstLine="8"/>
        <w:spacing w:after="0" w:line="244" w:lineRule="auto"/>
        <w:tabs>
          <w:tab w:leader="none" w:pos="285"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satisfaction of any condition set forth in Article V or elsewhere herein, other than to confirm receipt of items expressly required to be delivered to the Administrative Agent.</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The Administrative Agent may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has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Section 9.5. Delegation of Duties. The Administrative Agent may perform any and all of its duties and exercise its rights and powers hereunder or under any other Loan Document by or through any one or more sub-agents appointed by the Administrative Agent. The Administrative Agent and any such</w:t>
      </w: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115" w:right="339" w:bottom="1440" w:gutter="0" w:footer="0" w:header="0"/>
        </w:sectPr>
      </w:pPr>
    </w:p>
    <w:bookmarkStart w:id="106" w:name="page107"/>
    <w:bookmarkEnd w:id="106"/>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sub-agent may perform any and all of their duties and exercise their rights and powers by or through their respective Related Parties. The exculpatory provisions of this Article IX apply to any such sub-agent and to the Related Parties of the Administrative Agent and any such sub-agent and apply to their respective activities in connection with the syndication of the facilities hereunder as well as activities as Administrative Agent. The Administrative Agent is not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7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color w:val="auto"/>
        </w:rPr>
        <w:t>Section 9.6.</w:t>
      </w:r>
      <w:r>
        <w:rPr>
          <w:sz w:val="20"/>
          <w:szCs w:val="20"/>
          <w:color w:val="auto"/>
        </w:rPr>
        <w:tab/>
      </w:r>
      <w:r>
        <w:rPr>
          <w:rFonts w:ascii="Arial" w:cs="Arial" w:eastAsia="Arial" w:hAnsi="Arial"/>
          <w:sz w:val="18"/>
          <w:szCs w:val="18"/>
          <w:color w:val="auto"/>
        </w:rPr>
        <w:t>Resignation of Administrative Agent.</w:t>
      </w:r>
    </w:p>
    <w:p>
      <w:pPr>
        <w:spacing w:after="0" w:line="216" w:lineRule="exact"/>
        <w:rPr>
          <w:sz w:val="20"/>
          <w:szCs w:val="20"/>
          <w:color w:val="auto"/>
        </w:rPr>
      </w:pPr>
    </w:p>
    <w:p>
      <w:pPr>
        <w:jc w:val="both"/>
        <w:ind w:firstLine="1304"/>
        <w:spacing w:after="0" w:line="274" w:lineRule="auto"/>
        <w:tabs>
          <w:tab w:leader="none" w:pos="1709"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Administrative Agent may at any time give notice of its resignation to the Lenders and the Borrower. Upon receipt of any such notice of resignation, the Required Lenders may, in consultation with the Borrower, appoint a successor. If no such successor has been so appointed by the Required Lenders and has accepted such appointment 30 days after the retiring Administrative Agent gives notice of its resignation (or such earlier day as is agreed by the Required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then the retiring Administrative Agent may (but is not obligated to), on behalf of the Lenders, appoint a successor Administrative Agent; provided that in no event may any such successor Administrative Agent be a Defaulting Lender. Whether or not a successor has been appointed, such resignation shall become effective in accordance with such notice on the Resignation Effective Date</w:t>
      </w:r>
    </w:p>
    <w:p>
      <w:pPr>
        <w:spacing w:after="0" w:line="168" w:lineRule="exact"/>
        <w:rPr>
          <w:rFonts w:ascii="Arial" w:cs="Arial" w:eastAsia="Arial" w:hAnsi="Arial"/>
          <w:sz w:val="18"/>
          <w:szCs w:val="18"/>
          <w:color w:val="auto"/>
        </w:rPr>
      </w:pPr>
    </w:p>
    <w:p>
      <w:pPr>
        <w:jc w:val="both"/>
        <w:ind w:firstLine="1304"/>
        <w:spacing w:after="0" w:line="259" w:lineRule="auto"/>
        <w:tabs>
          <w:tab w:leader="none" w:pos="1706" w:val="left"/>
        </w:tabs>
        <w:numPr>
          <w:ilvl w:val="1"/>
          <w:numId w:val="89"/>
        </w:numPr>
        <w:rPr>
          <w:rFonts w:ascii="Arial" w:cs="Arial" w:eastAsia="Arial" w:hAnsi="Arial"/>
          <w:sz w:val="19"/>
          <w:szCs w:val="19"/>
          <w:color w:val="auto"/>
        </w:rPr>
      </w:pPr>
      <w:r>
        <w:rPr>
          <w:rFonts w:ascii="Arial" w:cs="Arial" w:eastAsia="Arial" w:hAnsi="Arial"/>
          <w:sz w:val="19"/>
          <w:szCs w:val="19"/>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has been so appointed by the Required Lenders and has accepted such appointment 30 days after the Administrative Agent receives notice of its removal (or such earlier day as is agreed by the Required Lenders) (the “</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then such removal shall nonetheless become effective in accordance with such notice on the Removal Effective Date.</w:t>
      </w:r>
    </w:p>
    <w:p>
      <w:pPr>
        <w:spacing w:after="0" w:line="178" w:lineRule="exact"/>
        <w:rPr>
          <w:rFonts w:ascii="Arial" w:cs="Arial" w:eastAsia="Arial" w:hAnsi="Arial"/>
          <w:sz w:val="19"/>
          <w:szCs w:val="19"/>
          <w:color w:val="auto"/>
        </w:rPr>
      </w:pPr>
    </w:p>
    <w:p>
      <w:pPr>
        <w:jc w:val="both"/>
        <w:ind w:firstLine="1304"/>
        <w:spacing w:after="0" w:line="275" w:lineRule="auto"/>
        <w:tabs>
          <w:tab w:leader="none" w:pos="1817" w:val="left"/>
        </w:tabs>
        <w:numPr>
          <w:ilvl w:val="1"/>
          <w:numId w:val="89"/>
        </w:numPr>
        <w:rPr>
          <w:rFonts w:ascii="Arial" w:cs="Arial" w:eastAsia="Arial" w:hAnsi="Arial"/>
          <w:sz w:val="18"/>
          <w:szCs w:val="18"/>
          <w:color w:val="auto"/>
        </w:rPr>
      </w:pPr>
      <w:r>
        <w:rPr>
          <w:rFonts w:ascii="Arial" w:cs="Arial" w:eastAsia="Arial" w:hAnsi="Arial"/>
          <w:sz w:val="18"/>
          <w:szCs w:val="18"/>
          <w:color w:val="auto"/>
        </w:rPr>
        <w:t>With effect from the Resignation Effective Date or the Removal Effective Date (as applicable) (i) the retiring or removed Administrative Agent shall be discharged from its duties and obligations hereunder and under the other Loan Documents and</w:t>
      </w:r>
    </w:p>
    <w:p>
      <w:pPr>
        <w:jc w:val="both"/>
        <w:ind w:firstLine="8"/>
        <w:spacing w:after="0" w:line="253" w:lineRule="auto"/>
        <w:tabs>
          <w:tab w:leader="none" w:pos="348" w:val="left"/>
        </w:tabs>
        <w:numPr>
          <w:ilvl w:val="0"/>
          <w:numId w:val="90"/>
        </w:numPr>
        <w:rPr>
          <w:rFonts w:ascii="Arial" w:cs="Arial" w:eastAsia="Arial" w:hAnsi="Arial"/>
          <w:sz w:val="19"/>
          <w:szCs w:val="19"/>
          <w:color w:val="auto"/>
        </w:rPr>
      </w:pPr>
      <w:r>
        <w:rPr>
          <w:rFonts w:ascii="Arial" w:cs="Arial" w:eastAsia="Arial" w:hAnsi="Arial"/>
          <w:sz w:val="19"/>
          <w:szCs w:val="19"/>
          <w:color w:val="auto"/>
        </w:rPr>
        <w:t>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IX and Section 10.3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115" w:right="339" w:bottom="1440" w:gutter="0" w:footer="0" w:header="0"/>
        </w:sectPr>
      </w:pPr>
    </w:p>
    <w:bookmarkStart w:id="107" w:name="page108"/>
    <w:bookmarkEnd w:id="107"/>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Non-Reliance on Agents and Other Lenders</w:t>
      </w:r>
      <w:r>
        <w:rPr>
          <w:rFonts w:ascii="Arial" w:cs="Arial" w:eastAsia="Arial" w:hAnsi="Arial"/>
          <w:sz w:val="18"/>
          <w:szCs w:val="18"/>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from time to time deems appropriate, continue to make its own decisions in taking or not taking action under or based upon this Agreement, any other Loan Document or any related agreement or any document furnished hereunder or thereunder.</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9.8. </w:t>
      </w:r>
      <w:r>
        <w:rPr>
          <w:rFonts w:ascii="Arial" w:cs="Arial" w:eastAsia="Arial" w:hAnsi="Arial"/>
          <w:sz w:val="20"/>
          <w:szCs w:val="20"/>
          <w:u w:val="single" w:color="auto"/>
          <w:color w:val="auto"/>
        </w:rPr>
        <w:t>No Other Duties</w:t>
      </w:r>
      <w:r>
        <w:rPr>
          <w:rFonts w:ascii="Arial" w:cs="Arial" w:eastAsia="Arial" w:hAnsi="Arial"/>
          <w:sz w:val="20"/>
          <w:szCs w:val="20"/>
          <w:color w:val="auto"/>
        </w:rPr>
        <w:t>. Anything herein to the contrary notwithstanding, none of the Arranger nor the Co-Documentation Agents has any powers, duties or responsibilities under this Agreement or any of the other Loan Documents, except in its capacity, as applicable, as the Administrative Agent or a Lender.</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9.9. </w:t>
      </w:r>
      <w:r>
        <w:rPr>
          <w:rFonts w:ascii="Arial" w:cs="Arial" w:eastAsia="Arial" w:hAnsi="Arial"/>
          <w:sz w:val="20"/>
          <w:szCs w:val="20"/>
          <w:u w:val="single" w:color="auto"/>
          <w:color w:val="auto"/>
        </w:rPr>
        <w:t>Administrative Agent May File Proofs of Claim</w:t>
      </w:r>
      <w:r>
        <w:rPr>
          <w:rFonts w:ascii="Arial" w:cs="Arial" w:eastAsia="Arial" w:hAnsi="Arial"/>
          <w:sz w:val="20"/>
          <w:szCs w:val="20"/>
          <w:color w:val="auto"/>
        </w:rPr>
        <w:t>. In case of the pendency of any proceeding under any Debtor Relief Law, the Administrative Agent (irrespective of whether the principal of any Loan is then due and payable as herein expressed or by declaration or otherwise and irrespective of whether the Administrative Agent has made any demand on the Borrower) shall be entitled and empowered (but not obligated) by intervention in such proceeding or otherwise:</w:t>
      </w:r>
    </w:p>
    <w:p>
      <w:pPr>
        <w:spacing w:after="0" w:line="191" w:lineRule="exact"/>
        <w:rPr>
          <w:sz w:val="20"/>
          <w:szCs w:val="20"/>
          <w:color w:val="auto"/>
        </w:rPr>
      </w:pPr>
    </w:p>
    <w:p>
      <w:pPr>
        <w:jc w:val="both"/>
        <w:ind w:firstLine="1304"/>
        <w:spacing w:after="0" w:line="260" w:lineRule="auto"/>
        <w:tabs>
          <w:tab w:leader="none" w:pos="1736" w:val="left"/>
        </w:tabs>
        <w:numPr>
          <w:ilvl w:val="0"/>
          <w:numId w:val="91"/>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and all other obligations that are owing and unpaid and to file such other documents as may be necessary or advisable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allowed in such judicial proceeding; and</w:t>
      </w:r>
    </w:p>
    <w:p>
      <w:pPr>
        <w:spacing w:after="0" w:line="180" w:lineRule="exact"/>
        <w:rPr>
          <w:rFonts w:ascii="Arial" w:cs="Arial" w:eastAsia="Arial" w:hAnsi="Arial"/>
          <w:sz w:val="19"/>
          <w:szCs w:val="19"/>
          <w:color w:val="auto"/>
        </w:rPr>
      </w:pPr>
    </w:p>
    <w:p>
      <w:pPr>
        <w:ind w:left="1800" w:hanging="496"/>
        <w:spacing w:after="0"/>
        <w:tabs>
          <w:tab w:leader="none" w:pos="1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consents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 10.3</w:t>
      </w:r>
      <w:r>
        <w:rPr>
          <w:rFonts w:ascii="Arial" w:cs="Arial" w:eastAsia="Arial" w:hAnsi="Arial"/>
          <w:sz w:val="20"/>
          <w:szCs w:val="20"/>
          <w:color w:val="auto"/>
        </w:rPr>
        <w:t>.</w:t>
      </w:r>
    </w:p>
    <w:p>
      <w:pPr>
        <w:spacing w:after="0" w:line="19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9.10.</w:t>
      </w:r>
      <w:r>
        <w:rPr>
          <w:sz w:val="20"/>
          <w:szCs w:val="20"/>
          <w:color w:val="auto"/>
        </w:rPr>
        <w:tab/>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46" w:lineRule="auto"/>
        <w:tabs>
          <w:tab w:leader="none" w:pos="1844" w:val="left"/>
        </w:tabs>
        <w:numPr>
          <w:ilvl w:val="0"/>
          <w:numId w:val="92"/>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91" w:lineRule="exact"/>
        <w:rPr>
          <w:rFonts w:ascii="Arial" w:cs="Arial" w:eastAsia="Arial" w:hAnsi="Arial"/>
          <w:sz w:val="20"/>
          <w:szCs w:val="20"/>
          <w:color w:val="auto"/>
        </w:rPr>
      </w:pPr>
    </w:p>
    <w:p>
      <w:pPr>
        <w:ind w:left="1300" w:firstLine="652"/>
        <w:spacing w:after="0" w:line="260" w:lineRule="auto"/>
        <w:tabs>
          <w:tab w:leader="none" w:pos="2355" w:val="left"/>
        </w:tabs>
        <w:numPr>
          <w:ilvl w:val="1"/>
          <w:numId w:val="92"/>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the Plan Asset Regulations of one or more Benefit Plans with respect to such Lender’s entrance</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115"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4</w:t>
      </w: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into, participation in, administration of and performance of the Loans, the Commitments or this Agreement;</w:t>
      </w:r>
    </w:p>
    <w:p>
      <w:pPr>
        <w:spacing w:after="0" w:line="216" w:lineRule="exact"/>
        <w:rPr>
          <w:sz w:val="20"/>
          <w:szCs w:val="20"/>
          <w:color w:val="auto"/>
        </w:rPr>
      </w:pPr>
    </w:p>
    <w:p>
      <w:pPr>
        <w:jc w:val="both"/>
        <w:ind w:left="1300" w:firstLine="652"/>
        <w:spacing w:after="0" w:line="257" w:lineRule="auto"/>
        <w:tabs>
          <w:tab w:leader="none" w:pos="2450"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84" w:lineRule="exact"/>
        <w:rPr>
          <w:rFonts w:ascii="Arial" w:cs="Arial" w:eastAsia="Arial" w:hAnsi="Arial"/>
          <w:sz w:val="19"/>
          <w:szCs w:val="19"/>
          <w:color w:val="auto"/>
        </w:rPr>
      </w:pPr>
    </w:p>
    <w:p>
      <w:pPr>
        <w:jc w:val="both"/>
        <w:ind w:left="1300" w:firstLine="652"/>
        <w:spacing w:after="0" w:line="274" w:lineRule="auto"/>
        <w:tabs>
          <w:tab w:leader="none" w:pos="2519"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68" w:lineRule="exact"/>
        <w:rPr>
          <w:rFonts w:ascii="Arial" w:cs="Arial" w:eastAsia="Arial" w:hAnsi="Arial"/>
          <w:sz w:val="18"/>
          <w:szCs w:val="18"/>
          <w:color w:val="auto"/>
        </w:rPr>
      </w:pPr>
    </w:p>
    <w:p>
      <w:pPr>
        <w:ind w:left="1300" w:firstLine="652"/>
        <w:spacing w:after="0" w:line="260" w:lineRule="auto"/>
        <w:tabs>
          <w:tab w:leader="none" w:pos="2508" w:val="left"/>
        </w:tabs>
        <w:numPr>
          <w:ilvl w:val="1"/>
          <w:numId w:val="93"/>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auto"/>
        </w:rPr>
      </w:pPr>
    </w:p>
    <w:p>
      <w:pPr>
        <w:jc w:val="both"/>
        <w:ind w:firstLine="1304"/>
        <w:spacing w:after="0" w:line="257" w:lineRule="auto"/>
        <w:tabs>
          <w:tab w:leader="none" w:pos="1733"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 addition, unless either (i) clause (i) of Section 9.10(a) is true with respect to a Lender or (ii) a Lender has provided another representation, warranty and covenant in accordance with clause (iv) of Section 9.10(a),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ARTICLE 10.</w:t>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MISCELLANEOUS</w:t>
      </w:r>
    </w:p>
    <w:p>
      <w:pPr>
        <w:spacing w:after="0" w:line="20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50" w:lineRule="auto"/>
        <w:tabs>
          <w:tab w:leader="none" w:pos="1858"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xml:space="preserve">. Except in the case of notices and other communications expressly permitted to be given by telephone (and except as provided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below), all notices and other communications provided for herein shall be in writing and shall be delivered by hand or</w:t>
      </w: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15" w:right="339" w:bottom="1440" w:gutter="0" w:footer="0" w:header="0"/>
        </w:sectPr>
      </w:pPr>
    </w:p>
    <w:bookmarkStart w:id="109" w:name="page110"/>
    <w:bookmarkEnd w:id="109"/>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overnight courier service, mailed by certified or registered mail or sent by facsimile (or e-mail in accordance with </w:t>
      </w:r>
      <w:r>
        <w:rPr>
          <w:rFonts w:ascii="Arial" w:cs="Arial" w:eastAsia="Arial" w:hAnsi="Arial"/>
          <w:sz w:val="20"/>
          <w:szCs w:val="20"/>
          <w:u w:val="single" w:color="auto"/>
          <w:color w:val="auto"/>
        </w:rPr>
        <w:t>Section 10.1(b)</w:t>
      </w:r>
      <w:r>
        <w:rPr>
          <w:rFonts w:ascii="Arial" w:cs="Arial" w:eastAsia="Arial" w:hAnsi="Arial"/>
          <w:sz w:val="20"/>
          <w:szCs w:val="20"/>
          <w:color w:val="auto"/>
        </w:rPr>
        <w:t xml:space="preserve"> below) as follows:</w:t>
      </w:r>
    </w:p>
    <w:p>
      <w:pPr>
        <w:spacing w:after="0" w:line="177" w:lineRule="exact"/>
        <w:rPr>
          <w:sz w:val="20"/>
          <w:szCs w:val="20"/>
          <w:color w:val="auto"/>
        </w:rPr>
      </w:pPr>
    </w:p>
    <w:p>
      <w:pPr>
        <w:ind w:left="1300" w:right="20" w:firstLine="652"/>
        <w:spacing w:after="0" w:line="260" w:lineRule="auto"/>
        <w:tabs>
          <w:tab w:leader="none" w:pos="2436"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if to the Borrower, to it at 30 West Superior Street, Duluth, Minnesota, Attention of: Patrick L. Cutshall, Treasurer, Phone: 218-723-3978, Fax: 218-723-3912, Email: </w:t>
      </w:r>
      <w:r>
        <w:rPr>
          <w:rFonts w:ascii="Arial" w:cs="Arial" w:eastAsia="Arial" w:hAnsi="Arial"/>
          <w:sz w:val="20"/>
          <w:szCs w:val="20"/>
          <w:u w:val="single" w:color="auto"/>
          <w:color w:val="0000FF"/>
        </w:rPr>
        <w:t>pcutshall@allete.com</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300" w:firstLine="652"/>
        <w:spacing w:after="0" w:line="260" w:lineRule="auto"/>
        <w:tabs>
          <w:tab w:leader="none" w:pos="2504"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if to the Administrative Agent, to it at 800 Nicollet Mall, Minneapolis, MN 55402, Attention of: Karen Wallace, Agency Specialist, Phone: 612-303-3637, Email: </w:t>
      </w:r>
      <w:r>
        <w:rPr>
          <w:rFonts w:ascii="Arial" w:cs="Arial" w:eastAsia="Arial" w:hAnsi="Arial"/>
          <w:sz w:val="20"/>
          <w:szCs w:val="20"/>
          <w:u w:val="single" w:color="auto"/>
          <w:color w:val="0000FF"/>
        </w:rPr>
        <w:t>karen.wallace@usbank.com</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2700" w:hanging="748"/>
        <w:spacing w:after="0"/>
        <w:tabs>
          <w:tab w:leader="none" w:pos="2700" w:val="left"/>
        </w:tabs>
        <w:numPr>
          <w:ilvl w:val="0"/>
          <w:numId w:val="96"/>
        </w:numPr>
        <w:rPr>
          <w:rFonts w:ascii="Arial" w:cs="Arial" w:eastAsia="Arial" w:hAnsi="Arial"/>
          <w:sz w:val="20"/>
          <w:szCs w:val="20"/>
          <w:color w:val="auto"/>
        </w:rPr>
      </w:pPr>
      <w:r>
        <w:rPr>
          <w:rFonts w:ascii="Arial" w:cs="Arial" w:eastAsia="Arial" w:hAnsi="Arial"/>
          <w:sz w:val="20"/>
          <w:szCs w:val="20"/>
          <w:color w:val="auto"/>
        </w:rPr>
        <w:t>if to any other Credit Party, to it at its address (or facsimile number) set forth in its Administrative</w:t>
      </w:r>
    </w:p>
    <w:p>
      <w:pPr>
        <w:spacing w:after="0" w:line="15"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Questionnaire.</w:t>
      </w:r>
    </w:p>
    <w:p>
      <w:pPr>
        <w:spacing w:after="0" w:line="20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or Approved Electronic Platforms to the extent provided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below, shall be effective as provided in such </w:t>
      </w:r>
      <w:r>
        <w:rPr>
          <w:rFonts w:ascii="Arial" w:cs="Arial" w:eastAsia="Arial" w:hAnsi="Arial"/>
          <w:sz w:val="20"/>
          <w:szCs w:val="20"/>
          <w:u w:val="single" w:color="auto"/>
          <w:color w:val="auto"/>
        </w:rPr>
        <w:t>paragraph (b)</w:t>
      </w:r>
      <w:r>
        <w:rPr>
          <w:rFonts w:ascii="Arial" w:cs="Arial" w:eastAsia="Arial" w:hAnsi="Arial"/>
          <w:sz w:val="20"/>
          <w:szCs w:val="20"/>
          <w:color w:val="auto"/>
        </w:rPr>
        <w:t>.</w:t>
      </w:r>
    </w:p>
    <w:p>
      <w:pPr>
        <w:spacing w:after="0" w:line="194" w:lineRule="exact"/>
        <w:rPr>
          <w:sz w:val="20"/>
          <w:szCs w:val="20"/>
          <w:color w:val="auto"/>
        </w:rPr>
      </w:pPr>
    </w:p>
    <w:p>
      <w:pPr>
        <w:jc w:val="both"/>
        <w:ind w:firstLine="1304"/>
        <w:spacing w:after="0" w:line="321" w:lineRule="auto"/>
        <w:tabs>
          <w:tab w:leader="none" w:pos="1706"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hereunder may be delivered or furnished by using Approved Electronic Platforms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pursuant to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33" w:lineRule="exact"/>
        <w:rPr>
          <w:sz w:val="20"/>
          <w:szCs w:val="20"/>
          <w:color w:val="auto"/>
        </w:rPr>
      </w:pPr>
    </w:p>
    <w:p>
      <w:pPr>
        <w:jc w:val="both"/>
        <w:ind w:firstLine="1296"/>
        <w:spacing w:after="0" w:line="232" w:lineRule="exact"/>
        <w:rPr>
          <w:sz w:val="20"/>
          <w:szCs w:val="20"/>
          <w:color w:val="auto"/>
        </w:rPr>
      </w:pPr>
      <w:r>
        <w:rPr>
          <w:rFonts w:ascii="Arial" w:cs="Arial" w:eastAsia="Arial" w:hAnsi="Arial"/>
          <w:sz w:val="18"/>
          <w:szCs w:val="18"/>
          <w:color w:val="auto"/>
        </w:rPr>
        <w:t>Unless the Administrative Agent otherwise prescribes, (i) notices and other communications sent to an e</w:t>
      </w:r>
      <w:r>
        <w:rPr>
          <w:rFonts w:ascii="MS PGothic" w:cs="MS PGothic" w:eastAsia="MS PGothic" w:hAnsi="MS PGothic"/>
          <w:sz w:val="18"/>
          <w:szCs w:val="18"/>
          <w:color w:val="auto"/>
        </w:rPr>
        <w:t>‑</w:t>
      </w:r>
      <w:r>
        <w:rPr>
          <w:rFonts w:ascii="Arial" w:cs="Arial" w:eastAsia="Arial" w:hAnsi="Arial"/>
          <w:sz w:val="18"/>
          <w:szCs w:val="18"/>
          <w:color w:val="auto"/>
        </w:rPr>
        <w:t>mail address shall be deemed received upon the sender’s receipt of an acknowledgement from the intended recipient (such as by the “return receipt requested” function, as available, return e</w:t>
      </w:r>
      <w:r>
        <w:rPr>
          <w:rFonts w:ascii="MS PGothic" w:cs="MS PGothic" w:eastAsia="MS PGothic" w:hAnsi="MS PGothic"/>
          <w:sz w:val="18"/>
          <w:szCs w:val="18"/>
          <w:color w:val="auto"/>
        </w:rPr>
        <w:t>‑</w:t>
      </w:r>
      <w:r>
        <w:rPr>
          <w:rFonts w:ascii="Arial" w:cs="Arial" w:eastAsia="Arial" w:hAnsi="Arial"/>
          <w:sz w:val="18"/>
          <w:szCs w:val="18"/>
          <w:color w:val="auto"/>
        </w:rPr>
        <w:t xml:space="preserv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w:t>
      </w:r>
      <w:r>
        <w:rPr>
          <w:rFonts w:ascii="MS PGothic" w:cs="MS PGothic" w:eastAsia="MS PGothic" w:hAnsi="MS PGothic"/>
          <w:sz w:val="18"/>
          <w:szCs w:val="18"/>
          <w:color w:val="auto"/>
        </w:rPr>
        <w:t>‑</w:t>
      </w:r>
      <w:r>
        <w:rPr>
          <w:rFonts w:ascii="Arial" w:cs="Arial" w:eastAsia="Arial" w:hAnsi="Arial"/>
          <w:sz w:val="18"/>
          <w:szCs w:val="18"/>
          <w:color w:val="auto"/>
        </w:rPr>
        <w:t xml:space="preserv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6.2</w:t>
      </w:r>
      <w:r>
        <w:rPr>
          <w:rFonts w:ascii="Arial" w:cs="Arial" w:eastAsia="Arial" w:hAnsi="Arial"/>
          <w:sz w:val="20"/>
          <w:szCs w:val="20"/>
          <w:color w:val="auto"/>
        </w:rPr>
        <w:t>, the Borrower’s website is www.allete.com.</w:t>
      </w:r>
    </w:p>
    <w:p>
      <w:pPr>
        <w:spacing w:after="0" w:line="216" w:lineRule="exact"/>
        <w:rPr>
          <w:sz w:val="20"/>
          <w:szCs w:val="20"/>
          <w:color w:val="auto"/>
        </w:rPr>
      </w:pPr>
    </w:p>
    <w:p>
      <w:pPr>
        <w:ind w:firstLine="1304"/>
        <w:spacing w:after="0" w:line="260" w:lineRule="auto"/>
        <w:tabs>
          <w:tab w:leader="none" w:pos="1696"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xml:space="preserve"> Any party hereto may change its address or facsimile number or e-mail address for notices and other communications hereunder by notice to the other parties hereto.</w:t>
      </w:r>
    </w:p>
    <w:p>
      <w:pPr>
        <w:spacing w:after="0" w:line="17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15"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0"/>
          <w:szCs w:val="20"/>
          <w:b w:val="1"/>
          <w:bCs w:val="1"/>
          <w:color w:val="auto"/>
        </w:rPr>
        <w:t>Exhibit 4</w:t>
      </w:r>
    </w:p>
    <w:p>
      <w:pPr>
        <w:spacing w:after="0" w:line="223" w:lineRule="exact"/>
        <w:rPr>
          <w:sz w:val="20"/>
          <w:szCs w:val="20"/>
          <w:color w:val="auto"/>
        </w:rPr>
      </w:pPr>
    </w:p>
    <w:p>
      <w:pPr>
        <w:jc w:val="both"/>
        <w:ind w:firstLine="1304"/>
        <w:spacing w:after="0" w:line="273" w:lineRule="auto"/>
        <w:tabs>
          <w:tab w:leader="none" w:pos="1736"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No failure or delay by any Credit Party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Credit Parties under the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and then such waiver or consent shall be effective only in the specific instance and for the purpose for which given. Without limiting the generality of the foregoing, the making of a Loan shall not be construed as a waiver of any Default, regardless of whether any Credit Party may have had notice or knowledge of such Default at the time.</w:t>
      </w:r>
    </w:p>
    <w:p>
      <w:pPr>
        <w:spacing w:after="0" w:line="168" w:lineRule="exact"/>
        <w:rPr>
          <w:rFonts w:ascii="Arial" w:cs="Arial" w:eastAsia="Arial" w:hAnsi="Arial"/>
          <w:sz w:val="18"/>
          <w:szCs w:val="18"/>
          <w:color w:val="auto"/>
        </w:rPr>
      </w:pPr>
    </w:p>
    <w:p>
      <w:pPr>
        <w:jc w:val="both"/>
        <w:ind w:firstLine="1304"/>
        <w:spacing w:after="0" w:line="272" w:lineRule="auto"/>
        <w:tabs>
          <w:tab w:leader="none" w:pos="17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10.2(c)</w:t>
      </w:r>
      <w:r>
        <w:rPr>
          <w:rFonts w:ascii="Arial" w:cs="Arial" w:eastAsia="Arial" w:hAnsi="Arial"/>
          <w:sz w:val="18"/>
          <w:szCs w:val="18"/>
          <w:color w:val="auto"/>
        </w:rPr>
        <w:t xml:space="preserve"> below, neither any Loan Document nor any provision thereof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w:t>
      </w:r>
    </w:p>
    <w:p>
      <w:pPr>
        <w:jc w:val="both"/>
        <w:ind w:firstLine="8"/>
        <w:spacing w:after="0" w:line="253" w:lineRule="auto"/>
        <w:tabs>
          <w:tab w:leader="none" w:pos="39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increase the Commitment of any Lender without the written consent of such Lender, (10) reduce the principal amount of any Loan, or reduce the rate of any interest, or reduce any fees, payable under the Loan Documents, without the written consent of each Credit Party affected thereby, (10) postpone the date of payment at stated maturity of any Loan, or the date of any interest or any fees payable under the Loan Documents, or reduce the amount of, waive or excuse any such payment, or postpone the stated termination or expiration of the Commitments without the written consent of each Credit Party affected thereby, (10) change any provision hereof in a manner that would alter the pro rata sharing of payments required by </w:t>
      </w:r>
      <w:r>
        <w:rPr>
          <w:rFonts w:ascii="Arial" w:cs="Arial" w:eastAsia="Arial" w:hAnsi="Arial"/>
          <w:sz w:val="19"/>
          <w:szCs w:val="19"/>
          <w:u w:val="single" w:color="auto"/>
          <w:color w:val="auto"/>
        </w:rPr>
        <w:t>Section 2.8(b)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2.8(c)</w:t>
      </w:r>
      <w:r>
        <w:rPr>
          <w:rFonts w:ascii="Arial" w:cs="Arial" w:eastAsia="Arial" w:hAnsi="Arial"/>
          <w:sz w:val="19"/>
          <w:szCs w:val="19"/>
          <w:color w:val="auto"/>
        </w:rPr>
        <w:t xml:space="preserve">, without the written consent of each Credit Party affected thereby, and (10) 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or change the currency in which Loans are to be made or payment under the Loan Documents is to be made, or add additional borrowers, without the written consent of each Lender,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agreement shall amend, modify or otherwise affect the rights or duties of the Administrative Agent hereunder without the prior written consent of the Administrative Agent. The Administrative Agent may also amend </w:t>
      </w:r>
      <w:r>
        <w:rPr>
          <w:rFonts w:ascii="Arial" w:cs="Arial" w:eastAsia="Arial" w:hAnsi="Arial"/>
          <w:sz w:val="19"/>
          <w:szCs w:val="19"/>
          <w:u w:val="single" w:color="auto"/>
          <w:color w:val="auto"/>
        </w:rPr>
        <w:t>Schedule 2.1</w:t>
      </w:r>
      <w:r>
        <w:rPr>
          <w:rFonts w:ascii="Arial" w:cs="Arial" w:eastAsia="Arial" w:hAnsi="Arial"/>
          <w:sz w:val="19"/>
          <w:szCs w:val="19"/>
          <w:color w:val="auto"/>
        </w:rPr>
        <w:t xml:space="preserve"> to reflect assignments entered into pursuant to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 and the requisite number or percentage in interest of each affected Class of Lenders that would be required to consent thereto under this Section as if such Class of Lenders were the only Class of Lenders hereunder at the time. Notwithstanding anything to the contrary herein, (x) the Administrative Agent may, with the consent of the Borrower only, amend, modify or supplement this Agreement or any other Loan Document to the extent the Administrative Agent determines is necessary or appropriate to implement the provisions of </w:t>
      </w:r>
      <w:r>
        <w:rPr>
          <w:rFonts w:ascii="Arial" w:cs="Arial" w:eastAsia="Arial" w:hAnsi="Arial"/>
          <w:sz w:val="19"/>
          <w:szCs w:val="19"/>
          <w:u w:val="single" w:color="auto"/>
          <w:color w:val="auto"/>
        </w:rPr>
        <w:t>Section 2.10</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firstLine="1304"/>
        <w:spacing w:after="0" w:line="282" w:lineRule="auto"/>
        <w:tabs>
          <w:tab w:leader="none" w:pos="172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3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115"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color w:val="auto"/>
        </w:rPr>
        <w:t>Exhibit 4</w:t>
      </w:r>
    </w:p>
    <w:p>
      <w:pPr>
        <w:spacing w:after="0" w:line="223" w:lineRule="exact"/>
        <w:rPr>
          <w:sz w:val="20"/>
          <w:szCs w:val="20"/>
          <w:color w:val="auto"/>
        </w:rPr>
      </w:pPr>
    </w:p>
    <w:p>
      <w:pPr>
        <w:jc w:val="both"/>
        <w:ind w:firstLine="1304"/>
        <w:spacing w:after="0" w:line="282" w:lineRule="auto"/>
        <w:tabs>
          <w:tab w:leader="none" w:pos="18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Commitments and outstanding principal amount of the Loans of a Defaulting Lender shall not be included in determining whether the Required Lenders have taken or may take any action hereunder (including any consent to any amendment, waiver or other modification pursuant to this </w:t>
      </w:r>
      <w:r>
        <w:rPr>
          <w:rFonts w:ascii="Arial" w:cs="Arial" w:eastAsia="Arial" w:hAnsi="Arial"/>
          <w:sz w:val="18"/>
          <w:szCs w:val="18"/>
          <w:u w:val="single" w:color="auto"/>
          <w:color w:val="auto"/>
        </w:rPr>
        <w:t>Section 10.2</w:t>
      </w:r>
      <w:r>
        <w:rPr>
          <w:rFonts w:ascii="Arial" w:cs="Arial" w:eastAsia="Arial" w:hAnsi="Arial"/>
          <w:sz w:val="18"/>
          <w:szCs w:val="18"/>
          <w:color w:val="auto"/>
        </w:rPr>
        <w:t>); provided that this clause (d) shall not apply to the vote of a Defaulting Lender in the case of an amendment, waiver or other modification requiring the consent of such Lender or each Lender affected thereby</w:t>
      </w:r>
    </w:p>
    <w:p>
      <w:pPr>
        <w:spacing w:after="0" w:line="16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32" w:lineRule="exact"/>
        <w:tabs>
          <w:tab w:leader="none" w:pos="1817"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Cost and Expenses</w:t>
      </w:r>
      <w:r>
        <w:rPr>
          <w:rFonts w:ascii="Arial" w:cs="Arial" w:eastAsia="Arial" w:hAnsi="Arial"/>
          <w:sz w:val="19"/>
          <w:szCs w:val="19"/>
          <w:color w:val="auto"/>
        </w:rPr>
        <w:t>. The Borrower shall pay (10) all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costs and expenses incurred by the Administrative Agent and its Affiliates, including the reasonable fees, charges and disbursements of counsel for the Administrative Agent, in connection with the syndication of the credit facilities provided for herein, the preparation and administration of each Loan Document or any amendments, modifications or waivers of the provisions thereof (whether or not the transactions contemplated thereby shall be consummated) and (ii) all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costs and expenses incurred by any Credit Party, including the reasonable fees, charges and disbursements of any counsel for any Credit Party and any consultant or expert witness fees and expenses, in connection with the enforcement or protection of its rights in connection with the Loan Documents, including its rights under this Section, or in connection with the Loans made hereunder, including all such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costs and expenses incurred during any workout, restructuring or negotiations in respect of such Loans.</w:t>
      </w:r>
    </w:p>
    <w:p>
      <w:pPr>
        <w:spacing w:after="0" w:line="200" w:lineRule="exact"/>
        <w:rPr>
          <w:rFonts w:ascii="Arial" w:cs="Arial" w:eastAsia="Arial" w:hAnsi="Arial"/>
          <w:sz w:val="19"/>
          <w:szCs w:val="19"/>
          <w:color w:val="auto"/>
        </w:rPr>
      </w:pPr>
    </w:p>
    <w:p>
      <w:pPr>
        <w:jc w:val="both"/>
        <w:ind w:firstLine="1304"/>
        <w:spacing w:after="0" w:line="270" w:lineRule="auto"/>
        <w:tabs>
          <w:tab w:leader="none" w:pos="170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each Credit Party and each Related Party thereof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(10) the execution or delivery of any Loan Document or any agreement or instrument contemplated thereby, the performance by the parties to the Loan Documents of their respective obligations thereunder or the consummation of the Transactions or any other transactions contemplated thereby, (10) any Loan or the use of the proceeds thereof, (10) any actual or alleged presence or release of Hazardous Materials on or from any property owned or operated by the Borrower or any of the Subsidiaries, or any liability under any Environmental Law related in any way to the Borrower or any of the Subsidiaries or (10) any actual or prospective claim, litigation, investigation or proceeding relating to any of the foregoing, whether based on contract, tort or any other theory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or a breach in bad faith by such Indemnitee or arising solely from claims between or among one or more Indemnitees.</w:t>
      </w:r>
    </w:p>
    <w:p>
      <w:pPr>
        <w:spacing w:after="0" w:line="172" w:lineRule="exact"/>
        <w:rPr>
          <w:rFonts w:ascii="Arial" w:cs="Arial" w:eastAsia="Arial" w:hAnsi="Arial"/>
          <w:sz w:val="18"/>
          <w:szCs w:val="18"/>
          <w:color w:val="auto"/>
        </w:rPr>
      </w:pPr>
    </w:p>
    <w:p>
      <w:pPr>
        <w:jc w:val="both"/>
        <w:ind w:firstLine="1304"/>
        <w:spacing w:after="0" w:line="274" w:lineRule="auto"/>
        <w:tabs>
          <w:tab w:leader="none" w:pos="176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 fails to pay any amount required to be paid by it to the Administrative Agent under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(and without limiting the Borrower’s obligation to do so), each Lender severally agrees to pay to the Administrative Agent an amount equal to the product of such unpaid amount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a fraction, the numerator of which is the sum of such Lender’s unused Commitment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principal balance of such Lender’s Loans and the denominator of which is the sum of the unused Commitments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principal balance of all Lenders Loans (as of the time that the applicable unreimbursed expense or indemnity payment is sought or, in the event that no Lender shall have any outstanding Loans at such time, as of the last time at which any Lender had any outstanding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w:t>
      </w:r>
    </w:p>
    <w:p>
      <w:pPr>
        <w:spacing w:after="0" w:line="38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15" w:right="339" w:bottom="1440" w:gutter="0" w:footer="0" w:header="0"/>
        </w:sectPr>
      </w:pPr>
    </w:p>
    <w:bookmarkStart w:id="112" w:name="page113"/>
    <w:bookmarkEnd w:id="112"/>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unreimbursed expense or indemnified loss, claim, damage, liability or related expense, as applicable, was incurred by or asserted against the Administrative Agent, in its capacity as such.</w:t>
      </w:r>
    </w:p>
    <w:p>
      <w:pPr>
        <w:spacing w:after="0" w:line="177" w:lineRule="exact"/>
        <w:rPr>
          <w:sz w:val="20"/>
          <w:szCs w:val="20"/>
          <w:color w:val="auto"/>
        </w:rPr>
      </w:pPr>
    </w:p>
    <w:p>
      <w:pPr>
        <w:jc w:val="both"/>
        <w:ind w:firstLine="1304"/>
        <w:spacing w:after="0" w:line="263" w:lineRule="auto"/>
        <w:tabs>
          <w:tab w:leader="none" w:pos="1760"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extent permitted by applicable law, the Borrower shall not assert, and hereby waives, any claim against any Indemnitee, on any theory of liability, for special, indirect, consequential or punitive damages (as opposed to direct and actual damages) arising out of, in connection with, or as a result of, any Loan Document or any agreement, instrument or other document contemplated thereby, the Transactions or any Loan or the use of the proceeds thereof.</w:t>
      </w:r>
    </w:p>
    <w:p>
      <w:pPr>
        <w:spacing w:after="0" w:line="176" w:lineRule="exact"/>
        <w:rPr>
          <w:rFonts w:ascii="Arial" w:cs="Arial" w:eastAsia="Arial" w:hAnsi="Arial"/>
          <w:sz w:val="19"/>
          <w:szCs w:val="19"/>
          <w:color w:val="auto"/>
        </w:rPr>
      </w:pPr>
    </w:p>
    <w:p>
      <w:pPr>
        <w:ind w:left="1700" w:hanging="396"/>
        <w:spacing w:after="0"/>
        <w:tabs>
          <w:tab w:leader="none" w:pos="17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but in no event later than ten days after written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demand therefor.</w:t>
      </w:r>
    </w:p>
    <w:p>
      <w:pPr>
        <w:spacing w:after="0" w:line="20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10.4.</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71" w:lineRule="auto"/>
        <w:tabs>
          <w:tab w:leader="none" w:pos="1723"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(10) to an Eligible Assignee in accordance with the provisions of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(10) by way of participation in accordance with the provisions of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 or (10) by way of pledge or assignment of a security interest subject to the restrictions of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 and, to the extent expressly contemplated hereby, the Related Parties of each Credit Party) any legal or equitable right, remedy or claim under or by reason of this Agreement.</w:t>
      </w:r>
    </w:p>
    <w:p>
      <w:pPr>
        <w:spacing w:after="0" w:line="173" w:lineRule="exact"/>
        <w:rPr>
          <w:rFonts w:ascii="Arial" w:cs="Arial" w:eastAsia="Arial" w:hAnsi="Arial"/>
          <w:sz w:val="18"/>
          <w:szCs w:val="18"/>
          <w:color w:val="auto"/>
        </w:rPr>
      </w:pPr>
    </w:p>
    <w:p>
      <w:pPr>
        <w:jc w:val="both"/>
        <w:ind w:firstLine="1304"/>
        <w:spacing w:after="0" w:line="246" w:lineRule="auto"/>
        <w:tabs>
          <w:tab w:leader="none" w:pos="176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(and if demanded by Borrower pursuant to </w:t>
      </w:r>
      <w:r>
        <w:rPr>
          <w:rFonts w:ascii="Arial" w:cs="Arial" w:eastAsia="Arial" w:hAnsi="Arial"/>
          <w:sz w:val="20"/>
          <w:szCs w:val="20"/>
          <w:u w:val="single" w:color="auto"/>
          <w:color w:val="auto"/>
        </w:rPr>
        <w:t>Section 3.8</w:t>
      </w:r>
      <w:r>
        <w:rPr>
          <w:rFonts w:ascii="Arial" w:cs="Arial" w:eastAsia="Arial" w:hAnsi="Arial"/>
          <w:sz w:val="20"/>
          <w:szCs w:val="20"/>
          <w:color w:val="auto"/>
        </w:rPr>
        <w:t xml:space="preserve"> shall to the extent required thereby) at any time assign to one or more Eligible Assignees all or a portion of its rights and obligations under this Agreement (including all or a portion of its Commitments and the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91" w:lineRule="exact"/>
        <w:rPr>
          <w:rFonts w:ascii="Arial" w:cs="Arial" w:eastAsia="Arial" w:hAnsi="Arial"/>
          <w:sz w:val="20"/>
          <w:szCs w:val="20"/>
          <w:color w:val="auto"/>
        </w:rPr>
      </w:pPr>
    </w:p>
    <w:p>
      <w:pPr>
        <w:ind w:left="2320" w:hanging="368"/>
        <w:spacing w:after="0"/>
        <w:tabs>
          <w:tab w:leader="none" w:pos="232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Minimum Amounts.</w:t>
      </w:r>
    </w:p>
    <w:p>
      <w:pPr>
        <w:spacing w:after="0" w:line="216" w:lineRule="exact"/>
        <w:rPr>
          <w:sz w:val="20"/>
          <w:szCs w:val="20"/>
          <w:color w:val="auto"/>
        </w:rPr>
      </w:pPr>
    </w:p>
    <w:p>
      <w:pPr>
        <w:jc w:val="both"/>
        <w:ind w:left="1300" w:firstLine="652"/>
        <w:spacing w:after="0" w:line="250" w:lineRule="auto"/>
        <w:tabs>
          <w:tab w:leader="none" w:pos="244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Commitments and the Loans at the time owing to it or in the case of an assignment to a Lender, an Affiliate of a Lender or an Approved Fund, no minimum amount need be assigned; and</w:t>
      </w:r>
    </w:p>
    <w:p>
      <w:pPr>
        <w:spacing w:after="0" w:line="185" w:lineRule="exact"/>
        <w:rPr>
          <w:rFonts w:ascii="Arial" w:cs="Arial" w:eastAsia="Arial" w:hAnsi="Arial"/>
          <w:sz w:val="20"/>
          <w:szCs w:val="20"/>
          <w:color w:val="auto"/>
        </w:rPr>
      </w:pPr>
    </w:p>
    <w:p>
      <w:pPr>
        <w:jc w:val="both"/>
        <w:ind w:left="1300" w:firstLine="652"/>
        <w:spacing w:after="0" w:line="278" w:lineRule="auto"/>
        <w:tabs>
          <w:tab w:leader="none" w:pos="247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In any case not described in </w:t>
      </w:r>
      <w:r>
        <w:rPr>
          <w:rFonts w:ascii="Arial" w:cs="Arial" w:eastAsia="Arial" w:hAnsi="Arial"/>
          <w:sz w:val="18"/>
          <w:szCs w:val="18"/>
          <w:u w:val="single" w:color="auto"/>
          <w:color w:val="auto"/>
        </w:rPr>
        <w:t>paragraph (b)(i)(A)</w:t>
      </w:r>
      <w:r>
        <w:rPr>
          <w:rFonts w:ascii="Arial" w:cs="Arial" w:eastAsia="Arial" w:hAnsi="Arial"/>
          <w:sz w:val="18"/>
          <w:szCs w:val="18"/>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w:t>
      </w:r>
    </w:p>
    <w:p>
      <w:pPr>
        <w:spacing w:after="0" w:line="38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15" w:right="339" w:bottom="1440" w:gutter="0" w:footer="0" w:header="0"/>
        </w:sectPr>
      </w:pPr>
    </w:p>
    <w:bookmarkStart w:id="113" w:name="page114"/>
    <w:bookmarkEnd w:id="113"/>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Administrative Agent and, so long as no Event of Default has occurred and is continuing, the Borrower otherwise consents (each such consent not to be unreasonably withheld or delayed).</w:t>
      </w:r>
    </w:p>
    <w:p>
      <w:pPr>
        <w:spacing w:after="0" w:line="177" w:lineRule="exact"/>
        <w:rPr>
          <w:sz w:val="20"/>
          <w:szCs w:val="20"/>
          <w:color w:val="auto"/>
        </w:rPr>
      </w:pPr>
    </w:p>
    <w:p>
      <w:pPr>
        <w:ind w:left="1300" w:firstLine="652"/>
        <w:spacing w:after="0" w:line="316" w:lineRule="auto"/>
        <w:tabs>
          <w:tab w:leader="none" w:pos="241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 or the Commitment assigned.</w:t>
      </w:r>
    </w:p>
    <w:p>
      <w:pPr>
        <w:spacing w:after="0" w:line="129" w:lineRule="exact"/>
        <w:rPr>
          <w:rFonts w:ascii="Arial" w:cs="Arial" w:eastAsia="Arial" w:hAnsi="Arial"/>
          <w:sz w:val="18"/>
          <w:szCs w:val="18"/>
          <w:color w:val="auto"/>
        </w:rPr>
      </w:pPr>
    </w:p>
    <w:p>
      <w:pPr>
        <w:ind w:left="2420" w:hanging="468"/>
        <w:spacing w:after="0"/>
        <w:tabs>
          <w:tab w:leader="none" w:pos="242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For each such assignment:</w:t>
      </w:r>
    </w:p>
    <w:p>
      <w:pPr>
        <w:spacing w:after="0" w:line="216" w:lineRule="exact"/>
        <w:rPr>
          <w:sz w:val="20"/>
          <w:szCs w:val="20"/>
          <w:color w:val="auto"/>
        </w:rPr>
      </w:pPr>
    </w:p>
    <w:p>
      <w:pPr>
        <w:jc w:val="both"/>
        <w:ind w:left="1300" w:firstLine="652"/>
        <w:spacing w:after="0" w:line="244" w:lineRule="auto"/>
        <w:tabs>
          <w:tab w:leader="none" w:pos="247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the consent of the Borrower (such consent not to be unreasonably withheld) shall be required unless (x) an Event of Default has occurred and is continuing at the time of such assignment or (y) such assignment is to a Lender, an 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Administrative Agent within five Business Days after having received notice thereof; and</w:t>
      </w:r>
    </w:p>
    <w:p>
      <w:pPr>
        <w:spacing w:after="0" w:line="194" w:lineRule="exact"/>
        <w:rPr>
          <w:rFonts w:ascii="Arial" w:cs="Arial" w:eastAsia="Arial" w:hAnsi="Arial"/>
          <w:sz w:val="20"/>
          <w:szCs w:val="20"/>
          <w:color w:val="auto"/>
        </w:rPr>
      </w:pPr>
    </w:p>
    <w:p>
      <w:pPr>
        <w:jc w:val="both"/>
        <w:ind w:left="1300" w:firstLine="652"/>
        <w:spacing w:after="0" w:line="250" w:lineRule="auto"/>
        <w:tabs>
          <w:tab w:leader="none" w:pos="245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if such assignment is to an Eligible Assignee that is not a Lender, an Affiliate of such Lender or an Approved Fund with respect to such Lender.</w:t>
      </w:r>
    </w:p>
    <w:p>
      <w:pPr>
        <w:spacing w:after="0" w:line="186" w:lineRule="exact"/>
        <w:rPr>
          <w:sz w:val="20"/>
          <w:szCs w:val="20"/>
          <w:color w:val="auto"/>
        </w:rPr>
      </w:pPr>
    </w:p>
    <w:p>
      <w:pPr>
        <w:jc w:val="both"/>
        <w:ind w:left="1300" w:firstLine="652"/>
        <w:spacing w:after="0" w:line="269" w:lineRule="auto"/>
        <w:tabs>
          <w:tab w:leader="none" w:pos="2468"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The parties to each assignment shall execute and deliver to the Administrative Agent an Assignment and Assumption, together with a processing and recordation fee of $3,500, and the Eligible Assignee, if it is not a Lender, shall deliver to the Administrative Agent an Administrative Questionnaire.</w:t>
      </w:r>
    </w:p>
    <w:p>
      <w:pPr>
        <w:spacing w:after="0" w:line="169" w:lineRule="exact"/>
        <w:rPr>
          <w:rFonts w:ascii="Arial" w:cs="Arial" w:eastAsia="Arial" w:hAnsi="Arial"/>
          <w:sz w:val="19"/>
          <w:szCs w:val="19"/>
          <w:color w:val="auto"/>
        </w:rPr>
      </w:pPr>
    </w:p>
    <w:p>
      <w:pPr>
        <w:ind w:left="1300" w:firstLine="652"/>
        <w:spacing w:after="0" w:line="260" w:lineRule="auto"/>
        <w:tabs>
          <w:tab w:leader="none" w:pos="2453"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No Assignment to Borrower</w:t>
      </w:r>
      <w:r>
        <w:rPr>
          <w:rFonts w:ascii="Arial" w:cs="Arial" w:eastAsia="Arial" w:hAnsi="Arial"/>
          <w:sz w:val="20"/>
          <w:szCs w:val="20"/>
          <w:color w:val="auto"/>
        </w:rPr>
        <w:t>. No such assignment shall be made to the Borrower or any of the Borrower’s Affiliates or Subsidiaries.</w:t>
      </w:r>
    </w:p>
    <w:p>
      <w:pPr>
        <w:spacing w:after="0" w:line="176" w:lineRule="exact"/>
        <w:rPr>
          <w:rFonts w:ascii="Arial" w:cs="Arial" w:eastAsia="Arial" w:hAnsi="Arial"/>
          <w:sz w:val="20"/>
          <w:szCs w:val="20"/>
          <w:color w:val="auto"/>
        </w:rPr>
      </w:pPr>
    </w:p>
    <w:p>
      <w:pPr>
        <w:ind w:left="2420" w:hanging="468"/>
        <w:spacing w:after="0"/>
        <w:tabs>
          <w:tab w:leader="none" w:pos="242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No Assignment to Natural Persons</w:t>
      </w:r>
      <w:r>
        <w:rPr>
          <w:rFonts w:ascii="Arial" w:cs="Arial" w:eastAsia="Arial" w:hAnsi="Arial"/>
          <w:sz w:val="20"/>
          <w:szCs w:val="20"/>
          <w:color w:val="auto"/>
        </w:rPr>
        <w:t>. No such assignment shall be made to a natural person.</w:t>
      </w:r>
    </w:p>
    <w:p>
      <w:pPr>
        <w:spacing w:after="0" w:line="21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3.5</w:t>
      </w:r>
      <w:r>
        <w:rPr>
          <w:rFonts w:ascii="Arial" w:cs="Arial" w:eastAsia="Arial" w:hAnsi="Arial"/>
          <w:sz w:val="19"/>
          <w:szCs w:val="19"/>
          <w:color w:val="auto"/>
        </w:rPr>
        <w:t xml:space="preserve">,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w:t>
      </w:r>
      <w:r>
        <w:rPr>
          <w:rFonts w:ascii="Arial" w:cs="Arial" w:eastAsia="Arial" w:hAnsi="Arial"/>
          <w:sz w:val="19"/>
          <w:szCs w:val="19"/>
          <w:u w:val="single" w:color="auto"/>
          <w:color w:val="auto"/>
        </w:rPr>
        <w:t>3.7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10.3</w:t>
      </w:r>
      <w:r>
        <w:rPr>
          <w:rFonts w:ascii="Arial" w:cs="Arial" w:eastAsia="Arial" w:hAnsi="Arial"/>
          <w:sz w:val="19"/>
          <w:szCs w:val="19"/>
          <w:color w:val="auto"/>
        </w:rPr>
        <w:t xml:space="preserve">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of this Section.</w:t>
      </w:r>
    </w:p>
    <w:p>
      <w:pPr>
        <w:spacing w:after="0" w:line="190" w:lineRule="exact"/>
        <w:rPr>
          <w:sz w:val="20"/>
          <w:szCs w:val="20"/>
          <w:color w:val="auto"/>
        </w:rPr>
      </w:pPr>
    </w:p>
    <w:p>
      <w:pPr>
        <w:ind w:left="1700" w:hanging="396"/>
        <w:spacing w:after="0"/>
        <w:tabs>
          <w:tab w:leader="none" w:pos="170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Register</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115" w:right="339" w:bottom="1440" w:gutter="0" w:footer="0" w:header="0"/>
        </w:sectPr>
      </w:pPr>
    </w:p>
    <w:bookmarkStart w:id="114" w:name="page115"/>
    <w:bookmarkEnd w:id="114"/>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ind w:left="1300" w:firstLine="652"/>
        <w:spacing w:after="0" w:line="257" w:lineRule="auto"/>
        <w:tabs>
          <w:tab w:leader="none" w:pos="2315" w:val="left"/>
        </w:tabs>
        <w:numPr>
          <w:ilvl w:val="1"/>
          <w:numId w:val="110"/>
        </w:numPr>
        <w:rPr>
          <w:rFonts w:ascii="Arial" w:cs="Arial" w:eastAsia="Arial" w:hAnsi="Arial"/>
          <w:sz w:val="19"/>
          <w:szCs w:val="19"/>
          <w:color w:val="auto"/>
        </w:rPr>
      </w:pPr>
      <w:r>
        <w:rPr>
          <w:rFonts w:ascii="Arial" w:cs="Arial" w:eastAsia="Arial" w:hAnsi="Arial"/>
          <w:sz w:val="19"/>
          <w:szCs w:val="19"/>
          <w:color w:val="auto"/>
        </w:rPr>
        <w:t>The Administrative Agent, acting solely for this purpose as an agent of the Borrower, shall maintain at one of its offices in New York, New York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80" w:lineRule="exact"/>
        <w:rPr>
          <w:rFonts w:ascii="Arial" w:cs="Arial" w:eastAsia="Arial" w:hAnsi="Arial"/>
          <w:sz w:val="19"/>
          <w:szCs w:val="19"/>
          <w:color w:val="auto"/>
        </w:rPr>
      </w:pPr>
    </w:p>
    <w:p>
      <w:pPr>
        <w:jc w:val="both"/>
        <w:ind w:left="1300" w:firstLine="652"/>
        <w:spacing w:after="0" w:line="255" w:lineRule="auto"/>
        <w:tabs>
          <w:tab w:leader="none" w:pos="2396" w:val="left"/>
        </w:tabs>
        <w:numPr>
          <w:ilvl w:val="1"/>
          <w:numId w:val="110"/>
        </w:numPr>
        <w:rPr>
          <w:rFonts w:ascii="Arial" w:cs="Arial" w:eastAsia="Arial" w:hAnsi="Arial"/>
          <w:sz w:val="19"/>
          <w:szCs w:val="19"/>
          <w:color w:val="auto"/>
        </w:rPr>
      </w:pPr>
      <w:r>
        <w:rPr>
          <w:rFonts w:ascii="Arial" w:cs="Arial" w:eastAsia="Arial" w:hAnsi="Arial"/>
          <w:sz w:val="19"/>
          <w:szCs w:val="19"/>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Section 2.4(b) or 10.3(c),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4" w:lineRule="exact"/>
        <w:rPr>
          <w:rFonts w:ascii="Arial" w:cs="Arial" w:eastAsia="Arial" w:hAnsi="Arial"/>
          <w:sz w:val="19"/>
          <w:szCs w:val="19"/>
          <w:color w:val="auto"/>
        </w:rPr>
      </w:pPr>
    </w:p>
    <w:p>
      <w:pPr>
        <w:jc w:val="both"/>
        <w:ind w:firstLine="1304"/>
        <w:spacing w:after="0" w:line="255" w:lineRule="auto"/>
        <w:tabs>
          <w:tab w:leader="none" w:pos="1868"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but with notice to, the Borrower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such notice shall not impair the effectiveness of such participation except as expressly provided in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sell participations to any Person (other than a natural person or the Borrower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(iii) such Lender shall remain the holder of any Note for all purposes of this Agreement and (iv) the Borrower, the Administrative Agent and each Credit Party shall continue to deal solely and directly with such Lender in connection with such Lender’s rights and obligations under this Agreement. Notwithstanding the foregoing, in no event may a participation be granted to any entity which is not a commercial bank, finance company, insurance company or other financial institution or fund (whether a corporation, partnership or other entity) engaged generally in making, purchasing or otherwise investing in commercial loans in the ordinary course of its business without the express prior written consent of the Borrower.</w:t>
      </w:r>
    </w:p>
    <w:p>
      <w:pPr>
        <w:spacing w:after="0" w:line="184"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Any agreement or instrument pursuant to which a Lender sells such a participation shall provide that such Lender shall retain the sole right to enforce this Agreement and to approve any</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40"/>
          </w:cols>
          <w:pgMar w:left="320" w:top="115" w:right="339" w:bottom="1440" w:gutter="0" w:footer="0" w:header="0"/>
        </w:sectPr>
      </w:pPr>
    </w:p>
    <w:bookmarkStart w:id="115" w:name="page116"/>
    <w:bookmarkEnd w:id="115"/>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with respect to the following matters described in </w:t>
      </w:r>
      <w:r>
        <w:rPr>
          <w:rFonts w:ascii="Arial" w:cs="Arial" w:eastAsia="Arial" w:hAnsi="Arial"/>
          <w:sz w:val="19"/>
          <w:szCs w:val="19"/>
          <w:u w:val="single" w:color="auto"/>
          <w:color w:val="auto"/>
        </w:rPr>
        <w:t>clauses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of the first proviso in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that directly affects such Participant. Subject to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the Borrower agrees that each Participant shall be entitled to the benefits of </w:t>
      </w:r>
      <w:r>
        <w:rPr>
          <w:rFonts w:ascii="Arial" w:cs="Arial" w:eastAsia="Arial" w:hAnsi="Arial"/>
          <w:sz w:val="19"/>
          <w:szCs w:val="19"/>
          <w:u w:val="single" w:color="auto"/>
          <w:color w:val="auto"/>
        </w:rPr>
        <w:t>Sections 3.5</w:t>
      </w:r>
      <w:r>
        <w:rPr>
          <w:rFonts w:ascii="Arial" w:cs="Arial" w:eastAsia="Arial" w:hAnsi="Arial"/>
          <w:sz w:val="19"/>
          <w:szCs w:val="19"/>
          <w:color w:val="auto"/>
        </w:rPr>
        <w:t xml:space="preserve">,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3.7</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but (x) shall not be entitled to recover greater amounts under any such Section than the selling Lender would be entitled to recover and (y) shall be subject to replacement by the Borrower under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to the same extent as if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replacement Participant shall be a commercial bank, finance company, insurance company or other financial institution or fund (whether a corporation, partnership or other entity) engaged generally in making, purchasing or otherwise investing in commercial loans in the ordinary course of its business. To the extent permitted by law, each Participant also shall be entitled to the benefits of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as though it were a Lender, provided such Participant agrees to be subject to </w:t>
      </w:r>
      <w:r>
        <w:rPr>
          <w:rFonts w:ascii="Arial" w:cs="Arial" w:eastAsia="Arial" w:hAnsi="Arial"/>
          <w:sz w:val="19"/>
          <w:szCs w:val="19"/>
          <w:u w:val="single" w:color="auto"/>
          <w:color w:val="auto"/>
        </w:rPr>
        <w:t>Section 2.8(c)</w:t>
      </w:r>
      <w:r>
        <w:rPr>
          <w:rFonts w:ascii="Arial" w:cs="Arial" w:eastAsia="Arial" w:hAnsi="Arial"/>
          <w:sz w:val="19"/>
          <w:szCs w:val="19"/>
          <w:color w:val="auto"/>
        </w:rPr>
        <w:t xml:space="preserve"> as though it were a Lender.</w:t>
      </w:r>
    </w:p>
    <w:p>
      <w:pPr>
        <w:spacing w:after="0" w:line="18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Loans or its other obligations under any Loan Document) to any Person except to the extent that such disclosure is necessary 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0" w:lineRule="exact"/>
        <w:rPr>
          <w:sz w:val="20"/>
          <w:szCs w:val="20"/>
          <w:color w:val="auto"/>
        </w:rPr>
      </w:pPr>
    </w:p>
    <w:p>
      <w:pPr>
        <w:jc w:val="both"/>
        <w:ind w:firstLine="1304"/>
        <w:spacing w:after="0" w:line="278" w:lineRule="auto"/>
        <w:tabs>
          <w:tab w:leader="none" w:pos="189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Sections 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3.7(f)</w:t>
      </w:r>
      <w:r>
        <w:rPr>
          <w:rFonts w:ascii="Arial" w:cs="Arial" w:eastAsia="Arial" w:hAnsi="Arial"/>
          <w:sz w:val="18"/>
          <w:szCs w:val="18"/>
          <w:color w:val="auto"/>
        </w:rPr>
        <w:t xml:space="preserve"> as though it were a Lender.</w:t>
      </w:r>
    </w:p>
    <w:p>
      <w:pPr>
        <w:spacing w:after="0" w:line="164" w:lineRule="exact"/>
        <w:rPr>
          <w:rFonts w:ascii="Arial" w:cs="Arial" w:eastAsia="Arial" w:hAnsi="Arial"/>
          <w:sz w:val="18"/>
          <w:szCs w:val="18"/>
          <w:color w:val="auto"/>
        </w:rPr>
      </w:pPr>
    </w:p>
    <w:p>
      <w:pPr>
        <w:jc w:val="both"/>
        <w:ind w:firstLine="1304"/>
        <w:spacing w:after="0" w:line="246" w:lineRule="auto"/>
        <w:tabs>
          <w:tab w:leader="none" w:pos="1687"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1" w:lineRule="exact"/>
        <w:rPr>
          <w:rFonts w:ascii="Arial" w:cs="Arial" w:eastAsia="Arial" w:hAnsi="Arial"/>
          <w:sz w:val="20"/>
          <w:szCs w:val="20"/>
          <w:color w:val="auto"/>
        </w:rPr>
      </w:pPr>
    </w:p>
    <w:p>
      <w:pPr>
        <w:ind w:right="20" w:firstLine="1304"/>
        <w:spacing w:after="0" w:line="260" w:lineRule="auto"/>
        <w:tabs>
          <w:tab w:leader="none" w:pos="1828"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Defaulting Lenders</w:t>
      </w:r>
      <w:r>
        <w:rPr>
          <w:rFonts w:ascii="Arial" w:cs="Arial" w:eastAsia="Arial" w:hAnsi="Arial"/>
          <w:sz w:val="20"/>
          <w:szCs w:val="20"/>
          <w:color w:val="auto"/>
        </w:rPr>
        <w:t xml:space="preserve">. Notwithstanding any provision in this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to the contrary, if any Lender becomes a Defaulting Lender, then the provisions of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shall apply for so long as such Lender is a Defaulting Lender.</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40"/>
          </w:cols>
          <w:pgMar w:left="320" w:top="115" w:right="339" w:bottom="1440" w:gutter="0" w:footer="0" w:header="0"/>
        </w:sectPr>
      </w:pPr>
    </w:p>
    <w:bookmarkStart w:id="116" w:name="page117"/>
    <w:bookmarkEnd w:id="116"/>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All covenants, agreements, representations and warranties made by the Borrower herein and in the certificates or other instruments prepared or delivered in connection with or pursuant to this Agreement or any other Loan Document shall be considered to have been relied upon by the other parties hereto and shall survive the execution and delivery of any Loan Document and the making of any Loans, regardless of any investigation made by any such other party or on its behalf and notwithstanding that any Credit Party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the Loan Documents is outstanding and unpaid and so long as the Commitments have not expired or terminated. The provisions of </w:t>
      </w:r>
      <w:r>
        <w:rPr>
          <w:rFonts w:ascii="Arial" w:cs="Arial" w:eastAsia="Arial" w:hAnsi="Arial"/>
          <w:sz w:val="19"/>
          <w:szCs w:val="19"/>
          <w:u w:val="single" w:color="auto"/>
          <w:color w:val="auto"/>
        </w:rPr>
        <w:t>Sections 3.5</w:t>
      </w:r>
      <w:r>
        <w:rPr>
          <w:rFonts w:ascii="Arial" w:cs="Arial" w:eastAsia="Arial" w:hAnsi="Arial"/>
          <w:sz w:val="19"/>
          <w:szCs w:val="19"/>
          <w:color w:val="auto"/>
        </w:rPr>
        <w:t xml:space="preserve">,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w:t>
      </w:r>
      <w:r>
        <w:rPr>
          <w:rFonts w:ascii="Arial" w:cs="Arial" w:eastAsia="Arial" w:hAnsi="Arial"/>
          <w:sz w:val="19"/>
          <w:szCs w:val="19"/>
          <w:u w:val="single" w:color="auto"/>
          <w:color w:val="auto"/>
        </w:rPr>
        <w:t>3.7</w:t>
      </w:r>
      <w:r>
        <w:rPr>
          <w:rFonts w:ascii="Arial" w:cs="Arial" w:eastAsia="Arial" w:hAnsi="Arial"/>
          <w:sz w:val="19"/>
          <w:szCs w:val="19"/>
          <w:color w:val="auto"/>
        </w:rPr>
        <w:t xml:space="preserve">, </w:t>
      </w:r>
      <w:r>
        <w:rPr>
          <w:rFonts w:ascii="Arial" w:cs="Arial" w:eastAsia="Arial" w:hAnsi="Arial"/>
          <w:sz w:val="19"/>
          <w:szCs w:val="19"/>
          <w:u w:val="single" w:color="auto"/>
          <w:color w:val="auto"/>
        </w:rPr>
        <w:t>10.3</w:t>
      </w:r>
      <w:r>
        <w:rPr>
          <w:rFonts w:ascii="Arial" w:cs="Arial" w:eastAsia="Arial" w:hAnsi="Arial"/>
          <w:sz w:val="19"/>
          <w:szCs w:val="19"/>
          <w:color w:val="auto"/>
        </w:rPr>
        <w:t xml:space="preserve">, </w:t>
      </w:r>
      <w:r>
        <w:rPr>
          <w:rFonts w:ascii="Arial" w:cs="Arial" w:eastAsia="Arial" w:hAnsi="Arial"/>
          <w:sz w:val="19"/>
          <w:szCs w:val="19"/>
          <w:u w:val="single" w:color="auto"/>
          <w:color w:val="auto"/>
        </w:rPr>
        <w:t>10.9</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shall survive and remain in full force and effect regardless of the consummation of the transactions contemplated hereby, the repayment of the Loans and the termination of the Commitments or the termination of this Agreement or any provision hereof.</w:t>
      </w:r>
    </w:p>
    <w:p>
      <w:pPr>
        <w:spacing w:after="0" w:line="19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10.6.</w:t>
      </w:r>
      <w:r>
        <w:rPr>
          <w:sz w:val="20"/>
          <w:szCs w:val="20"/>
          <w:color w:val="auto"/>
        </w:rPr>
        <w:tab/>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73" w:lineRule="auto"/>
        <w:tabs>
          <w:tab w:leader="none" w:pos="177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any Credit Party or the syndication of the credit facility established hereunder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this Agreement shall become effective as of the date set forth in the preamble to this Agreement when it shall have been executed by the Administrative Agent and when the Administrative Agent shall have received counterparts hereof which, when taken together, bear the signatures of each of the other parties and thereafter shall be binding upon and inure to the benefit of the parties hereto and their respective successors and assigns.</w:t>
      </w:r>
    </w:p>
    <w:p>
      <w:pPr>
        <w:spacing w:after="0" w:line="168" w:lineRule="exact"/>
        <w:rPr>
          <w:rFonts w:ascii="Arial" w:cs="Arial" w:eastAsia="Arial" w:hAnsi="Arial"/>
          <w:sz w:val="18"/>
          <w:szCs w:val="18"/>
          <w:color w:val="auto"/>
        </w:rPr>
      </w:pPr>
    </w:p>
    <w:p>
      <w:pPr>
        <w:jc w:val="both"/>
        <w:ind w:firstLine="1304"/>
        <w:spacing w:after="0" w:line="241" w:lineRule="auto"/>
        <w:tabs>
          <w:tab w:leader="none" w:pos="1814" w:val="left"/>
        </w:tabs>
        <w:numPr>
          <w:ilvl w:val="0"/>
          <w:numId w:val="113"/>
        </w:numPr>
        <w:rPr>
          <w:rFonts w:ascii="Arial" w:cs="Arial" w:eastAsia="Arial" w:hAnsi="Arial"/>
          <w:sz w:val="20"/>
          <w:szCs w:val="20"/>
          <w:color w:val="auto"/>
        </w:rPr>
      </w:pPr>
      <w:r>
        <w:rPr>
          <w:rFonts w:ascii="Arial" w:cs="Arial" w:eastAsia="Arial" w:hAnsi="Arial"/>
          <w:sz w:val="20"/>
          <w:szCs w:val="20"/>
          <w:color w:val="auto"/>
        </w:rPr>
        <w:t>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spacing w:after="0" w:line="2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10.7.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one or more of the provisions contained in this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 faith negotiations to replace the invalid, illegal or unenforceable provisions with valid provisions</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115" w:right="339" w:bottom="1440" w:gutter="0" w:footer="0" w:header="0"/>
        </w:sectPr>
      </w:pPr>
    </w:p>
    <w:bookmarkStart w:id="117" w:name="page118"/>
    <w:bookmarkEnd w:id="117"/>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the economic effect of which comes as close as possible to that of the invalid, illegal or unenforceable provisions.</w:t>
      </w:r>
    </w:p>
    <w:p>
      <w:pPr>
        <w:spacing w:after="0" w:line="21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Right of Set</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off</w:t>
      </w:r>
      <w:r>
        <w:rPr>
          <w:rFonts w:ascii="Arial" w:cs="Arial" w:eastAsia="Arial" w:hAnsi="Arial"/>
          <w:sz w:val="18"/>
          <w:szCs w:val="18"/>
          <w:color w:val="auto"/>
        </w:rPr>
        <w:t xml:space="preserve">. If an Event of Default shall have occurred and be continuing, and the acceleration of the obligations owing in connection with the Loan Documents, or at any time upon the occurrence and during the continuance of an Event of Default under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8</w:t>
      </w:r>
      <w:r>
        <w:rPr>
          <w:rFonts w:ascii="Arial" w:cs="Arial" w:eastAsia="Arial" w:hAnsi="Arial"/>
          <w:sz w:val="18"/>
          <w:szCs w:val="18"/>
          <w:color w:val="auto"/>
        </w:rPr>
        <w:t>, each of the Lenders and their respective Affiliates is hereby authorized at any time and from time to time, to the fullest extent permitted by applicable law, to set</w:t>
      </w:r>
      <w:r>
        <w:rPr>
          <w:rFonts w:ascii="MS PGothic" w:cs="MS PGothic" w:eastAsia="MS PGothic" w:hAnsi="MS PGothic"/>
          <w:sz w:val="18"/>
          <w:szCs w:val="18"/>
          <w:color w:val="auto"/>
        </w:rPr>
        <w:t>‑</w:t>
      </w:r>
      <w:r>
        <w:rPr>
          <w:rFonts w:ascii="Arial" w:cs="Arial" w:eastAsia="Arial" w:hAnsi="Arial"/>
          <w:sz w:val="18"/>
          <w:szCs w:val="18"/>
          <w:color w:val="auto"/>
        </w:rPr>
        <w:t>off and apply any and all deposits (general or special, time or demand, provisional or final) at any time held and other obligations at any time owing by it to or for the credit or the account of the Borrower against any of and all the obligations of the Borrower now or hereafter existing under this Agreement and the other Loan Documents held by it, irrespective of whether or not it shall have made any demand therefor and although such obligations may be unmatured. The rights of each of the Lenders and their respective Affiliates under this Section are in addition to other rights and remedies (including other rights of set</w:t>
      </w:r>
      <w:r>
        <w:rPr>
          <w:rFonts w:ascii="MS PGothic" w:cs="MS PGothic" w:eastAsia="MS PGothic" w:hAnsi="MS PGothic"/>
          <w:sz w:val="18"/>
          <w:szCs w:val="18"/>
          <w:color w:val="auto"/>
        </w:rPr>
        <w:t>‑</w:t>
      </w:r>
      <w:r>
        <w:rPr>
          <w:rFonts w:ascii="Arial" w:cs="Arial" w:eastAsia="Arial" w:hAnsi="Arial"/>
          <w:sz w:val="18"/>
          <w:szCs w:val="18"/>
          <w:color w:val="auto"/>
        </w:rPr>
        <w:t xml:space="preserve">off) that it may have. Each Lender agrees promptly to notify the Borrower and the Administrative Agent after any such set 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 off and application.</w:t>
      </w:r>
    </w:p>
    <w:p>
      <w:pPr>
        <w:spacing w:after="0" w:line="20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216" w:lineRule="exact"/>
        <w:rPr>
          <w:sz w:val="20"/>
          <w:szCs w:val="20"/>
          <w:color w:val="auto"/>
        </w:rPr>
      </w:pPr>
    </w:p>
    <w:p>
      <w:pPr>
        <w:ind w:left="1700" w:hanging="396"/>
        <w:spacing w:after="0"/>
        <w:tabs>
          <w:tab w:leader="none" w:pos="170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in accordance with, the laws of the State of New York.</w:t>
      </w:r>
    </w:p>
    <w:p>
      <w:pPr>
        <w:spacing w:after="0" w:line="215" w:lineRule="exact"/>
        <w:rPr>
          <w:rFonts w:ascii="Arial" w:cs="Arial" w:eastAsia="Arial" w:hAnsi="Arial"/>
          <w:sz w:val="20"/>
          <w:szCs w:val="20"/>
          <w:color w:val="auto"/>
        </w:rPr>
      </w:pPr>
    </w:p>
    <w:p>
      <w:pPr>
        <w:jc w:val="both"/>
        <w:ind w:firstLine="1304"/>
        <w:spacing w:after="0" w:line="271" w:lineRule="auto"/>
        <w:tabs>
          <w:tab w:leader="none" w:pos="173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for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169" w:lineRule="exact"/>
        <w:rPr>
          <w:rFonts w:ascii="Arial" w:cs="Arial" w:eastAsia="Arial" w:hAnsi="Arial"/>
          <w:sz w:val="18"/>
          <w:szCs w:val="18"/>
          <w:color w:val="auto"/>
        </w:rPr>
      </w:pPr>
    </w:p>
    <w:p>
      <w:pPr>
        <w:jc w:val="both"/>
        <w:ind w:firstLine="1304"/>
        <w:spacing w:after="0" w:line="244" w:lineRule="auto"/>
        <w:tabs>
          <w:tab w:leader="none" w:pos="172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The Borrower hereby irrevocably and unconditionally waives, to the fullest extent it may legally and effectively do so, any objection that it may now or hereafter have to the laying of venue of any suit, action or proceeding arising out of or relating to this Agreement or the other Loan Documents in any court referred to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40"/>
          </w:cols>
          <w:pgMar w:left="320" w:top="115"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0"/>
          <w:szCs w:val="20"/>
          <w:b w:val="1"/>
          <w:bCs w:val="1"/>
          <w:color w:val="auto"/>
        </w:rPr>
        <w:t>Exhibit 4</w:t>
      </w:r>
    </w:p>
    <w:p>
      <w:pPr>
        <w:spacing w:after="0" w:line="223" w:lineRule="exact"/>
        <w:rPr>
          <w:sz w:val="20"/>
          <w:szCs w:val="20"/>
          <w:color w:val="auto"/>
        </w:rPr>
      </w:pPr>
    </w:p>
    <w:p>
      <w:pPr>
        <w:ind w:firstLine="1304"/>
        <w:spacing w:after="0" w:line="316" w:lineRule="auto"/>
        <w:tabs>
          <w:tab w:leader="none" w:pos="17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Each of the parties hereto irrevocably consents to service of process in the manner provided for notices in </w:t>
      </w:r>
      <w:r>
        <w:rPr>
          <w:rFonts w:ascii="Arial" w:cs="Arial" w:eastAsia="Arial" w:hAnsi="Arial"/>
          <w:sz w:val="18"/>
          <w:szCs w:val="18"/>
          <w:u w:val="single" w:color="auto"/>
          <w:color w:val="auto"/>
        </w:rPr>
        <w:t>Section 10.1</w:t>
      </w:r>
      <w:r>
        <w:rPr>
          <w:rFonts w:ascii="Arial" w:cs="Arial" w:eastAsia="Arial" w:hAnsi="Arial"/>
          <w:sz w:val="18"/>
          <w:szCs w:val="18"/>
          <w:color w:val="auto"/>
        </w:rPr>
        <w:t>. Nothing in this Agreement will affect the right of any party to this Agreement to serve process in any other manner permitted by law.</w:t>
      </w:r>
    </w:p>
    <w:p>
      <w:pPr>
        <w:spacing w:after="0" w:line="13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10.10.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UNDER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TO WHICH IT IS A PARTY BY, AMONG OTHER THINGS, THE MUTUAL WAIVERS AND CERTIFICATIONS IN THIS SECTION.</w:t>
      </w:r>
    </w:p>
    <w:p>
      <w:pPr>
        <w:spacing w:after="0" w:line="184"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herein to the contrary, if at any time the interest rate applicable to any Loan, together with all fees, charges and other amounts that are treated as interest thereon under applicable law,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that may be contracted for, charged, taken, received or reserved by the Lender holding an interest in such Loan in accordance with applicable law, the rate of interest payable in respect of such Loan hereunder, together with all of the charges payable in respect thereof, shall be limited to the Maximum Rate and, to the extent lawful, the interest and the charges that would have been payable in respect of such Loan but were not payable as a result of the operation of this Section shall be cumulated, and the interest and the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10.13. </w:t>
      </w:r>
      <w:r>
        <w:rPr>
          <w:rFonts w:ascii="Arial" w:cs="Arial" w:eastAsia="Arial" w:hAnsi="Arial"/>
          <w:sz w:val="20"/>
          <w:szCs w:val="20"/>
          <w:u w:val="single" w:color="auto"/>
          <w:color w:val="auto"/>
        </w:rPr>
        <w:t>Advertisement</w:t>
      </w:r>
      <w:r>
        <w:rPr>
          <w:rFonts w:ascii="Arial" w:cs="Arial" w:eastAsia="Arial" w:hAnsi="Arial"/>
          <w:sz w:val="20"/>
          <w:szCs w:val="20"/>
          <w:color w:val="auto"/>
        </w:rPr>
        <w:t>. The Borrower hereby authorizes U.S. Bank National Association or any Affiliate thereof to publish the name of the Borrower and the amount of the financing evidenced hereby in any “tombstone” or comparable advertisement that U.S. Bank National Association or such Affiliate elects to publish at its own expense. In addition, the Borrower agrees that U.S. Bank National Association or any Affiliates thereof may provide lending industry trade organizations with information necessary and customary for inclusion in league table measurements after the date hereof.</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10.14. </w:t>
      </w:r>
      <w:r>
        <w:rPr>
          <w:rFonts w:ascii="Arial" w:cs="Arial" w:eastAsia="Arial" w:hAnsi="Arial"/>
          <w:sz w:val="20"/>
          <w:szCs w:val="20"/>
          <w:u w:val="single" w:color="auto"/>
          <w:color w:val="auto"/>
        </w:rPr>
        <w:t>USA PATRIOT Act</w:t>
      </w:r>
      <w:r>
        <w:rPr>
          <w:rFonts w:ascii="Arial" w:cs="Arial" w:eastAsia="Arial" w:hAnsi="Arial"/>
          <w:sz w:val="20"/>
          <w:szCs w:val="20"/>
          <w:color w:val="auto"/>
        </w:rPr>
        <w:t>. Each Lender that is subject to the requirements of the PATRIOT Act hereby notifies the Borrower that such Lender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10.15. </w:t>
      </w:r>
      <w:r>
        <w:rPr>
          <w:rFonts w:ascii="Arial" w:cs="Arial" w:eastAsia="Arial" w:hAnsi="Arial"/>
          <w:sz w:val="20"/>
          <w:szCs w:val="20"/>
          <w:u w:val="single" w:color="auto"/>
          <w:color w:val="auto"/>
        </w:rPr>
        <w:t>Treatment of Certain Information</w:t>
      </w:r>
      <w:r>
        <w:rPr>
          <w:rFonts w:ascii="Arial" w:cs="Arial" w:eastAsia="Arial" w:hAnsi="Arial"/>
          <w:sz w:val="20"/>
          <w:szCs w:val="20"/>
          <w:color w:val="auto"/>
        </w:rPr>
        <w:t>. Each Credit Party agrees to use reasonable precautions to keep confidential, in accordance with its customary procedures for handling confidential</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40"/>
          </w:cols>
          <w:pgMar w:left="320" w:top="115" w:right="339" w:bottom="1440" w:gutter="0" w:footer="0" w:header="0"/>
        </w:sectPr>
      </w:pPr>
    </w:p>
    <w:bookmarkStart w:id="119" w:name="page120"/>
    <w:bookmarkEnd w:id="119"/>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spacing w:after="0" w:line="231" w:lineRule="exact"/>
        <w:rPr>
          <w:sz w:val="20"/>
          <w:szCs w:val="20"/>
          <w:color w:val="auto"/>
        </w:rPr>
      </w:pPr>
      <w:r>
        <w:rPr>
          <w:rFonts w:ascii="Arial" w:cs="Arial" w:eastAsia="Arial" w:hAnsi="Arial"/>
          <w:sz w:val="18"/>
          <w:szCs w:val="18"/>
          <w:color w:val="auto"/>
        </w:rPr>
        <w:t>information of the same nature, all confidential, proprietary or non</w:t>
      </w:r>
      <w:r>
        <w:rPr>
          <w:rFonts w:ascii="MS PGothic" w:cs="MS PGothic" w:eastAsia="MS PGothic" w:hAnsi="MS PGothic"/>
          <w:sz w:val="18"/>
          <w:szCs w:val="18"/>
          <w:color w:val="auto"/>
        </w:rPr>
        <w:t>‑</w:t>
      </w:r>
      <w:r>
        <w:rPr>
          <w:rFonts w:ascii="Arial" w:cs="Arial" w:eastAsia="Arial" w:hAnsi="Arial"/>
          <w:sz w:val="18"/>
          <w:szCs w:val="18"/>
          <w:color w:val="auto"/>
        </w:rPr>
        <w:t>public information supplied by the Borrower or any Affiliate pursuant to this Agreement relating to the Borrower, such Subsidiary or their respective businesses, including, without limitation, any financial statement, financial projections or forecasts, budget, Compliance Certificate, audit report, management letter or accountants’ certification delivered hereunder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provided that nothing herein shall limit the disclosure of any Information (a) to any of its respective Related Parties that needs to know such Information, (b) to the extent required by applicable laws or regulations or by any subpoena or similar legal process, or requested by any bank regulatory authority, (c) on a confidential basis, to any bona fide or potential assignee or participant in connection with the contemplated assignment or participation of any Loans or any participations therein or by any direct or indirect contractual counterparties (or the professional advisors thereto) to any swap or derivative transaction relating to the Borrower and its obligations (provided such assignees, participants, counterparties and advisors are advised of and agree to be bound by either the provisions of this </w:t>
      </w:r>
      <w:r>
        <w:rPr>
          <w:rFonts w:ascii="Arial" w:cs="Arial" w:eastAsia="Arial" w:hAnsi="Arial"/>
          <w:sz w:val="18"/>
          <w:szCs w:val="18"/>
          <w:u w:val="single" w:color="auto"/>
          <w:color w:val="auto"/>
        </w:rPr>
        <w:t>Section 10.15</w:t>
      </w:r>
      <w:r>
        <w:rPr>
          <w:rFonts w:ascii="Arial" w:cs="Arial" w:eastAsia="Arial" w:hAnsi="Arial"/>
          <w:sz w:val="18"/>
          <w:szCs w:val="18"/>
          <w:color w:val="auto"/>
        </w:rPr>
        <w:t xml:space="preserve"> or other provisions at least as restrictive as this </w:t>
      </w:r>
      <w:r>
        <w:rPr>
          <w:rFonts w:ascii="Arial" w:cs="Arial" w:eastAsia="Arial" w:hAnsi="Arial"/>
          <w:sz w:val="18"/>
          <w:szCs w:val="18"/>
          <w:u w:val="single" w:color="auto"/>
          <w:color w:val="auto"/>
        </w:rPr>
        <w:t>Section 10.15</w:t>
      </w:r>
      <w:r>
        <w:rPr>
          <w:rFonts w:ascii="Arial" w:cs="Arial" w:eastAsia="Arial" w:hAnsi="Arial"/>
          <w:sz w:val="18"/>
          <w:szCs w:val="18"/>
          <w:color w:val="auto"/>
        </w:rPr>
        <w:t>), (d) to auditors, accountants, consultants and advisors, and any analogous counterpart thereof, (e) to any other Credit Party, (f) in connection with any litigation to which any one or more of the Credit Parties is a party, (g) to the extent such Information (A) becomes publicly available other than as a result of a breach of this Agreement, (B) becomes available to any of the Credit Parties on a non</w:t>
      </w:r>
      <w:r>
        <w:rPr>
          <w:rFonts w:ascii="MS PGothic" w:cs="MS PGothic" w:eastAsia="MS PGothic" w:hAnsi="MS PGothic"/>
          <w:sz w:val="18"/>
          <w:szCs w:val="18"/>
          <w:color w:val="auto"/>
        </w:rPr>
        <w:t>‑</w:t>
      </w:r>
      <w:r>
        <w:rPr>
          <w:rFonts w:ascii="Arial" w:cs="Arial" w:eastAsia="Arial" w:hAnsi="Arial"/>
          <w:sz w:val="18"/>
          <w:szCs w:val="18"/>
          <w:color w:val="auto"/>
        </w:rPr>
        <w:t>confidential basis from a source other than the Borrower or any of its Affiliates or (C) was available to the Credit Parties on a non</w:t>
      </w:r>
      <w:r>
        <w:rPr>
          <w:rFonts w:ascii="MS PGothic" w:cs="MS PGothic" w:eastAsia="MS PGothic" w:hAnsi="MS PGothic"/>
          <w:sz w:val="18"/>
          <w:szCs w:val="18"/>
          <w:color w:val="auto"/>
        </w:rPr>
        <w:t>‑</w:t>
      </w:r>
      <w:r>
        <w:rPr>
          <w:rFonts w:ascii="Arial" w:cs="Arial" w:eastAsia="Arial" w:hAnsi="Arial"/>
          <w:sz w:val="18"/>
          <w:szCs w:val="18"/>
          <w:color w:val="auto"/>
        </w:rPr>
        <w:t>confidential basis prior to its disclosure to any of them by the Borrower or any of its Affiliates; and (h) to the extent the Borrower shall have consented to such disclosure in writing.</w:t>
      </w:r>
    </w:p>
    <w:p>
      <w:pPr>
        <w:spacing w:after="0" w:line="2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No Fiduciary Duty, etc.</w:t>
      </w:r>
      <w:r>
        <w:rPr>
          <w:rFonts w:ascii="Arial" w:cs="Arial" w:eastAsia="Arial" w:hAnsi="Arial"/>
          <w:sz w:val="18"/>
          <w:szCs w:val="18"/>
          <w:color w:val="auto"/>
        </w:rPr>
        <w:t xml:space="preserve"> (a)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174" w:lineRule="exact"/>
        <w:rPr>
          <w:sz w:val="20"/>
          <w:szCs w:val="20"/>
          <w:color w:val="auto"/>
        </w:rPr>
      </w:pPr>
    </w:p>
    <w:p>
      <w:pPr>
        <w:ind w:firstLine="656"/>
        <w:spacing w:after="0" w:line="257" w:lineRule="auto"/>
        <w:tabs>
          <w:tab w:leader="none" w:pos="928"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72" w:lineRule="exact"/>
        <w:rPr>
          <w:rFonts w:ascii="Arial" w:cs="Arial" w:eastAsia="Arial" w:hAnsi="Arial"/>
          <w:sz w:val="19"/>
          <w:szCs w:val="19"/>
          <w:color w:val="auto"/>
        </w:rPr>
      </w:pPr>
    </w:p>
    <w:p>
      <w:pPr>
        <w:ind w:right="40" w:firstLine="656"/>
        <w:spacing w:after="0" w:line="260" w:lineRule="auto"/>
        <w:tabs>
          <w:tab w:leader="none" w:pos="917" w:val="left"/>
        </w:tabs>
        <w:numPr>
          <w:ilvl w:val="0"/>
          <w:numId w:val="116"/>
        </w:numPr>
        <w:rPr>
          <w:rFonts w:ascii="Arial" w:cs="Arial" w:eastAsia="Arial" w:hAnsi="Arial"/>
          <w:sz w:val="20"/>
          <w:szCs w:val="20"/>
          <w:color w:val="auto"/>
        </w:rPr>
      </w:pPr>
      <w:r>
        <w:rPr>
          <w:rFonts w:ascii="Arial" w:cs="Arial" w:eastAsia="Arial" w:hAnsi="Arial"/>
          <w:sz w:val="20"/>
          <w:szCs w:val="20"/>
          <w:color w:val="auto"/>
        </w:rPr>
        <w:t>In addition, the Borrower acknowledges and agrees, and acknowledges its Subsidiaries’ understanding, that each Credit Party and its affiliates may be providing debt financing, equity capital</w:t>
      </w:r>
    </w:p>
    <w:p>
      <w:pPr>
        <w:spacing w:after="0" w:line="28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115" w:right="339" w:bottom="1440" w:gutter="0" w:footer="0" w:header="0"/>
        </w:sectPr>
      </w:pPr>
    </w:p>
    <w:bookmarkStart w:id="120" w:name="page121"/>
    <w:bookmarkEnd w:id="120"/>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5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10.17.</w:t>
      </w:r>
      <w:r>
        <w:rPr>
          <w:sz w:val="20"/>
          <w:szCs w:val="20"/>
          <w:color w:val="auto"/>
        </w:rPr>
        <w:tab/>
      </w:r>
      <w:r>
        <w:rPr>
          <w:rFonts w:ascii="Arial" w:cs="Arial" w:eastAsia="Arial" w:hAnsi="Arial"/>
          <w:sz w:val="18"/>
          <w:szCs w:val="18"/>
          <w:u w:val="single" w:color="auto"/>
          <w:color w:val="auto"/>
        </w:rPr>
        <w:t>CoBank Equity and Security</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56" w:lineRule="auto"/>
        <w:tabs>
          <w:tab w:leader="none" w:pos="170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So long as CoBank (or its Affiliate) is a Lender hereunder, the Borrower will (i) maintain its status as an entity eligible to borrow from CoBank and (ii) acquire equity in CoBank in such amounts and at such times as CoBank may require in accordance with CoBank’s Bylaws and Capital Plan, except that the maximum amount of equity that the Borrower may be required to purchase in CoBank in connection with the Loans made by CoBank (or its affiliate) may not exceed the maximum amount permitted by the Bylaws and the Capital Plan at the time this Agreement is entered into. The Borrower acknowledges receipt of a copy of (x) CoBank’s most recent annual report, and if more recent, CoBank’s latest quarterly report, (y) CoBank’s Notice to Prospective Stockholders and (iii) CoBank’s Bylaws and Capital Plan, which describe the nature of all of the Borrower’s cash patronage, stock and other equities in CoBank acquired in connection with its patronage loan from CoBank (or its Affiliate) (the “</w:t>
      </w:r>
      <w:r>
        <w:rPr>
          <w:rFonts w:ascii="Arial" w:cs="Arial" w:eastAsia="Arial" w:hAnsi="Arial"/>
          <w:sz w:val="19"/>
          <w:szCs w:val="19"/>
          <w:u w:val="single" w:color="auto"/>
          <w:color w:val="auto"/>
        </w:rPr>
        <w:t>CoBank Equities</w:t>
      </w:r>
      <w:r>
        <w:rPr>
          <w:rFonts w:ascii="Arial" w:cs="Arial" w:eastAsia="Arial" w:hAnsi="Arial"/>
          <w:sz w:val="19"/>
          <w:szCs w:val="19"/>
          <w:color w:val="auto"/>
        </w:rPr>
        <w:t>”) as well as capitalization requirements, and agrees to be bound by the terms thereof.</w:t>
      </w:r>
    </w:p>
    <w:p>
      <w:pPr>
        <w:spacing w:after="0" w:line="184" w:lineRule="exact"/>
        <w:rPr>
          <w:rFonts w:ascii="Arial" w:cs="Arial" w:eastAsia="Arial" w:hAnsi="Arial"/>
          <w:sz w:val="19"/>
          <w:szCs w:val="19"/>
          <w:color w:val="auto"/>
        </w:rPr>
      </w:pPr>
    </w:p>
    <w:p>
      <w:pPr>
        <w:jc w:val="both"/>
        <w:ind w:firstLine="1304"/>
        <w:spacing w:after="0" w:line="278" w:lineRule="auto"/>
        <w:tabs>
          <w:tab w:leader="none" w:pos="17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party hereto acknowledges that CoBank’s Bylaws and Capital Plan shall govern (i) the rights and obligations of the parties with respect to the CoBank Equities and any patronage refunds or other distributions made on account thereof or on account of the Borrower’s patronage with CoBank, (ii) the Borrower’s eligibility for patronage distributions from CoBank (in the form of CoBank Equities and cash) and (iii) patronage distributions, if any, in the event of a sale of a participation interest. CoBank reserves the right to assign or sell participations in all or any part of its (or its Affiliate’s) Commitments or outstanding Loans hereunder on a non-patronage basis.</w:t>
      </w:r>
    </w:p>
    <w:p>
      <w:pPr>
        <w:spacing w:after="0" w:line="164" w:lineRule="exact"/>
        <w:rPr>
          <w:rFonts w:ascii="Arial" w:cs="Arial" w:eastAsia="Arial" w:hAnsi="Arial"/>
          <w:sz w:val="18"/>
          <w:szCs w:val="18"/>
          <w:color w:val="auto"/>
        </w:rPr>
      </w:pPr>
    </w:p>
    <w:p>
      <w:pPr>
        <w:jc w:val="both"/>
        <w:ind w:firstLine="1304"/>
        <w:spacing w:after="0" w:line="271" w:lineRule="auto"/>
        <w:tabs>
          <w:tab w:leader="none" w:pos="177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party hereto acknowledges that CoBank has a statutory first lien pursuant to the Farm Credit Act of 1971 (as amended from time to time) on all CoBank Equities that the Borrower may now own or hereafter acquire, which statutory lien shall be for CoBank’s (or its Affiliate’s) sole and exclusive benefit. The CoBank Equities shall not constitute security for the obligations due to any other Lender. To the extent that any of the Loan Documents create a Lien on the CoBank Equities or on patronage accrued by CoBank for the account of the Borrower (including, in each case, proceeds thereof), such Lien shall be for CoBank’s (or its Affiliate’s) sole and exclusive benefit and shall not be subject to pro rata sharing hereunder. Neither the CoBank Equities nor any accrued patronage shall be offset against the obligations hereunder, except that, in the event of an Event of Default, CoBank may elect, solely at its discretion, to apply the cash portion of any patronage distribution or retirement of equity to amounts owed to CoBank or its Affiliate under this Agreement, whether or not such amounts are currently due and payable. The Borrower acknowledges that any corresponding tax liability associated with such application is the sole responsibility of the Borrower. CoBank shall have no obligation to retire the CoBank Equities upon any Default or any other default by the Borrower, or at any other time, either for application to the Loans or other obligations under this Agreement or otherwise.</w:t>
      </w:r>
    </w:p>
    <w:p>
      <w:pPr>
        <w:spacing w:after="0" w:line="17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Section 10.18. </w:t>
      </w:r>
      <w:r>
        <w:rPr>
          <w:rFonts w:ascii="Arial" w:cs="Arial" w:eastAsia="Arial" w:hAnsi="Arial"/>
          <w:sz w:val="20"/>
          <w:szCs w:val="20"/>
          <w:u w:val="single" w:color="auto"/>
          <w:color w:val="auto"/>
        </w:rPr>
        <w:t>Acknowledgement and Consent to Bail-In of EEA Financial Institutions</w:t>
      </w:r>
      <w:r>
        <w:rPr>
          <w:rFonts w:ascii="Arial" w:cs="Arial" w:eastAsia="Arial" w:hAnsi="Arial"/>
          <w:sz w:val="20"/>
          <w:szCs w:val="20"/>
          <w:color w:val="auto"/>
        </w:rPr>
        <w:t>. Notwithstanding anything to the contrary in any Loan Document or in any other agreement, arrangement</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40"/>
          </w:cols>
          <w:pgMar w:left="320" w:top="115" w:right="339" w:bottom="1440" w:gutter="0" w:footer="0" w:header="0"/>
        </w:sectPr>
      </w:pPr>
    </w:p>
    <w:bookmarkStart w:id="121" w:name="page122"/>
    <w:bookmarkEnd w:id="121"/>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86" w:lineRule="exact"/>
        <w:rPr>
          <w:sz w:val="20"/>
          <w:szCs w:val="20"/>
          <w:color w:val="auto"/>
        </w:rPr>
      </w:pPr>
    </w:p>
    <w:p>
      <w:pPr>
        <w:ind w:firstLine="1304"/>
        <w:spacing w:after="0" w:line="260" w:lineRule="auto"/>
        <w:tabs>
          <w:tab w:leader="none" w:pos="1777"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6" w:lineRule="exact"/>
        <w:rPr>
          <w:rFonts w:ascii="Arial" w:cs="Arial" w:eastAsia="Arial" w:hAnsi="Arial"/>
          <w:sz w:val="20"/>
          <w:szCs w:val="20"/>
          <w:color w:val="auto"/>
        </w:rPr>
      </w:pPr>
    </w:p>
    <w:p>
      <w:pPr>
        <w:ind w:left="1720" w:hanging="416"/>
        <w:spacing w:after="0"/>
        <w:tabs>
          <w:tab w:leader="none" w:pos="172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320" w:hanging="368"/>
        <w:spacing w:after="0"/>
        <w:tabs>
          <w:tab w:leader="none" w:pos="232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1300" w:firstLine="652"/>
        <w:spacing w:after="0" w:line="246" w:lineRule="auto"/>
        <w:tabs>
          <w:tab w:leader="none" w:pos="2423"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left="1300" w:firstLine="652"/>
        <w:spacing w:after="0" w:line="260" w:lineRule="auto"/>
        <w:tabs>
          <w:tab w:leader="none" w:pos="2452" w:val="left"/>
        </w:tabs>
        <w:numPr>
          <w:ilvl w:val="1"/>
          <w:numId w:val="118"/>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10.19. </w:t>
      </w:r>
      <w:r>
        <w:rPr>
          <w:rFonts w:ascii="Arial" w:cs="Arial" w:eastAsia="Arial" w:hAnsi="Arial"/>
          <w:sz w:val="20"/>
          <w:szCs w:val="20"/>
          <w:u w:val="single" w:color="auto"/>
          <w:color w:val="auto"/>
        </w:rPr>
        <w:t>Acknowledgement Regarding Any Supported QFCs</w:t>
      </w:r>
      <w:r>
        <w:rPr>
          <w:rFonts w:ascii="Arial" w:cs="Arial" w:eastAsia="Arial" w:hAnsi="Arial"/>
          <w:sz w:val="20"/>
          <w:szCs w:val="20"/>
          <w:color w:val="auto"/>
        </w:rPr>
        <w:t>. To the extent that the Loan Documents provide support, through a guarantee or otherwise, for Hedge Agreements or any other agreement or instrument that is a QFC (such support “</w:t>
      </w:r>
      <w:r>
        <w:rPr>
          <w:rFonts w:ascii="Arial" w:cs="Arial" w:eastAsia="Arial" w:hAnsi="Arial"/>
          <w:sz w:val="20"/>
          <w:szCs w:val="20"/>
          <w:u w:val="single" w:color="auto"/>
          <w:color w:val="auto"/>
        </w:rPr>
        <w:t>QFC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Support</w:t>
      </w:r>
      <w:r>
        <w:rPr>
          <w:rFonts w:ascii="Arial" w:cs="Arial" w:eastAsia="Arial" w:hAnsi="Arial"/>
          <w:sz w:val="20"/>
          <w:szCs w:val="20"/>
          <w:color w:val="auto"/>
        </w:rPr>
        <w:t>” and each such QFC a “</w:t>
      </w:r>
      <w:r>
        <w:rPr>
          <w:rFonts w:ascii="Arial" w:cs="Arial" w:eastAsia="Arial" w:hAnsi="Arial"/>
          <w:sz w:val="20"/>
          <w:szCs w:val="20"/>
          <w:u w:val="single" w:color="auto"/>
          <w:color w:val="auto"/>
        </w:rPr>
        <w:t>Supported QFC</w:t>
      </w:r>
      <w:r>
        <w:rPr>
          <w:rFonts w:ascii="Arial" w:cs="Arial" w:eastAsia="Arial" w:hAnsi="Arial"/>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w:t>
      </w:r>
    </w:p>
    <w:p>
      <w:pPr>
        <w:spacing w:after="0" w:line="3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40"/>
          </w:cols>
          <w:pgMar w:left="320" w:top="115" w:right="339" w:bottom="1440" w:gutter="0" w:footer="0" w:header="0"/>
        </w:sectPr>
      </w:pPr>
    </w:p>
    <w:bookmarkStart w:id="122" w:name="page123"/>
    <w:bookmarkEnd w:id="122"/>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to a Defaulting Lender shall in no event affect the rights of any Covered Party with respect to a Supported QFC or any QFC Credit Support.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115" w:right="339" w:bottom="1440" w:gutter="0" w:footer="0" w:header="0"/>
        </w:sectPr>
      </w:pPr>
    </w:p>
    <w:bookmarkStart w:id="123" w:name="page124"/>
    <w:bookmarkEnd w:id="123"/>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Term Loan Agreement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ALLETE, INC., as Borrower</w:t>
      </w: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25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-24765</wp:posOffset>
            </wp:positionV>
            <wp:extent cx="125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-24765</wp:posOffset>
            </wp:positionV>
            <wp:extent cx="1257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U.S. BANK NATIONAL ASSOCIATION, as a Lender and as Administrative Agent</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257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-24765</wp:posOffset>
            </wp:positionV>
            <wp:extent cx="125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-24765</wp:posOffset>
            </wp:positionV>
            <wp:extent cx="1257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80"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736653273 11074672</w:t>
      </w:r>
      <w:r>
        <w:rPr>
          <w:sz w:val="20"/>
          <w:szCs w:val="20"/>
          <w:color w:val="auto"/>
        </w:rPr>
        <w:tab/>
      </w:r>
      <w:r>
        <w:rPr>
          <w:rFonts w:ascii="Arial" w:cs="Arial" w:eastAsia="Arial" w:hAnsi="Arial"/>
          <w:sz w:val="20"/>
          <w:szCs w:val="20"/>
          <w:color w:val="auto"/>
        </w:rPr>
        <w:t xml:space="preserve">S-1  </w:t>
      </w:r>
      <w:r>
        <w:rPr>
          <w:rFonts w:ascii="Arial" w:cs="Arial" w:eastAsia="Arial" w:hAnsi="Arial"/>
          <w:sz w:val="14"/>
          <w:szCs w:val="14"/>
          <w:color w:val="auto"/>
        </w:rPr>
        <w:t>ALLETE TERM LOAN AGREEMENT</w:t>
      </w:r>
    </w:p>
    <w:p>
      <w:pPr>
        <w:sectPr>
          <w:pgSz w:w="11900" w:h="16838" w:orient="portrait"/>
          <w:cols w:equalWidth="0" w:num="1">
            <w:col w:w="11240"/>
          </w:cols>
          <w:pgMar w:left="320" w:top="11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JPMORGAN CHASE BANK, N.A., as a Lender</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257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-24765</wp:posOffset>
            </wp:positionV>
            <wp:extent cx="1257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-24765</wp:posOffset>
            </wp:positionV>
            <wp:extent cx="1257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80"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736653273 11074672</w:t>
      </w:r>
      <w:r>
        <w:rPr>
          <w:sz w:val="20"/>
          <w:szCs w:val="20"/>
          <w:color w:val="auto"/>
        </w:rPr>
        <w:tab/>
      </w:r>
      <w:r>
        <w:rPr>
          <w:rFonts w:ascii="Arial" w:cs="Arial" w:eastAsia="Arial" w:hAnsi="Arial"/>
          <w:sz w:val="20"/>
          <w:szCs w:val="20"/>
          <w:color w:val="auto"/>
        </w:rPr>
        <w:t xml:space="preserve">S-2  </w:t>
      </w:r>
      <w:r>
        <w:rPr>
          <w:rFonts w:ascii="Arial" w:cs="Arial" w:eastAsia="Arial" w:hAnsi="Arial"/>
          <w:sz w:val="14"/>
          <w:szCs w:val="14"/>
          <w:color w:val="auto"/>
        </w:rPr>
        <w:t>ALLETE TERM LOAN AGREEMENT</w:t>
      </w:r>
    </w:p>
    <w:p>
      <w:pPr>
        <w:sectPr>
          <w:pgSz w:w="11900" w:h="16838" w:orient="portrait"/>
          <w:cols w:equalWidth="0" w:num="1">
            <w:col w:w="11240"/>
          </w:cols>
          <w:pgMar w:left="320" w:top="115"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BANK OF AMERICA, N.A., as a Lender</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25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-24765</wp:posOffset>
            </wp:positionV>
            <wp:extent cx="1257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-24765</wp:posOffset>
            </wp:positionV>
            <wp:extent cx="1257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COBANK, ACB, as a Lender</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25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-24765</wp:posOffset>
            </wp:positionV>
            <wp:extent cx="1257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-24765</wp:posOffset>
            </wp:positionV>
            <wp:extent cx="1257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736653273 11074672</w:t>
      </w:r>
      <w:r>
        <w:rPr>
          <w:sz w:val="20"/>
          <w:szCs w:val="20"/>
          <w:color w:val="auto"/>
        </w:rPr>
        <w:tab/>
      </w:r>
      <w:r>
        <w:rPr>
          <w:rFonts w:ascii="Arial" w:cs="Arial" w:eastAsia="Arial" w:hAnsi="Arial"/>
          <w:sz w:val="20"/>
          <w:szCs w:val="20"/>
          <w:color w:val="auto"/>
        </w:rPr>
        <w:t xml:space="preserve">S-3  </w:t>
      </w:r>
      <w:r>
        <w:rPr>
          <w:rFonts w:ascii="Arial" w:cs="Arial" w:eastAsia="Arial" w:hAnsi="Arial"/>
          <w:sz w:val="14"/>
          <w:szCs w:val="14"/>
          <w:color w:val="auto"/>
        </w:rPr>
        <w:t>ALLETE TERM LOAN AGREEMENT</w:t>
      </w:r>
    </w:p>
    <w:p>
      <w:pPr>
        <w:sectPr>
          <w:pgSz w:w="11900" w:h="16838" w:orient="portrait"/>
          <w:cols w:equalWidth="0" w:num="1">
            <w:col w:w="11240"/>
          </w:cols>
          <w:pgMar w:left="320" w:top="115" w:right="339" w:bottom="1440" w:gutter="0" w:footer="0" w:header="0"/>
        </w:sectPr>
      </w:pPr>
    </w:p>
    <w:bookmarkStart w:id="126" w:name="page127"/>
    <w:bookmarkEnd w:id="126"/>
    <w:tbl>
      <w:tblPr>
        <w:tblLayout w:type="fixed"/>
        <w:tblInd w:w="10" w:type="dxa"/>
        <w:tblCellMar>
          <w:top w:w="0" w:type="dxa"/>
          <w:left w:w="0" w:type="dxa"/>
          <w:bottom w:w="0" w:type="dxa"/>
          <w:right w:w="0" w:type="dxa"/>
        </w:tblCellMar>
      </w:tblPr>
      <w:tr>
        <w:trPr>
          <w:trHeight w:val="257"/>
        </w:trPr>
        <w:tc>
          <w:tcPr>
            <w:tcW w:w="1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80" w:type="dxa"/>
            <w:vAlign w:val="bottom"/>
            <w:gridSpan w:val="2"/>
          </w:tcPr>
          <w:p>
            <w:pPr>
              <w:ind w:left="2080"/>
              <w:spacing w:after="0"/>
              <w:rPr>
                <w:sz w:val="20"/>
                <w:szCs w:val="20"/>
                <w:color w:val="auto"/>
              </w:rPr>
            </w:pPr>
            <w:r>
              <w:rPr>
                <w:rFonts w:ascii="Arial" w:cs="Arial" w:eastAsia="Arial" w:hAnsi="Arial"/>
                <w:sz w:val="20"/>
                <w:szCs w:val="20"/>
                <w:b w:val="1"/>
                <w:bCs w:val="1"/>
                <w:color w:val="auto"/>
                <w:w w:val="91"/>
              </w:rPr>
              <w:t>Exhibit 4</w:t>
            </w:r>
          </w:p>
        </w:tc>
        <w:tc>
          <w:tcPr>
            <w:tcW w:w="0" w:type="dxa"/>
            <w:vAlign w:val="bottom"/>
          </w:tcPr>
          <w:p>
            <w:pPr>
              <w:spacing w:after="0"/>
              <w:rPr>
                <w:sz w:val="1"/>
                <w:szCs w:val="1"/>
                <w:color w:val="auto"/>
              </w:rPr>
            </w:pPr>
          </w:p>
        </w:tc>
      </w:tr>
      <w:tr>
        <w:trPr>
          <w:trHeight w:val="445"/>
        </w:trPr>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gridSpan w:val="3"/>
          </w:tcPr>
          <w:p>
            <w:pPr>
              <w:jc w:val="center"/>
              <w:ind w:right="1440"/>
              <w:spacing w:after="0"/>
              <w:rPr>
                <w:sz w:val="20"/>
                <w:szCs w:val="20"/>
                <w:color w:val="auto"/>
              </w:rPr>
            </w:pPr>
            <w:r>
              <w:rPr>
                <w:rFonts w:ascii="Arial" w:cs="Arial" w:eastAsia="Arial" w:hAnsi="Arial"/>
                <w:sz w:val="20"/>
                <w:szCs w:val="20"/>
                <w:b w:val="1"/>
                <w:bCs w:val="1"/>
                <w:color w:val="auto"/>
                <w:w w:val="97"/>
              </w:rPr>
              <w:t>SCHEDULE 2.1</w:t>
            </w:r>
          </w:p>
        </w:tc>
        <w:tc>
          <w:tcPr>
            <w:tcW w:w="4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80" w:type="dxa"/>
            <w:vAlign w:val="bottom"/>
            <w:gridSpan w:val="4"/>
          </w:tcPr>
          <w:p>
            <w:pPr>
              <w:jc w:val="center"/>
              <w:ind w:right="1080"/>
              <w:spacing w:after="0"/>
              <w:rPr>
                <w:sz w:val="20"/>
                <w:szCs w:val="20"/>
                <w:color w:val="auto"/>
              </w:rPr>
            </w:pPr>
            <w:r>
              <w:rPr>
                <w:rFonts w:ascii="Arial" w:cs="Arial" w:eastAsia="Arial" w:hAnsi="Arial"/>
                <w:sz w:val="20"/>
                <w:szCs w:val="20"/>
                <w:b w:val="1"/>
                <w:bCs w:val="1"/>
                <w:color w:val="auto"/>
              </w:rPr>
              <w:t>LIST OF COMMITMENTS</w:t>
            </w:r>
          </w:p>
        </w:tc>
        <w:tc>
          <w:tcPr>
            <w:tcW w:w="4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7"/>
        </w:trPr>
        <w:tc>
          <w:tcPr>
            <w:tcW w:w="1680" w:type="dxa"/>
            <w:vAlign w:val="bottom"/>
            <w:tcBorders>
              <w:bottom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1660" w:type="dxa"/>
            <w:vAlign w:val="bottom"/>
            <w:tcBorders>
              <w:bottom w:val="single" w:sz="8" w:color="00000A"/>
            </w:tcBorders>
          </w:tcPr>
          <w:p>
            <w:pPr>
              <w:spacing w:after="0"/>
              <w:rPr>
                <w:sz w:val="24"/>
                <w:szCs w:val="24"/>
                <w:color w:val="auto"/>
              </w:rPr>
            </w:pPr>
          </w:p>
        </w:tc>
        <w:tc>
          <w:tcPr>
            <w:tcW w:w="460" w:type="dxa"/>
            <w:vAlign w:val="bottom"/>
            <w:tcBorders>
              <w:bottom w:val="single" w:sz="8" w:color="00000A"/>
            </w:tcBorders>
          </w:tcPr>
          <w:p>
            <w:pPr>
              <w:spacing w:after="0"/>
              <w:rPr>
                <w:sz w:val="24"/>
                <w:szCs w:val="24"/>
                <w:color w:val="auto"/>
              </w:rPr>
            </w:pPr>
          </w:p>
        </w:tc>
        <w:tc>
          <w:tcPr>
            <w:tcW w:w="320" w:type="dxa"/>
            <w:vAlign w:val="bottom"/>
            <w:tcBorders>
              <w:top w:val="single" w:sz="8" w:color="auto"/>
              <w:bottom w:val="single" w:sz="8" w:color="00000A"/>
            </w:tcBorders>
          </w:tcPr>
          <w:p>
            <w:pPr>
              <w:spacing w:after="0"/>
              <w:rPr>
                <w:sz w:val="24"/>
                <w:szCs w:val="24"/>
                <w:color w:val="auto"/>
              </w:rPr>
            </w:pPr>
          </w:p>
        </w:tc>
        <w:tc>
          <w:tcPr>
            <w:tcW w:w="2080" w:type="dxa"/>
            <w:vAlign w:val="bottom"/>
            <w:tcBorders>
              <w:top w:val="single" w:sz="8" w:color="auto"/>
              <w:bottom w:val="single" w:sz="8" w:color="00000A"/>
            </w:tcBorders>
          </w:tcPr>
          <w:p>
            <w:pPr>
              <w:spacing w:after="0"/>
              <w:rPr>
                <w:sz w:val="24"/>
                <w:szCs w:val="24"/>
                <w:color w:val="auto"/>
              </w:rPr>
            </w:pPr>
          </w:p>
        </w:tc>
        <w:tc>
          <w:tcPr>
            <w:tcW w:w="280" w:type="dxa"/>
            <w:vAlign w:val="bottom"/>
            <w:tcBorders>
              <w:bottom w:val="single" w:sz="8" w:color="00000A"/>
            </w:tcBorders>
          </w:tcPr>
          <w:p>
            <w:pPr>
              <w:spacing w:after="0"/>
              <w:rPr>
                <w:sz w:val="24"/>
                <w:szCs w:val="24"/>
                <w:color w:val="auto"/>
              </w:rPr>
            </w:pPr>
          </w:p>
        </w:tc>
        <w:tc>
          <w:tcPr>
            <w:tcW w:w="800" w:type="dxa"/>
            <w:vAlign w:val="bottom"/>
            <w:tcBorders>
              <w:bottom w:val="single" w:sz="8" w:color="00000A"/>
            </w:tcBorders>
          </w:tcPr>
          <w:p>
            <w:pPr>
              <w:spacing w:after="0"/>
              <w:rPr>
                <w:sz w:val="24"/>
                <w:szCs w:val="24"/>
                <w:color w:val="auto"/>
              </w:rPr>
            </w:pPr>
          </w:p>
        </w:tc>
        <w:tc>
          <w:tcPr>
            <w:tcW w:w="480" w:type="dxa"/>
            <w:vAlign w:val="bottom"/>
            <w:tcBorders>
              <w:bottom w:val="single" w:sz="8" w:color="00000A"/>
            </w:tcBorders>
          </w:tcPr>
          <w:p>
            <w:pPr>
              <w:spacing w:after="0"/>
              <w:rPr>
                <w:sz w:val="24"/>
                <w:szCs w:val="24"/>
                <w:color w:val="auto"/>
              </w:rPr>
            </w:pPr>
          </w:p>
        </w:tc>
        <w:tc>
          <w:tcPr>
            <w:tcW w:w="2380" w:type="dxa"/>
            <w:vAlign w:val="bottom"/>
            <w:tcBorders>
              <w:bottom w:val="single" w:sz="8" w:color="00000A"/>
            </w:tcBorders>
          </w:tcPr>
          <w:p>
            <w:pPr>
              <w:spacing w:after="0"/>
              <w:rPr>
                <w:sz w:val="24"/>
                <w:szCs w:val="24"/>
                <w:color w:val="auto"/>
              </w:rPr>
            </w:pPr>
          </w:p>
        </w:tc>
        <w:tc>
          <w:tcPr>
            <w:tcW w:w="50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80" w:type="dxa"/>
            <w:vAlign w:val="bottom"/>
            <w:tcBorders>
              <w:left w:val="single" w:sz="8" w:color="00000A"/>
            </w:tcBorders>
          </w:tcPr>
          <w:p>
            <w:pPr>
              <w:spacing w:after="0"/>
              <w:rPr>
                <w:sz w:val="18"/>
                <w:szCs w:val="18"/>
                <w:color w:val="auto"/>
              </w:rPr>
            </w:pPr>
          </w:p>
        </w:tc>
        <w:tc>
          <w:tcPr>
            <w:tcW w:w="2280" w:type="dxa"/>
            <w:vAlign w:val="bottom"/>
            <w:tcBorders>
              <w:right w:val="single" w:sz="8" w:color="00000A"/>
            </w:tcBorders>
            <w:gridSpan w:val="2"/>
          </w:tcPr>
          <w:p>
            <w:pPr>
              <w:jc w:val="center"/>
              <w:ind w:right="1660"/>
              <w:spacing w:after="0" w:line="209" w:lineRule="exact"/>
              <w:rPr>
                <w:sz w:val="20"/>
                <w:szCs w:val="20"/>
                <w:color w:val="auto"/>
              </w:rPr>
            </w:pPr>
            <w:r>
              <w:rPr>
                <w:rFonts w:ascii="Arial" w:cs="Arial" w:eastAsia="Arial" w:hAnsi="Arial"/>
                <w:sz w:val="20"/>
                <w:szCs w:val="20"/>
                <w:b w:val="1"/>
                <w:bCs w:val="1"/>
                <w:color w:val="auto"/>
                <w:w w:val="92"/>
              </w:rPr>
              <w:t>Lender</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Borders>
              <w:right w:val="single" w:sz="8" w:color="00000A"/>
            </w:tcBorders>
            <w:gridSpan w:val="3"/>
          </w:tcPr>
          <w:p>
            <w:pPr>
              <w:spacing w:after="0" w:line="209" w:lineRule="exact"/>
              <w:rPr>
                <w:sz w:val="20"/>
                <w:szCs w:val="20"/>
                <w:color w:val="auto"/>
              </w:rPr>
            </w:pPr>
            <w:r>
              <w:rPr>
                <w:rFonts w:ascii="Arial" w:cs="Arial" w:eastAsia="Arial" w:hAnsi="Arial"/>
                <w:sz w:val="20"/>
                <w:szCs w:val="20"/>
                <w:b w:val="1"/>
                <w:bCs w:val="1"/>
                <w:color w:val="auto"/>
              </w:rPr>
              <w:t>Effective Date Commitment</w:t>
            </w:r>
          </w:p>
        </w:tc>
        <w:tc>
          <w:tcPr>
            <w:tcW w:w="3360" w:type="dxa"/>
            <w:vAlign w:val="bottom"/>
            <w:tcBorders>
              <w:right w:val="single" w:sz="8" w:color="00000A"/>
            </w:tcBorders>
            <w:gridSpan w:val="3"/>
          </w:tcPr>
          <w:p>
            <w:pPr>
              <w:ind w:left="480"/>
              <w:spacing w:after="0" w:line="209" w:lineRule="exact"/>
              <w:rPr>
                <w:sz w:val="20"/>
                <w:szCs w:val="20"/>
                <w:color w:val="auto"/>
              </w:rPr>
            </w:pPr>
            <w:r>
              <w:rPr>
                <w:rFonts w:ascii="Arial" w:cs="Arial" w:eastAsia="Arial" w:hAnsi="Arial"/>
                <w:sz w:val="20"/>
                <w:szCs w:val="20"/>
                <w:b w:val="1"/>
                <w:bCs w:val="1"/>
                <w:color w:val="auto"/>
              </w:rPr>
              <w:t>Delayed Draw Commitment</w:t>
            </w:r>
          </w:p>
        </w:tc>
        <w:tc>
          <w:tcPr>
            <w:tcW w:w="0" w:type="dxa"/>
            <w:vAlign w:val="bottom"/>
          </w:tcPr>
          <w:p>
            <w:pPr>
              <w:spacing w:after="0"/>
              <w:rPr>
                <w:sz w:val="1"/>
                <w:szCs w:val="1"/>
                <w:color w:val="auto"/>
              </w:rPr>
            </w:pPr>
          </w:p>
        </w:tc>
      </w:tr>
      <w:tr>
        <w:trPr>
          <w:trHeight w:val="453"/>
        </w:trPr>
        <w:tc>
          <w:tcPr>
            <w:tcW w:w="1680" w:type="dxa"/>
            <w:vAlign w:val="bottom"/>
            <w:tcBorders>
              <w:left w:val="single" w:sz="8" w:color="00000A"/>
              <w:bottom w:val="single" w:sz="8" w:color="00000A"/>
            </w:tcBorders>
          </w:tcPr>
          <w:p>
            <w:pPr>
              <w:spacing w:after="0"/>
              <w:rPr>
                <w:sz w:val="24"/>
                <w:szCs w:val="24"/>
                <w:color w:val="auto"/>
              </w:rPr>
            </w:pPr>
          </w:p>
        </w:tc>
        <w:tc>
          <w:tcPr>
            <w:tcW w:w="620" w:type="dxa"/>
            <w:vAlign w:val="bottom"/>
            <w:tcBorders>
              <w:top w:val="single" w:sz="8" w:color="auto"/>
              <w:bottom w:val="single" w:sz="8" w:color="00000A"/>
            </w:tcBorders>
          </w:tcPr>
          <w:p>
            <w:pPr>
              <w:spacing w:after="0"/>
              <w:rPr>
                <w:sz w:val="24"/>
                <w:szCs w:val="24"/>
                <w:color w:val="auto"/>
              </w:rPr>
            </w:pPr>
          </w:p>
        </w:tc>
        <w:tc>
          <w:tcPr>
            <w:tcW w:w="1660" w:type="dxa"/>
            <w:vAlign w:val="bottom"/>
            <w:tcBorders>
              <w:bottom w:val="single" w:sz="8" w:color="00000A"/>
              <w:right w:val="single" w:sz="8" w:color="00000A"/>
            </w:tcBorders>
          </w:tcPr>
          <w:p>
            <w:pPr>
              <w:spacing w:after="0"/>
              <w:rPr>
                <w:sz w:val="24"/>
                <w:szCs w:val="24"/>
                <w:color w:val="auto"/>
              </w:rPr>
            </w:pPr>
          </w:p>
        </w:tc>
        <w:tc>
          <w:tcPr>
            <w:tcW w:w="4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2080" w:type="dxa"/>
            <w:vAlign w:val="bottom"/>
            <w:tcBorders>
              <w:top w:val="single" w:sz="8" w:color="auto"/>
              <w:bottom w:val="single" w:sz="8" w:color="00000A"/>
            </w:tcBorders>
          </w:tcPr>
          <w:p>
            <w:pPr>
              <w:spacing w:after="0"/>
              <w:rPr>
                <w:sz w:val="24"/>
                <w:szCs w:val="24"/>
                <w:color w:val="auto"/>
              </w:rPr>
            </w:pPr>
          </w:p>
        </w:tc>
        <w:tc>
          <w:tcPr>
            <w:tcW w:w="280" w:type="dxa"/>
            <w:vAlign w:val="bottom"/>
            <w:tcBorders>
              <w:top w:val="single" w:sz="8" w:color="auto"/>
              <w:bottom w:val="single" w:sz="8" w:color="00000A"/>
            </w:tcBorders>
          </w:tcPr>
          <w:p>
            <w:pPr>
              <w:spacing w:after="0"/>
              <w:rPr>
                <w:sz w:val="24"/>
                <w:szCs w:val="24"/>
                <w:color w:val="auto"/>
              </w:rPr>
            </w:pPr>
          </w:p>
        </w:tc>
        <w:tc>
          <w:tcPr>
            <w:tcW w:w="800" w:type="dxa"/>
            <w:vAlign w:val="bottom"/>
            <w:tcBorders>
              <w:bottom w:val="single" w:sz="8" w:color="00000A"/>
              <w:right w:val="single" w:sz="8" w:color="00000A"/>
            </w:tcBorders>
          </w:tcPr>
          <w:p>
            <w:pPr>
              <w:spacing w:after="0"/>
              <w:rPr>
                <w:sz w:val="24"/>
                <w:szCs w:val="24"/>
                <w:color w:val="auto"/>
              </w:rPr>
            </w:pPr>
          </w:p>
        </w:tc>
        <w:tc>
          <w:tcPr>
            <w:tcW w:w="480" w:type="dxa"/>
            <w:vAlign w:val="bottom"/>
            <w:tcBorders>
              <w:bottom w:val="single" w:sz="8" w:color="00000A"/>
            </w:tcBorders>
          </w:tcPr>
          <w:p>
            <w:pPr>
              <w:spacing w:after="0"/>
              <w:rPr>
                <w:sz w:val="24"/>
                <w:szCs w:val="24"/>
                <w:color w:val="auto"/>
              </w:rPr>
            </w:pPr>
          </w:p>
        </w:tc>
        <w:tc>
          <w:tcPr>
            <w:tcW w:w="2380" w:type="dxa"/>
            <w:vAlign w:val="bottom"/>
            <w:tcBorders>
              <w:top w:val="single" w:sz="8" w:color="auto"/>
              <w:bottom w:val="single" w:sz="8" w:color="00000A"/>
            </w:tcBorders>
          </w:tcPr>
          <w:p>
            <w:pPr>
              <w:spacing w:after="0"/>
              <w:rPr>
                <w:sz w:val="24"/>
                <w:szCs w:val="24"/>
                <w:color w:val="auto"/>
              </w:rPr>
            </w:pPr>
          </w:p>
        </w:tc>
        <w:tc>
          <w:tcPr>
            <w:tcW w:w="50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3960" w:type="dxa"/>
            <w:vAlign w:val="bottom"/>
            <w:tcBorders>
              <w:left w:val="single" w:sz="8" w:color="00000A"/>
              <w:right w:val="single" w:sz="8" w:color="00000A"/>
            </w:tcBorders>
            <w:gridSpan w:val="3"/>
          </w:tcPr>
          <w:p>
            <w:pPr>
              <w:jc w:val="center"/>
              <w:spacing w:after="0"/>
              <w:rPr>
                <w:sz w:val="20"/>
                <w:szCs w:val="20"/>
                <w:color w:val="auto"/>
              </w:rPr>
            </w:pPr>
            <w:r>
              <w:rPr>
                <w:rFonts w:ascii="Arial" w:cs="Arial" w:eastAsia="Arial" w:hAnsi="Arial"/>
                <w:sz w:val="20"/>
                <w:szCs w:val="20"/>
                <w:color w:val="auto"/>
                <w:w w:val="91"/>
              </w:rPr>
              <w:t>U.S Bank, National Association</w:t>
            </w:r>
          </w:p>
        </w:tc>
        <w:tc>
          <w:tcPr>
            <w:tcW w:w="2860" w:type="dxa"/>
            <w:vAlign w:val="bottom"/>
            <w:gridSpan w:val="3"/>
          </w:tcPr>
          <w:p>
            <w:pPr>
              <w:jc w:val="center"/>
              <w:ind w:left="961"/>
              <w:spacing w:after="0"/>
              <w:rPr>
                <w:sz w:val="20"/>
                <w:szCs w:val="20"/>
                <w:color w:val="auto"/>
              </w:rPr>
            </w:pPr>
            <w:r>
              <w:rPr>
                <w:rFonts w:ascii="Arial" w:cs="Arial" w:eastAsia="Arial" w:hAnsi="Arial"/>
                <w:sz w:val="20"/>
                <w:szCs w:val="20"/>
                <w:color w:val="auto"/>
                <w:w w:val="89"/>
              </w:rPr>
              <w:t>$50,000,000</w:t>
            </w:r>
          </w:p>
        </w:tc>
        <w:tc>
          <w:tcPr>
            <w:tcW w:w="280" w:type="dxa"/>
            <w:vAlign w:val="bottom"/>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2860" w:type="dxa"/>
            <w:vAlign w:val="bottom"/>
            <w:gridSpan w:val="2"/>
          </w:tcPr>
          <w:p>
            <w:pPr>
              <w:jc w:val="center"/>
              <w:ind w:left="361"/>
              <w:spacing w:after="0"/>
              <w:rPr>
                <w:sz w:val="20"/>
                <w:szCs w:val="20"/>
                <w:color w:val="auto"/>
              </w:rPr>
            </w:pPr>
            <w:r>
              <w:rPr>
                <w:rFonts w:ascii="Arial" w:cs="Arial" w:eastAsia="Arial" w:hAnsi="Arial"/>
                <w:sz w:val="20"/>
                <w:szCs w:val="20"/>
                <w:color w:val="auto"/>
                <w:w w:val="87"/>
              </w:rPr>
              <w:t>$0.00</w:t>
            </w:r>
          </w:p>
        </w:tc>
        <w:tc>
          <w:tcPr>
            <w:tcW w:w="50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680" w:type="dxa"/>
            <w:vAlign w:val="bottom"/>
            <w:tcBorders>
              <w:left w:val="single" w:sz="8" w:color="00000A"/>
              <w:bottom w:val="single" w:sz="8" w:color="00000A"/>
            </w:tcBorders>
          </w:tcPr>
          <w:p>
            <w:pPr>
              <w:spacing w:after="0"/>
              <w:rPr>
                <w:sz w:val="13"/>
                <w:szCs w:val="13"/>
                <w:color w:val="auto"/>
              </w:rPr>
            </w:pPr>
          </w:p>
        </w:tc>
        <w:tc>
          <w:tcPr>
            <w:tcW w:w="620" w:type="dxa"/>
            <w:vAlign w:val="bottom"/>
            <w:tcBorders>
              <w:bottom w:val="single" w:sz="8" w:color="00000A"/>
            </w:tcBorders>
          </w:tcPr>
          <w:p>
            <w:pPr>
              <w:spacing w:after="0"/>
              <w:rPr>
                <w:sz w:val="13"/>
                <w:szCs w:val="13"/>
                <w:color w:val="auto"/>
              </w:rPr>
            </w:pPr>
          </w:p>
        </w:tc>
        <w:tc>
          <w:tcPr>
            <w:tcW w:w="1660" w:type="dxa"/>
            <w:vAlign w:val="bottom"/>
            <w:tcBorders>
              <w:bottom w:val="single" w:sz="8" w:color="00000A"/>
              <w:right w:val="single" w:sz="8" w:color="00000A"/>
            </w:tcBorders>
          </w:tcPr>
          <w:p>
            <w:pPr>
              <w:spacing w:after="0"/>
              <w:rPr>
                <w:sz w:val="13"/>
                <w:szCs w:val="13"/>
                <w:color w:val="auto"/>
              </w:rPr>
            </w:pPr>
          </w:p>
        </w:tc>
        <w:tc>
          <w:tcPr>
            <w:tcW w:w="460" w:type="dxa"/>
            <w:vAlign w:val="bottom"/>
            <w:tcBorders>
              <w:bottom w:val="single" w:sz="8" w:color="00000A"/>
            </w:tcBorders>
          </w:tcPr>
          <w:p>
            <w:pPr>
              <w:spacing w:after="0"/>
              <w:rPr>
                <w:sz w:val="13"/>
                <w:szCs w:val="13"/>
                <w:color w:val="auto"/>
              </w:rPr>
            </w:pPr>
          </w:p>
        </w:tc>
        <w:tc>
          <w:tcPr>
            <w:tcW w:w="320" w:type="dxa"/>
            <w:vAlign w:val="bottom"/>
            <w:tcBorders>
              <w:bottom w:val="single" w:sz="8" w:color="00000A"/>
            </w:tcBorders>
          </w:tcPr>
          <w:p>
            <w:pPr>
              <w:spacing w:after="0"/>
              <w:rPr>
                <w:sz w:val="13"/>
                <w:szCs w:val="13"/>
                <w:color w:val="auto"/>
              </w:rPr>
            </w:pPr>
          </w:p>
        </w:tc>
        <w:tc>
          <w:tcPr>
            <w:tcW w:w="2080" w:type="dxa"/>
            <w:vAlign w:val="bottom"/>
            <w:tcBorders>
              <w:bottom w:val="single" w:sz="8" w:color="00000A"/>
            </w:tcBorders>
          </w:tcPr>
          <w:p>
            <w:pPr>
              <w:spacing w:after="0"/>
              <w:rPr>
                <w:sz w:val="13"/>
                <w:szCs w:val="13"/>
                <w:color w:val="auto"/>
              </w:rPr>
            </w:pPr>
          </w:p>
        </w:tc>
        <w:tc>
          <w:tcPr>
            <w:tcW w:w="280" w:type="dxa"/>
            <w:vAlign w:val="bottom"/>
            <w:tcBorders>
              <w:bottom w:val="single" w:sz="8" w:color="00000A"/>
            </w:tcBorders>
          </w:tcPr>
          <w:p>
            <w:pPr>
              <w:spacing w:after="0"/>
              <w:rPr>
                <w:sz w:val="13"/>
                <w:szCs w:val="13"/>
                <w:color w:val="auto"/>
              </w:rPr>
            </w:pPr>
          </w:p>
        </w:tc>
        <w:tc>
          <w:tcPr>
            <w:tcW w:w="800" w:type="dxa"/>
            <w:vAlign w:val="bottom"/>
            <w:tcBorders>
              <w:bottom w:val="single" w:sz="8" w:color="00000A"/>
              <w:right w:val="single" w:sz="8" w:color="00000A"/>
            </w:tcBorders>
          </w:tcPr>
          <w:p>
            <w:pPr>
              <w:spacing w:after="0"/>
              <w:rPr>
                <w:sz w:val="13"/>
                <w:szCs w:val="13"/>
                <w:color w:val="auto"/>
              </w:rPr>
            </w:pPr>
          </w:p>
        </w:tc>
        <w:tc>
          <w:tcPr>
            <w:tcW w:w="480" w:type="dxa"/>
            <w:vAlign w:val="bottom"/>
            <w:tcBorders>
              <w:bottom w:val="single" w:sz="8" w:color="00000A"/>
            </w:tcBorders>
          </w:tcPr>
          <w:p>
            <w:pPr>
              <w:spacing w:after="0"/>
              <w:rPr>
                <w:sz w:val="13"/>
                <w:szCs w:val="13"/>
                <w:color w:val="auto"/>
              </w:rPr>
            </w:pPr>
          </w:p>
        </w:tc>
        <w:tc>
          <w:tcPr>
            <w:tcW w:w="2380" w:type="dxa"/>
            <w:vAlign w:val="bottom"/>
            <w:tcBorders>
              <w:bottom w:val="single" w:sz="8" w:color="00000A"/>
            </w:tcBorders>
          </w:tcPr>
          <w:p>
            <w:pPr>
              <w:spacing w:after="0"/>
              <w:rPr>
                <w:sz w:val="13"/>
                <w:szCs w:val="13"/>
                <w:color w:val="auto"/>
              </w:rPr>
            </w:pPr>
          </w:p>
        </w:tc>
        <w:tc>
          <w:tcPr>
            <w:tcW w:w="500" w:type="dxa"/>
            <w:vAlign w:val="bottom"/>
            <w:tcBorders>
              <w:bottom w:val="single" w:sz="8" w:color="00000A"/>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3960" w:type="dxa"/>
            <w:vAlign w:val="bottom"/>
            <w:tcBorders>
              <w:left w:val="single" w:sz="8" w:color="00000A"/>
              <w:right w:val="single" w:sz="8" w:color="00000A"/>
            </w:tcBorders>
            <w:gridSpan w:val="3"/>
            <w:vMerge w:val="restart"/>
          </w:tcPr>
          <w:p>
            <w:pPr>
              <w:jc w:val="center"/>
              <w:spacing w:after="0"/>
              <w:rPr>
                <w:sz w:val="20"/>
                <w:szCs w:val="20"/>
                <w:color w:val="auto"/>
              </w:rPr>
            </w:pPr>
            <w:r>
              <w:rPr>
                <w:rFonts w:ascii="Arial" w:cs="Arial" w:eastAsia="Arial" w:hAnsi="Arial"/>
                <w:sz w:val="20"/>
                <w:szCs w:val="20"/>
                <w:color w:val="auto"/>
                <w:w w:val="93"/>
              </w:rPr>
              <w:t>CoBank, ACB</w:t>
            </w:r>
          </w:p>
        </w:tc>
        <w:tc>
          <w:tcPr>
            <w:tcW w:w="2860" w:type="dxa"/>
            <w:vAlign w:val="bottom"/>
            <w:gridSpan w:val="3"/>
          </w:tcPr>
          <w:p>
            <w:pPr>
              <w:jc w:val="center"/>
              <w:ind w:left="961"/>
              <w:spacing w:after="0"/>
              <w:rPr>
                <w:sz w:val="20"/>
                <w:szCs w:val="20"/>
                <w:color w:val="auto"/>
              </w:rPr>
            </w:pPr>
            <w:r>
              <w:rPr>
                <w:rFonts w:ascii="Arial" w:cs="Arial" w:eastAsia="Arial" w:hAnsi="Arial"/>
                <w:sz w:val="20"/>
                <w:szCs w:val="20"/>
                <w:color w:val="auto"/>
                <w:w w:val="89"/>
              </w:rPr>
              <w:t>$25,000,000</w:t>
            </w:r>
          </w:p>
        </w:tc>
        <w:tc>
          <w:tcPr>
            <w:tcW w:w="280" w:type="dxa"/>
            <w:vAlign w:val="bottom"/>
          </w:tcPr>
          <w:p>
            <w:pPr>
              <w:spacing w:after="0"/>
              <w:rPr>
                <w:sz w:val="22"/>
                <w:szCs w:val="22"/>
                <w:color w:val="auto"/>
              </w:rPr>
            </w:pPr>
          </w:p>
        </w:tc>
        <w:tc>
          <w:tcPr>
            <w:tcW w:w="800" w:type="dxa"/>
            <w:vAlign w:val="bottom"/>
            <w:tcBorders>
              <w:right w:val="single" w:sz="8" w:color="00000A"/>
            </w:tcBorders>
          </w:tcPr>
          <w:p>
            <w:pPr>
              <w:spacing w:after="0"/>
              <w:rPr>
                <w:sz w:val="22"/>
                <w:szCs w:val="22"/>
                <w:color w:val="auto"/>
              </w:rPr>
            </w:pPr>
          </w:p>
        </w:tc>
        <w:tc>
          <w:tcPr>
            <w:tcW w:w="2860" w:type="dxa"/>
            <w:vAlign w:val="bottom"/>
            <w:gridSpan w:val="2"/>
            <w:vMerge w:val="restart"/>
          </w:tcPr>
          <w:p>
            <w:pPr>
              <w:jc w:val="center"/>
              <w:ind w:left="361"/>
              <w:spacing w:after="0"/>
              <w:rPr>
                <w:sz w:val="20"/>
                <w:szCs w:val="20"/>
                <w:color w:val="auto"/>
              </w:rPr>
            </w:pPr>
            <w:r>
              <w:rPr>
                <w:rFonts w:ascii="Arial" w:cs="Arial" w:eastAsia="Arial" w:hAnsi="Arial"/>
                <w:sz w:val="20"/>
                <w:szCs w:val="20"/>
                <w:color w:val="auto"/>
                <w:w w:val="87"/>
              </w:rPr>
              <w:t>$0.00</w:t>
            </w:r>
          </w:p>
        </w:tc>
        <w:tc>
          <w:tcPr>
            <w:tcW w:w="50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3960" w:type="dxa"/>
            <w:vAlign w:val="bottom"/>
            <w:tcBorders>
              <w:left w:val="single" w:sz="8" w:color="00000A"/>
              <w:right w:val="single" w:sz="8" w:color="00000A"/>
            </w:tcBorders>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2860" w:type="dxa"/>
            <w:vAlign w:val="bottom"/>
            <w:gridSpan w:val="2"/>
            <w:vMerge w:val="continue"/>
          </w:tcPr>
          <w:p>
            <w:pPr>
              <w:spacing w:after="0"/>
              <w:rPr>
                <w:sz w:val="7"/>
                <w:szCs w:val="7"/>
                <w:color w:val="auto"/>
              </w:rPr>
            </w:pPr>
          </w:p>
        </w:tc>
        <w:tc>
          <w:tcPr>
            <w:tcW w:w="5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680" w:type="dxa"/>
            <w:vAlign w:val="bottom"/>
            <w:tcBorders>
              <w:left w:val="single" w:sz="8" w:color="00000A"/>
              <w:bottom w:val="single" w:sz="8" w:color="00000A"/>
            </w:tcBorders>
          </w:tcPr>
          <w:p>
            <w:pPr>
              <w:spacing w:after="0"/>
              <w:rPr>
                <w:sz w:val="18"/>
                <w:szCs w:val="18"/>
                <w:color w:val="auto"/>
              </w:rPr>
            </w:pPr>
          </w:p>
        </w:tc>
        <w:tc>
          <w:tcPr>
            <w:tcW w:w="620" w:type="dxa"/>
            <w:vAlign w:val="bottom"/>
            <w:tcBorders>
              <w:bottom w:val="single" w:sz="8" w:color="00000A"/>
            </w:tcBorders>
          </w:tcPr>
          <w:p>
            <w:pPr>
              <w:spacing w:after="0"/>
              <w:rPr>
                <w:sz w:val="18"/>
                <w:szCs w:val="18"/>
                <w:color w:val="auto"/>
              </w:rPr>
            </w:pPr>
          </w:p>
        </w:tc>
        <w:tc>
          <w:tcPr>
            <w:tcW w:w="1660" w:type="dxa"/>
            <w:vAlign w:val="bottom"/>
            <w:tcBorders>
              <w:bottom w:val="single" w:sz="8" w:color="00000A"/>
              <w:right w:val="single" w:sz="8" w:color="00000A"/>
            </w:tcBorders>
          </w:tcPr>
          <w:p>
            <w:pPr>
              <w:spacing w:after="0"/>
              <w:rPr>
                <w:sz w:val="18"/>
                <w:szCs w:val="18"/>
                <w:color w:val="auto"/>
              </w:rPr>
            </w:pPr>
          </w:p>
        </w:tc>
        <w:tc>
          <w:tcPr>
            <w:tcW w:w="460" w:type="dxa"/>
            <w:vAlign w:val="bottom"/>
            <w:tcBorders>
              <w:bottom w:val="single" w:sz="8" w:color="00000A"/>
            </w:tcBorders>
          </w:tcPr>
          <w:p>
            <w:pPr>
              <w:spacing w:after="0"/>
              <w:rPr>
                <w:sz w:val="18"/>
                <w:szCs w:val="18"/>
                <w:color w:val="auto"/>
              </w:rPr>
            </w:pPr>
          </w:p>
        </w:tc>
        <w:tc>
          <w:tcPr>
            <w:tcW w:w="320" w:type="dxa"/>
            <w:vAlign w:val="bottom"/>
            <w:tcBorders>
              <w:bottom w:val="single" w:sz="8" w:color="00000A"/>
            </w:tcBorders>
          </w:tcPr>
          <w:p>
            <w:pPr>
              <w:spacing w:after="0"/>
              <w:rPr>
                <w:sz w:val="18"/>
                <w:szCs w:val="18"/>
                <w:color w:val="auto"/>
              </w:rPr>
            </w:pPr>
          </w:p>
        </w:tc>
        <w:tc>
          <w:tcPr>
            <w:tcW w:w="2080" w:type="dxa"/>
            <w:vAlign w:val="bottom"/>
            <w:tcBorders>
              <w:bottom w:val="single" w:sz="8" w:color="00000A"/>
            </w:tcBorders>
          </w:tcPr>
          <w:p>
            <w:pPr>
              <w:spacing w:after="0"/>
              <w:rPr>
                <w:sz w:val="18"/>
                <w:szCs w:val="18"/>
                <w:color w:val="auto"/>
              </w:rPr>
            </w:pPr>
          </w:p>
        </w:tc>
        <w:tc>
          <w:tcPr>
            <w:tcW w:w="280" w:type="dxa"/>
            <w:vAlign w:val="bottom"/>
            <w:tcBorders>
              <w:bottom w:val="single" w:sz="8" w:color="00000A"/>
            </w:tcBorders>
          </w:tcPr>
          <w:p>
            <w:pPr>
              <w:spacing w:after="0"/>
              <w:rPr>
                <w:sz w:val="18"/>
                <w:szCs w:val="18"/>
                <w:color w:val="auto"/>
              </w:rPr>
            </w:pPr>
          </w:p>
        </w:tc>
        <w:tc>
          <w:tcPr>
            <w:tcW w:w="800" w:type="dxa"/>
            <w:vAlign w:val="bottom"/>
            <w:tcBorders>
              <w:bottom w:val="single" w:sz="8" w:color="00000A"/>
              <w:right w:val="single" w:sz="8" w:color="00000A"/>
            </w:tcBorders>
          </w:tcPr>
          <w:p>
            <w:pPr>
              <w:spacing w:after="0"/>
              <w:rPr>
                <w:sz w:val="18"/>
                <w:szCs w:val="18"/>
                <w:color w:val="auto"/>
              </w:rPr>
            </w:pPr>
          </w:p>
        </w:tc>
        <w:tc>
          <w:tcPr>
            <w:tcW w:w="480" w:type="dxa"/>
            <w:vAlign w:val="bottom"/>
            <w:tcBorders>
              <w:bottom w:val="single" w:sz="8" w:color="00000A"/>
            </w:tcBorders>
          </w:tcPr>
          <w:p>
            <w:pPr>
              <w:spacing w:after="0"/>
              <w:rPr>
                <w:sz w:val="18"/>
                <w:szCs w:val="18"/>
                <w:color w:val="auto"/>
              </w:rPr>
            </w:pPr>
          </w:p>
        </w:tc>
        <w:tc>
          <w:tcPr>
            <w:tcW w:w="2380" w:type="dxa"/>
            <w:vAlign w:val="bottom"/>
            <w:tcBorders>
              <w:bottom w:val="single" w:sz="8" w:color="00000A"/>
            </w:tcBorders>
          </w:tcPr>
          <w:p>
            <w:pPr>
              <w:spacing w:after="0"/>
              <w:rPr>
                <w:sz w:val="18"/>
                <w:szCs w:val="18"/>
                <w:color w:val="auto"/>
              </w:rPr>
            </w:pPr>
          </w:p>
        </w:tc>
        <w:tc>
          <w:tcPr>
            <w:tcW w:w="50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3960" w:type="dxa"/>
            <w:vAlign w:val="bottom"/>
            <w:tcBorders>
              <w:left w:val="single" w:sz="8" w:color="00000A"/>
              <w:right w:val="single" w:sz="8" w:color="00000A"/>
            </w:tcBorders>
            <w:gridSpan w:val="3"/>
          </w:tcPr>
          <w:p>
            <w:pPr>
              <w:jc w:val="center"/>
              <w:spacing w:after="0"/>
              <w:rPr>
                <w:sz w:val="20"/>
                <w:szCs w:val="20"/>
                <w:color w:val="auto"/>
              </w:rPr>
            </w:pPr>
            <w:r>
              <w:rPr>
                <w:rFonts w:ascii="Arial" w:cs="Arial" w:eastAsia="Arial" w:hAnsi="Arial"/>
                <w:sz w:val="20"/>
                <w:szCs w:val="20"/>
                <w:color w:val="auto"/>
                <w:w w:val="89"/>
              </w:rPr>
              <w:t>JPMorgan Chase Bank, N.A.</w:t>
            </w:r>
          </w:p>
        </w:tc>
        <w:tc>
          <w:tcPr>
            <w:tcW w:w="2860" w:type="dxa"/>
            <w:vAlign w:val="bottom"/>
            <w:gridSpan w:val="3"/>
          </w:tcPr>
          <w:p>
            <w:pPr>
              <w:jc w:val="center"/>
              <w:ind w:left="961"/>
              <w:spacing w:after="0"/>
              <w:rPr>
                <w:sz w:val="20"/>
                <w:szCs w:val="20"/>
                <w:color w:val="auto"/>
              </w:rPr>
            </w:pPr>
            <w:r>
              <w:rPr>
                <w:rFonts w:ascii="Arial" w:cs="Arial" w:eastAsia="Arial" w:hAnsi="Arial"/>
                <w:sz w:val="20"/>
                <w:szCs w:val="20"/>
                <w:color w:val="auto"/>
                <w:w w:val="87"/>
              </w:rPr>
              <w:t>$0.00</w:t>
            </w:r>
          </w:p>
        </w:tc>
        <w:tc>
          <w:tcPr>
            <w:tcW w:w="280" w:type="dxa"/>
            <w:vAlign w:val="bottom"/>
          </w:tcPr>
          <w:p>
            <w:pPr>
              <w:spacing w:after="0"/>
              <w:rPr>
                <w:sz w:val="24"/>
                <w:szCs w:val="24"/>
                <w:color w:val="auto"/>
              </w:rPr>
            </w:pPr>
          </w:p>
        </w:tc>
        <w:tc>
          <w:tcPr>
            <w:tcW w:w="800" w:type="dxa"/>
            <w:vAlign w:val="bottom"/>
            <w:tcBorders>
              <w:right w:val="single" w:sz="8" w:color="00000A"/>
            </w:tcBorders>
          </w:tcPr>
          <w:p>
            <w:pPr>
              <w:spacing w:after="0"/>
              <w:rPr>
                <w:sz w:val="24"/>
                <w:szCs w:val="24"/>
                <w:color w:val="auto"/>
              </w:rPr>
            </w:pPr>
          </w:p>
        </w:tc>
        <w:tc>
          <w:tcPr>
            <w:tcW w:w="2860" w:type="dxa"/>
            <w:vAlign w:val="bottom"/>
            <w:gridSpan w:val="2"/>
          </w:tcPr>
          <w:p>
            <w:pPr>
              <w:jc w:val="center"/>
              <w:ind w:left="381"/>
              <w:spacing w:after="0"/>
              <w:rPr>
                <w:sz w:val="20"/>
                <w:szCs w:val="20"/>
                <w:color w:val="auto"/>
              </w:rPr>
            </w:pPr>
            <w:r>
              <w:rPr>
                <w:rFonts w:ascii="Arial" w:cs="Arial" w:eastAsia="Arial" w:hAnsi="Arial"/>
                <w:sz w:val="20"/>
                <w:szCs w:val="20"/>
                <w:color w:val="auto"/>
                <w:w w:val="88"/>
              </w:rPr>
              <w:t>$20,000,000</w:t>
            </w:r>
          </w:p>
        </w:tc>
        <w:tc>
          <w:tcPr>
            <w:tcW w:w="50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680" w:type="dxa"/>
            <w:vAlign w:val="bottom"/>
            <w:tcBorders>
              <w:left w:val="single" w:sz="8" w:color="00000A"/>
              <w:bottom w:val="single" w:sz="8" w:color="00000A"/>
            </w:tcBorders>
          </w:tcPr>
          <w:p>
            <w:pPr>
              <w:spacing w:after="0"/>
              <w:rPr>
                <w:sz w:val="18"/>
                <w:szCs w:val="18"/>
                <w:color w:val="auto"/>
              </w:rPr>
            </w:pPr>
          </w:p>
        </w:tc>
        <w:tc>
          <w:tcPr>
            <w:tcW w:w="620" w:type="dxa"/>
            <w:vAlign w:val="bottom"/>
            <w:tcBorders>
              <w:bottom w:val="single" w:sz="8" w:color="00000A"/>
            </w:tcBorders>
          </w:tcPr>
          <w:p>
            <w:pPr>
              <w:spacing w:after="0"/>
              <w:rPr>
                <w:sz w:val="18"/>
                <w:szCs w:val="18"/>
                <w:color w:val="auto"/>
              </w:rPr>
            </w:pPr>
          </w:p>
        </w:tc>
        <w:tc>
          <w:tcPr>
            <w:tcW w:w="1660" w:type="dxa"/>
            <w:vAlign w:val="bottom"/>
            <w:tcBorders>
              <w:bottom w:val="single" w:sz="8" w:color="00000A"/>
              <w:right w:val="single" w:sz="8" w:color="00000A"/>
            </w:tcBorders>
          </w:tcPr>
          <w:p>
            <w:pPr>
              <w:spacing w:after="0"/>
              <w:rPr>
                <w:sz w:val="18"/>
                <w:szCs w:val="18"/>
                <w:color w:val="auto"/>
              </w:rPr>
            </w:pPr>
          </w:p>
        </w:tc>
        <w:tc>
          <w:tcPr>
            <w:tcW w:w="460" w:type="dxa"/>
            <w:vAlign w:val="bottom"/>
            <w:tcBorders>
              <w:bottom w:val="single" w:sz="8" w:color="00000A"/>
            </w:tcBorders>
          </w:tcPr>
          <w:p>
            <w:pPr>
              <w:spacing w:after="0"/>
              <w:rPr>
                <w:sz w:val="18"/>
                <w:szCs w:val="18"/>
                <w:color w:val="auto"/>
              </w:rPr>
            </w:pPr>
          </w:p>
        </w:tc>
        <w:tc>
          <w:tcPr>
            <w:tcW w:w="320" w:type="dxa"/>
            <w:vAlign w:val="bottom"/>
            <w:tcBorders>
              <w:bottom w:val="single" w:sz="8" w:color="00000A"/>
            </w:tcBorders>
          </w:tcPr>
          <w:p>
            <w:pPr>
              <w:spacing w:after="0"/>
              <w:rPr>
                <w:sz w:val="18"/>
                <w:szCs w:val="18"/>
                <w:color w:val="auto"/>
              </w:rPr>
            </w:pPr>
          </w:p>
        </w:tc>
        <w:tc>
          <w:tcPr>
            <w:tcW w:w="2080" w:type="dxa"/>
            <w:vAlign w:val="bottom"/>
            <w:tcBorders>
              <w:bottom w:val="single" w:sz="8" w:color="00000A"/>
            </w:tcBorders>
          </w:tcPr>
          <w:p>
            <w:pPr>
              <w:spacing w:after="0"/>
              <w:rPr>
                <w:sz w:val="18"/>
                <w:szCs w:val="18"/>
                <w:color w:val="auto"/>
              </w:rPr>
            </w:pPr>
          </w:p>
        </w:tc>
        <w:tc>
          <w:tcPr>
            <w:tcW w:w="280" w:type="dxa"/>
            <w:vAlign w:val="bottom"/>
            <w:tcBorders>
              <w:bottom w:val="single" w:sz="8" w:color="00000A"/>
            </w:tcBorders>
          </w:tcPr>
          <w:p>
            <w:pPr>
              <w:spacing w:after="0"/>
              <w:rPr>
                <w:sz w:val="18"/>
                <w:szCs w:val="18"/>
                <w:color w:val="auto"/>
              </w:rPr>
            </w:pPr>
          </w:p>
        </w:tc>
        <w:tc>
          <w:tcPr>
            <w:tcW w:w="800" w:type="dxa"/>
            <w:vAlign w:val="bottom"/>
            <w:tcBorders>
              <w:bottom w:val="single" w:sz="8" w:color="00000A"/>
              <w:right w:val="single" w:sz="8" w:color="00000A"/>
            </w:tcBorders>
          </w:tcPr>
          <w:p>
            <w:pPr>
              <w:spacing w:after="0"/>
              <w:rPr>
                <w:sz w:val="18"/>
                <w:szCs w:val="18"/>
                <w:color w:val="auto"/>
              </w:rPr>
            </w:pPr>
          </w:p>
        </w:tc>
        <w:tc>
          <w:tcPr>
            <w:tcW w:w="480" w:type="dxa"/>
            <w:vAlign w:val="bottom"/>
            <w:tcBorders>
              <w:bottom w:val="single" w:sz="8" w:color="00000A"/>
            </w:tcBorders>
          </w:tcPr>
          <w:p>
            <w:pPr>
              <w:spacing w:after="0"/>
              <w:rPr>
                <w:sz w:val="18"/>
                <w:szCs w:val="18"/>
                <w:color w:val="auto"/>
              </w:rPr>
            </w:pPr>
          </w:p>
        </w:tc>
        <w:tc>
          <w:tcPr>
            <w:tcW w:w="2380" w:type="dxa"/>
            <w:vAlign w:val="bottom"/>
            <w:tcBorders>
              <w:bottom w:val="single" w:sz="8" w:color="00000A"/>
            </w:tcBorders>
          </w:tcPr>
          <w:p>
            <w:pPr>
              <w:spacing w:after="0"/>
              <w:rPr>
                <w:sz w:val="18"/>
                <w:szCs w:val="18"/>
                <w:color w:val="auto"/>
              </w:rPr>
            </w:pPr>
          </w:p>
        </w:tc>
        <w:tc>
          <w:tcPr>
            <w:tcW w:w="50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960" w:type="dxa"/>
            <w:vAlign w:val="bottom"/>
            <w:tcBorders>
              <w:left w:val="single" w:sz="8" w:color="00000A"/>
              <w:right w:val="single" w:sz="8" w:color="00000A"/>
            </w:tcBorders>
            <w:gridSpan w:val="3"/>
            <w:vMerge w:val="restart"/>
          </w:tcPr>
          <w:p>
            <w:pPr>
              <w:jc w:val="center"/>
              <w:spacing w:after="0"/>
              <w:rPr>
                <w:sz w:val="20"/>
                <w:szCs w:val="20"/>
                <w:color w:val="auto"/>
              </w:rPr>
            </w:pPr>
            <w:r>
              <w:rPr>
                <w:rFonts w:ascii="Arial" w:cs="Arial" w:eastAsia="Arial" w:hAnsi="Arial"/>
                <w:sz w:val="20"/>
                <w:szCs w:val="20"/>
                <w:color w:val="auto"/>
                <w:w w:val="93"/>
              </w:rPr>
              <w:t>Bank of America, N.A.</w:t>
            </w:r>
          </w:p>
        </w:tc>
        <w:tc>
          <w:tcPr>
            <w:tcW w:w="2860" w:type="dxa"/>
            <w:vAlign w:val="bottom"/>
            <w:gridSpan w:val="3"/>
          </w:tcPr>
          <w:p>
            <w:pPr>
              <w:jc w:val="center"/>
              <w:ind w:left="961"/>
              <w:spacing w:after="0"/>
              <w:rPr>
                <w:sz w:val="20"/>
                <w:szCs w:val="20"/>
                <w:color w:val="auto"/>
              </w:rPr>
            </w:pPr>
            <w:r>
              <w:rPr>
                <w:rFonts w:ascii="Arial" w:cs="Arial" w:eastAsia="Arial" w:hAnsi="Arial"/>
                <w:sz w:val="20"/>
                <w:szCs w:val="20"/>
                <w:color w:val="auto"/>
                <w:w w:val="89"/>
              </w:rPr>
              <w:t>$20,000,000</w:t>
            </w:r>
          </w:p>
        </w:tc>
        <w:tc>
          <w:tcPr>
            <w:tcW w:w="280" w:type="dxa"/>
            <w:vAlign w:val="bottom"/>
          </w:tcPr>
          <w:p>
            <w:pPr>
              <w:spacing w:after="0"/>
              <w:rPr>
                <w:sz w:val="22"/>
                <w:szCs w:val="22"/>
                <w:color w:val="auto"/>
              </w:rPr>
            </w:pPr>
          </w:p>
        </w:tc>
        <w:tc>
          <w:tcPr>
            <w:tcW w:w="800" w:type="dxa"/>
            <w:vAlign w:val="bottom"/>
            <w:tcBorders>
              <w:right w:val="single" w:sz="8" w:color="00000A"/>
            </w:tcBorders>
          </w:tcPr>
          <w:p>
            <w:pPr>
              <w:spacing w:after="0"/>
              <w:rPr>
                <w:sz w:val="22"/>
                <w:szCs w:val="22"/>
                <w:color w:val="auto"/>
              </w:rPr>
            </w:pPr>
          </w:p>
        </w:tc>
        <w:tc>
          <w:tcPr>
            <w:tcW w:w="2860" w:type="dxa"/>
            <w:vAlign w:val="bottom"/>
            <w:gridSpan w:val="2"/>
            <w:vMerge w:val="restart"/>
          </w:tcPr>
          <w:p>
            <w:pPr>
              <w:jc w:val="center"/>
              <w:ind w:left="361"/>
              <w:spacing w:after="0"/>
              <w:rPr>
                <w:sz w:val="20"/>
                <w:szCs w:val="20"/>
                <w:color w:val="auto"/>
              </w:rPr>
            </w:pPr>
            <w:r>
              <w:rPr>
                <w:rFonts w:ascii="Arial" w:cs="Arial" w:eastAsia="Arial" w:hAnsi="Arial"/>
                <w:sz w:val="20"/>
                <w:szCs w:val="20"/>
                <w:color w:val="auto"/>
                <w:w w:val="87"/>
              </w:rPr>
              <w:t>$0.00</w:t>
            </w:r>
          </w:p>
        </w:tc>
        <w:tc>
          <w:tcPr>
            <w:tcW w:w="50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3960" w:type="dxa"/>
            <w:vAlign w:val="bottom"/>
            <w:tcBorders>
              <w:left w:val="single" w:sz="8" w:color="00000A"/>
              <w:right w:val="single" w:sz="8" w:color="00000A"/>
            </w:tcBorders>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Borders>
              <w:right w:val="single" w:sz="8" w:color="00000A"/>
            </w:tcBorders>
          </w:tcPr>
          <w:p>
            <w:pPr>
              <w:spacing w:after="0"/>
              <w:rPr>
                <w:sz w:val="7"/>
                <w:szCs w:val="7"/>
                <w:color w:val="auto"/>
              </w:rPr>
            </w:pPr>
          </w:p>
        </w:tc>
        <w:tc>
          <w:tcPr>
            <w:tcW w:w="2860" w:type="dxa"/>
            <w:vAlign w:val="bottom"/>
            <w:gridSpan w:val="2"/>
            <w:vMerge w:val="continue"/>
          </w:tcPr>
          <w:p>
            <w:pPr>
              <w:spacing w:after="0"/>
              <w:rPr>
                <w:sz w:val="7"/>
                <w:szCs w:val="7"/>
                <w:color w:val="auto"/>
              </w:rPr>
            </w:pPr>
          </w:p>
        </w:tc>
        <w:tc>
          <w:tcPr>
            <w:tcW w:w="50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680" w:type="dxa"/>
            <w:vAlign w:val="bottom"/>
            <w:tcBorders>
              <w:left w:val="single" w:sz="8" w:color="00000A"/>
              <w:bottom w:val="single" w:sz="8" w:color="00000A"/>
            </w:tcBorders>
          </w:tcPr>
          <w:p>
            <w:pPr>
              <w:spacing w:after="0"/>
              <w:rPr>
                <w:sz w:val="18"/>
                <w:szCs w:val="18"/>
                <w:color w:val="auto"/>
              </w:rPr>
            </w:pPr>
          </w:p>
        </w:tc>
        <w:tc>
          <w:tcPr>
            <w:tcW w:w="620" w:type="dxa"/>
            <w:vAlign w:val="bottom"/>
            <w:tcBorders>
              <w:bottom w:val="single" w:sz="8" w:color="00000A"/>
            </w:tcBorders>
          </w:tcPr>
          <w:p>
            <w:pPr>
              <w:spacing w:after="0"/>
              <w:rPr>
                <w:sz w:val="18"/>
                <w:szCs w:val="18"/>
                <w:color w:val="auto"/>
              </w:rPr>
            </w:pPr>
          </w:p>
        </w:tc>
        <w:tc>
          <w:tcPr>
            <w:tcW w:w="1660" w:type="dxa"/>
            <w:vAlign w:val="bottom"/>
            <w:tcBorders>
              <w:bottom w:val="single" w:sz="8" w:color="00000A"/>
              <w:right w:val="single" w:sz="8" w:color="00000A"/>
            </w:tcBorders>
          </w:tcPr>
          <w:p>
            <w:pPr>
              <w:spacing w:after="0"/>
              <w:rPr>
                <w:sz w:val="18"/>
                <w:szCs w:val="18"/>
                <w:color w:val="auto"/>
              </w:rPr>
            </w:pPr>
          </w:p>
        </w:tc>
        <w:tc>
          <w:tcPr>
            <w:tcW w:w="460" w:type="dxa"/>
            <w:vAlign w:val="bottom"/>
            <w:tcBorders>
              <w:bottom w:val="single" w:sz="8" w:color="00000A"/>
            </w:tcBorders>
          </w:tcPr>
          <w:p>
            <w:pPr>
              <w:spacing w:after="0"/>
              <w:rPr>
                <w:sz w:val="18"/>
                <w:szCs w:val="18"/>
                <w:color w:val="auto"/>
              </w:rPr>
            </w:pPr>
          </w:p>
        </w:tc>
        <w:tc>
          <w:tcPr>
            <w:tcW w:w="320" w:type="dxa"/>
            <w:vAlign w:val="bottom"/>
            <w:tcBorders>
              <w:bottom w:val="single" w:sz="8" w:color="00000A"/>
            </w:tcBorders>
          </w:tcPr>
          <w:p>
            <w:pPr>
              <w:spacing w:after="0"/>
              <w:rPr>
                <w:sz w:val="18"/>
                <w:szCs w:val="18"/>
                <w:color w:val="auto"/>
              </w:rPr>
            </w:pPr>
          </w:p>
        </w:tc>
        <w:tc>
          <w:tcPr>
            <w:tcW w:w="2080" w:type="dxa"/>
            <w:vAlign w:val="bottom"/>
            <w:tcBorders>
              <w:bottom w:val="single" w:sz="8" w:color="00000A"/>
            </w:tcBorders>
          </w:tcPr>
          <w:p>
            <w:pPr>
              <w:spacing w:after="0"/>
              <w:rPr>
                <w:sz w:val="18"/>
                <w:szCs w:val="18"/>
                <w:color w:val="auto"/>
              </w:rPr>
            </w:pPr>
          </w:p>
        </w:tc>
        <w:tc>
          <w:tcPr>
            <w:tcW w:w="280" w:type="dxa"/>
            <w:vAlign w:val="bottom"/>
            <w:tcBorders>
              <w:bottom w:val="single" w:sz="8" w:color="00000A"/>
            </w:tcBorders>
          </w:tcPr>
          <w:p>
            <w:pPr>
              <w:spacing w:after="0"/>
              <w:rPr>
                <w:sz w:val="18"/>
                <w:szCs w:val="18"/>
                <w:color w:val="auto"/>
              </w:rPr>
            </w:pPr>
          </w:p>
        </w:tc>
        <w:tc>
          <w:tcPr>
            <w:tcW w:w="800" w:type="dxa"/>
            <w:vAlign w:val="bottom"/>
            <w:tcBorders>
              <w:bottom w:val="single" w:sz="8" w:color="00000A"/>
              <w:right w:val="single" w:sz="8" w:color="00000A"/>
            </w:tcBorders>
          </w:tcPr>
          <w:p>
            <w:pPr>
              <w:spacing w:after="0"/>
              <w:rPr>
                <w:sz w:val="18"/>
                <w:szCs w:val="18"/>
                <w:color w:val="auto"/>
              </w:rPr>
            </w:pPr>
          </w:p>
        </w:tc>
        <w:tc>
          <w:tcPr>
            <w:tcW w:w="480" w:type="dxa"/>
            <w:vAlign w:val="bottom"/>
            <w:tcBorders>
              <w:bottom w:val="single" w:sz="8" w:color="00000A"/>
            </w:tcBorders>
          </w:tcPr>
          <w:p>
            <w:pPr>
              <w:spacing w:after="0"/>
              <w:rPr>
                <w:sz w:val="18"/>
                <w:szCs w:val="18"/>
                <w:color w:val="auto"/>
              </w:rPr>
            </w:pPr>
          </w:p>
        </w:tc>
        <w:tc>
          <w:tcPr>
            <w:tcW w:w="2380" w:type="dxa"/>
            <w:vAlign w:val="bottom"/>
            <w:tcBorders>
              <w:bottom w:val="single" w:sz="8" w:color="00000A"/>
            </w:tcBorders>
          </w:tcPr>
          <w:p>
            <w:pPr>
              <w:spacing w:after="0"/>
              <w:rPr>
                <w:sz w:val="18"/>
                <w:szCs w:val="18"/>
                <w:color w:val="auto"/>
              </w:rPr>
            </w:pPr>
          </w:p>
        </w:tc>
        <w:tc>
          <w:tcPr>
            <w:tcW w:w="500" w:type="dxa"/>
            <w:vAlign w:val="bottom"/>
            <w:tcBorders>
              <w:bottom w:val="single" w:sz="8" w:color="00000A"/>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680" w:type="dxa"/>
            <w:vAlign w:val="bottom"/>
            <w:tcBorders>
              <w:left w:val="single" w:sz="8" w:color="00000A"/>
            </w:tcBorders>
          </w:tcPr>
          <w:p>
            <w:pPr>
              <w:spacing w:after="0"/>
              <w:rPr>
                <w:sz w:val="22"/>
                <w:szCs w:val="22"/>
                <w:color w:val="auto"/>
              </w:rPr>
            </w:pPr>
          </w:p>
        </w:tc>
        <w:tc>
          <w:tcPr>
            <w:tcW w:w="2280" w:type="dxa"/>
            <w:vAlign w:val="bottom"/>
            <w:tcBorders>
              <w:right w:val="single" w:sz="8" w:color="00000A"/>
            </w:tcBorders>
            <w:gridSpan w:val="2"/>
          </w:tcPr>
          <w:p>
            <w:pPr>
              <w:jc w:val="center"/>
              <w:ind w:right="1680"/>
              <w:spacing w:after="0"/>
              <w:rPr>
                <w:sz w:val="20"/>
                <w:szCs w:val="20"/>
                <w:color w:val="auto"/>
              </w:rPr>
            </w:pPr>
            <w:r>
              <w:rPr>
                <w:rFonts w:ascii="Arial" w:cs="Arial" w:eastAsia="Arial" w:hAnsi="Arial"/>
                <w:sz w:val="20"/>
                <w:szCs w:val="20"/>
                <w:b w:val="1"/>
                <w:bCs w:val="1"/>
                <w:color w:val="auto"/>
                <w:w w:val="91"/>
              </w:rPr>
              <w:t>Total</w:t>
            </w:r>
          </w:p>
        </w:tc>
        <w:tc>
          <w:tcPr>
            <w:tcW w:w="2860" w:type="dxa"/>
            <w:vAlign w:val="bottom"/>
            <w:gridSpan w:val="3"/>
          </w:tcPr>
          <w:p>
            <w:pPr>
              <w:jc w:val="center"/>
              <w:ind w:left="961"/>
              <w:spacing w:after="0"/>
              <w:rPr>
                <w:sz w:val="20"/>
                <w:szCs w:val="20"/>
                <w:color w:val="auto"/>
              </w:rPr>
            </w:pPr>
            <w:r>
              <w:rPr>
                <w:rFonts w:ascii="Arial" w:cs="Arial" w:eastAsia="Arial" w:hAnsi="Arial"/>
                <w:sz w:val="20"/>
                <w:szCs w:val="20"/>
                <w:b w:val="1"/>
                <w:bCs w:val="1"/>
                <w:color w:val="auto"/>
                <w:w w:val="89"/>
              </w:rPr>
              <w:t>$95,000,000</w:t>
            </w:r>
          </w:p>
        </w:tc>
        <w:tc>
          <w:tcPr>
            <w:tcW w:w="280" w:type="dxa"/>
            <w:vAlign w:val="bottom"/>
          </w:tcPr>
          <w:p>
            <w:pPr>
              <w:spacing w:after="0"/>
              <w:rPr>
                <w:sz w:val="22"/>
                <w:szCs w:val="22"/>
                <w:color w:val="auto"/>
              </w:rPr>
            </w:pPr>
          </w:p>
        </w:tc>
        <w:tc>
          <w:tcPr>
            <w:tcW w:w="800" w:type="dxa"/>
            <w:vAlign w:val="bottom"/>
            <w:tcBorders>
              <w:right w:val="single" w:sz="8" w:color="00000A"/>
            </w:tcBorders>
          </w:tcPr>
          <w:p>
            <w:pPr>
              <w:spacing w:after="0"/>
              <w:rPr>
                <w:sz w:val="22"/>
                <w:szCs w:val="22"/>
                <w:color w:val="auto"/>
              </w:rPr>
            </w:pPr>
          </w:p>
        </w:tc>
        <w:tc>
          <w:tcPr>
            <w:tcW w:w="2860" w:type="dxa"/>
            <w:vAlign w:val="bottom"/>
            <w:gridSpan w:val="2"/>
          </w:tcPr>
          <w:p>
            <w:pPr>
              <w:jc w:val="center"/>
              <w:ind w:left="381"/>
              <w:spacing w:after="0"/>
              <w:rPr>
                <w:sz w:val="20"/>
                <w:szCs w:val="20"/>
                <w:color w:val="auto"/>
              </w:rPr>
            </w:pPr>
            <w:r>
              <w:rPr>
                <w:rFonts w:ascii="Arial" w:cs="Arial" w:eastAsia="Arial" w:hAnsi="Arial"/>
                <w:sz w:val="20"/>
                <w:szCs w:val="20"/>
                <w:b w:val="1"/>
                <w:bCs w:val="1"/>
                <w:color w:val="auto"/>
                <w:w w:val="88"/>
              </w:rPr>
              <w:t>$20,000,000</w:t>
            </w:r>
          </w:p>
        </w:tc>
        <w:tc>
          <w:tcPr>
            <w:tcW w:w="50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680" w:type="dxa"/>
            <w:vAlign w:val="bottom"/>
            <w:tcBorders>
              <w:left w:val="single" w:sz="8" w:color="00000A"/>
              <w:bottom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1660" w:type="dxa"/>
            <w:vAlign w:val="bottom"/>
            <w:tcBorders>
              <w:bottom w:val="single" w:sz="8" w:color="00000A"/>
              <w:right w:val="single" w:sz="8" w:color="00000A"/>
            </w:tcBorders>
          </w:tcPr>
          <w:p>
            <w:pPr>
              <w:spacing w:after="0"/>
              <w:rPr>
                <w:sz w:val="2"/>
                <w:szCs w:val="2"/>
                <w:color w:val="auto"/>
              </w:rPr>
            </w:pPr>
          </w:p>
        </w:tc>
        <w:tc>
          <w:tcPr>
            <w:tcW w:w="460" w:type="dxa"/>
            <w:vAlign w:val="bottom"/>
            <w:tcBorders>
              <w:bottom w:val="single" w:sz="8" w:color="00000A"/>
            </w:tcBorders>
          </w:tcPr>
          <w:p>
            <w:pPr>
              <w:spacing w:after="0"/>
              <w:rPr>
                <w:sz w:val="2"/>
                <w:szCs w:val="2"/>
                <w:color w:val="auto"/>
              </w:rPr>
            </w:pPr>
          </w:p>
        </w:tc>
        <w:tc>
          <w:tcPr>
            <w:tcW w:w="320" w:type="dxa"/>
            <w:vAlign w:val="bottom"/>
            <w:tcBorders>
              <w:bottom w:val="single" w:sz="8" w:color="00000A"/>
            </w:tcBorders>
          </w:tcPr>
          <w:p>
            <w:pPr>
              <w:spacing w:after="0"/>
              <w:rPr>
                <w:sz w:val="2"/>
                <w:szCs w:val="2"/>
                <w:color w:val="auto"/>
              </w:rPr>
            </w:pPr>
          </w:p>
        </w:tc>
        <w:tc>
          <w:tcPr>
            <w:tcW w:w="2080" w:type="dxa"/>
            <w:vAlign w:val="bottom"/>
            <w:tcBorders>
              <w:bottom w:val="single" w:sz="8" w:color="00000A"/>
            </w:tcBorders>
          </w:tcPr>
          <w:p>
            <w:pPr>
              <w:spacing w:after="0"/>
              <w:rPr>
                <w:sz w:val="2"/>
                <w:szCs w:val="2"/>
                <w:color w:val="auto"/>
              </w:rPr>
            </w:pPr>
          </w:p>
        </w:tc>
        <w:tc>
          <w:tcPr>
            <w:tcW w:w="280" w:type="dxa"/>
            <w:vAlign w:val="bottom"/>
            <w:tcBorders>
              <w:bottom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2380" w:type="dxa"/>
            <w:vAlign w:val="bottom"/>
            <w:tcBorders>
              <w:bottom w:val="single" w:sz="8" w:color="00000A"/>
            </w:tcBorders>
          </w:tcPr>
          <w:p>
            <w:pPr>
              <w:spacing w:after="0"/>
              <w:rPr>
                <w:sz w:val="2"/>
                <w:szCs w:val="2"/>
                <w:color w:val="auto"/>
              </w:rPr>
            </w:pPr>
          </w:p>
        </w:tc>
        <w:tc>
          <w:tcPr>
            <w:tcW w:w="5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736653273 11074672</w:t>
      </w:r>
      <w:r>
        <w:rPr>
          <w:sz w:val="20"/>
          <w:szCs w:val="20"/>
          <w:color w:val="auto"/>
        </w:rPr>
        <w:tab/>
      </w:r>
      <w:r>
        <w:rPr>
          <w:rFonts w:ascii="Arial" w:cs="Arial" w:eastAsia="Arial" w:hAnsi="Arial"/>
          <w:sz w:val="17"/>
          <w:szCs w:val="17"/>
          <w:color w:val="auto"/>
        </w:rPr>
        <w:t xml:space="preserve">SCHEDULE 2.1  </w:t>
      </w:r>
      <w:r>
        <w:rPr>
          <w:rFonts w:ascii="Arial" w:cs="Arial" w:eastAsia="Arial" w:hAnsi="Arial"/>
          <w:sz w:val="13"/>
          <w:szCs w:val="13"/>
          <w:color w:val="auto"/>
        </w:rPr>
        <w:t>ALLETE TERM LOAN AGREEMENT</w:t>
      </w:r>
    </w:p>
    <w:p>
      <w:pPr>
        <w:sectPr>
          <w:pgSz w:w="11900" w:h="16838" w:orient="portrait"/>
          <w:cols w:equalWidth="0" w:num="1">
            <w:col w:w="11260"/>
          </w:cols>
          <w:pgMar w:left="320" w:top="115" w:right="31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4.5/4.6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DISCLOSED MATTERS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736653273 11074672</w:t>
      </w:r>
      <w:r>
        <w:rPr>
          <w:sz w:val="20"/>
          <w:szCs w:val="20"/>
          <w:color w:val="auto"/>
        </w:rPr>
        <w:tab/>
      </w:r>
      <w:r>
        <w:rPr>
          <w:rFonts w:ascii="Arial" w:cs="Arial" w:eastAsia="Arial" w:hAnsi="Arial"/>
          <w:sz w:val="17"/>
          <w:szCs w:val="17"/>
          <w:color w:val="auto"/>
        </w:rPr>
        <w:t xml:space="preserve">SCHEDULE 4.5/4.6  </w:t>
      </w:r>
      <w:r>
        <w:rPr>
          <w:rFonts w:ascii="Arial" w:cs="Arial" w:eastAsia="Arial" w:hAnsi="Arial"/>
          <w:sz w:val="13"/>
          <w:szCs w:val="13"/>
          <w:color w:val="auto"/>
        </w:rPr>
        <w:t>ALLETE TERM LOAN AGREEMENT</w:t>
      </w:r>
    </w:p>
    <w:p>
      <w:pPr>
        <w:sectPr>
          <w:pgSz w:w="11900" w:h="16838" w:orient="portrait"/>
          <w:cols w:equalWidth="0" w:num="1">
            <w:col w:w="11240"/>
          </w:cols>
          <w:pgMar w:left="320" w:top="115"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SCHEDULE 4.10</w:t>
      </w:r>
    </w:p>
    <w:p>
      <w:pPr>
        <w:spacing w:after="0" w:line="16"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0"/>
          <w:szCs w:val="20"/>
          <w:b w:val="1"/>
          <w:bCs w:val="1"/>
          <w:u w:val="single" w:color="auto"/>
          <w:color w:val="auto"/>
        </w:rPr>
        <w:t>LIST OF SUBSIDIARIES</w:t>
      </w:r>
      <w:r>
        <w:rPr>
          <w:sz w:val="20"/>
          <w:szCs w:val="20"/>
          <w:color w:val="auto"/>
        </w:rPr>
        <w:tab/>
      </w:r>
      <w:r>
        <w:rPr>
          <w:rFonts w:ascii="Arial" w:cs="Arial" w:eastAsia="Arial" w:hAnsi="Arial"/>
          <w:sz w:val="14"/>
          <w:szCs w:val="14"/>
          <w:b w:val="1"/>
          <w:bCs w:val="1"/>
          <w:i w:val="1"/>
          <w:iCs w:val="1"/>
          <w:color w:val="auto"/>
        </w:rPr>
        <w:t>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ALLETE Automotive Services,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ALLETE Enterprises,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ALLETE Clean Energy,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ACE O&amp;M,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ACE Solar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ACE Wind LLC</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ACE Mid-West Holdings,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MWW Holdings,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Lake Benton Power Associates LLC</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Lake Benton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Lake Benton Power Partners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Storm Lake Power Partners I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Storm Lake II Power Associates LLC</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Storm Lake II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Storm Lake Power Partners II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Northern Wind Energy,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Chanarambie Power Partners,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Viking Wind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Viking Wind Partners,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Buffalo Ridge Wind Farm,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Moulton Heights Wind Power Project,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Muncie Power Partners,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North Ridge Wind Farm,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Vandy South Project,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Viking Wind Farm,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Vindy Power Partners,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Wilson-West Wind Farm,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MINNIGAN HOLDCO,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ACE Gopher Holdings,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ACE Lincoln Heights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Windy Dog - 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Wally’s Wind Farm,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Roadrunner - 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Salty Dog - 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Salty Dog - II,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Breezy Bucks - 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Breezy Bucks - II,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DAJAW Transmission, LLC </w:t>
      </w:r>
      <w:r>
        <w:rPr>
          <w:rFonts w:ascii="Arial" w:cs="Arial" w:eastAsia="Arial" w:hAnsi="Arial"/>
          <w:sz w:val="16"/>
          <w:szCs w:val="16"/>
          <w:b w:val="1"/>
          <w:bCs w:val="1"/>
          <w:i w:val="1"/>
          <w:iCs w:val="1"/>
          <w:color w:val="auto"/>
        </w:rPr>
        <w:t>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Cisco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Christoffer Wind Energy I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Christoffer Wind Energy II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Christoffer Wind Energy III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Christoffer Wind Energy IV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Cisco Wind Energy, LLC </w:t>
      </w:r>
      <w:r>
        <w:rPr>
          <w:rFonts w:ascii="Arial" w:cs="Arial" w:eastAsia="Arial" w:hAnsi="Arial"/>
          <w:sz w:val="16"/>
          <w:szCs w:val="16"/>
          <w:b w:val="1"/>
          <w:bCs w:val="1"/>
          <w:i w:val="1"/>
          <w:iCs w:val="1"/>
          <w:color w:val="auto"/>
        </w:rPr>
        <w:t>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ACE West Holdings,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Condon Wind Power,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7" w:lineRule="exact"/>
        <w:rPr>
          <w:sz w:val="20"/>
          <w:szCs w:val="20"/>
          <w:color w:val="auto"/>
        </w:rPr>
      </w:pPr>
    </w:p>
    <w:p>
      <w:pPr>
        <w:ind w:right="20" w:firstLine="8"/>
        <w:spacing w:after="0" w:line="235" w:lineRule="auto"/>
        <w:tabs>
          <w:tab w:leader="none" w:pos="81" w:val="left"/>
        </w:tabs>
        <w:numPr>
          <w:ilvl w:val="0"/>
          <w:numId w:val="119"/>
        </w:numPr>
        <w:rPr>
          <w:rFonts w:ascii="Arial" w:cs="Arial" w:eastAsia="Arial" w:hAnsi="Arial"/>
          <w:sz w:val="19"/>
          <w:szCs w:val="19"/>
          <w:b w:val="1"/>
          <w:bCs w:val="1"/>
          <w:i w:val="1"/>
          <w:iCs w:val="1"/>
          <w:color w:val="auto"/>
          <w:vertAlign w:val="superscript"/>
        </w:rPr>
      </w:pPr>
      <w:r>
        <w:rPr>
          <w:rFonts w:ascii="Arial" w:cs="Arial" w:eastAsia="Arial" w:hAnsi="Arial"/>
          <w:sz w:val="15"/>
          <w:szCs w:val="15"/>
          <w:b w:val="1"/>
          <w:bCs w:val="1"/>
          <w:i w:val="1"/>
          <w:iCs w:val="1"/>
          <w:color w:val="auto"/>
        </w:rPr>
        <w:t>Unless otherwise specified, the Equity Interests in each Subsidiary are owned 100% by the Subsidiary identified above it, with first-tier Subsidiaries’ Equity Interests owned 100% by ALLETE, Inc.</w:t>
      </w:r>
    </w:p>
    <w:p>
      <w:pPr>
        <w:spacing w:after="0" w:line="1" w:lineRule="exact"/>
        <w:rPr>
          <w:rFonts w:ascii="Arial" w:cs="Arial" w:eastAsia="Arial" w:hAnsi="Arial"/>
          <w:sz w:val="19"/>
          <w:szCs w:val="19"/>
          <w:b w:val="1"/>
          <w:bCs w:val="1"/>
          <w:i w:val="1"/>
          <w:iCs w:val="1"/>
          <w:color w:val="auto"/>
          <w:vertAlign w:val="superscript"/>
        </w:rPr>
      </w:pPr>
    </w:p>
    <w:p>
      <w:pPr>
        <w:spacing w:after="0" w:line="187" w:lineRule="auto"/>
        <w:rPr>
          <w:rFonts w:ascii="Arial" w:cs="Arial" w:eastAsia="Arial" w:hAnsi="Arial"/>
          <w:sz w:val="19"/>
          <w:szCs w:val="19"/>
          <w:b w:val="1"/>
          <w:bCs w:val="1"/>
          <w:i w:val="1"/>
          <w:iCs w:val="1"/>
          <w:color w:val="auto"/>
          <w:vertAlign w:val="superscript"/>
        </w:rPr>
      </w:pPr>
      <w:r>
        <w:rPr>
          <w:rFonts w:ascii="Arial" w:cs="Arial" w:eastAsia="Arial" w:hAnsi="Arial"/>
          <w:sz w:val="21"/>
          <w:szCs w:val="21"/>
          <w:b w:val="1"/>
          <w:bCs w:val="1"/>
          <w:i w:val="1"/>
          <w:iCs w:val="1"/>
          <w:color w:val="auto"/>
          <w:vertAlign w:val="superscript"/>
        </w:rPr>
        <w:t>2</w:t>
      </w:r>
      <w:r>
        <w:rPr>
          <w:rFonts w:ascii="Arial" w:cs="Arial" w:eastAsia="Arial" w:hAnsi="Arial"/>
          <w:sz w:val="16"/>
          <w:szCs w:val="16"/>
          <w:b w:val="1"/>
          <w:bCs w:val="1"/>
          <w:i w:val="1"/>
          <w:iCs w:val="1"/>
          <w:color w:val="auto"/>
        </w:rPr>
        <w:t xml:space="preserve"> The limited liability companies in the tier above DAJAW, LLC each own 14.3% of DAJAW, LLC.</w:t>
      </w:r>
    </w:p>
    <w:p>
      <w:pPr>
        <w:spacing w:after="0"/>
        <w:rPr>
          <w:rFonts w:ascii="Arial" w:cs="Arial" w:eastAsia="Arial" w:hAnsi="Arial"/>
          <w:sz w:val="19"/>
          <w:szCs w:val="19"/>
          <w:b w:val="1"/>
          <w:bCs w:val="1"/>
          <w:i w:val="1"/>
          <w:iCs w:val="1"/>
          <w:color w:val="auto"/>
          <w:vertAlign w:val="superscript"/>
        </w:rPr>
      </w:pPr>
      <w:r>
        <w:rPr>
          <w:rFonts w:ascii="Arial" w:cs="Arial" w:eastAsia="Arial" w:hAnsi="Arial"/>
          <w:sz w:val="21"/>
          <w:szCs w:val="21"/>
          <w:b w:val="1"/>
          <w:bCs w:val="1"/>
          <w:i w:val="1"/>
          <w:iCs w:val="1"/>
          <w:color w:val="auto"/>
          <w:vertAlign w:val="superscript"/>
        </w:rPr>
        <w:t>3</w:t>
      </w:r>
      <w:r>
        <w:rPr>
          <w:rFonts w:ascii="Arial" w:cs="Arial" w:eastAsia="Arial" w:hAnsi="Arial"/>
          <w:sz w:val="16"/>
          <w:szCs w:val="16"/>
          <w:b w:val="1"/>
          <w:bCs w:val="1"/>
          <w:i w:val="1"/>
          <w:iCs w:val="1"/>
          <w:color w:val="auto"/>
        </w:rPr>
        <w:t xml:space="preserve"> The limited liability companies in the tier above Cisco Wind Energy, LLC each own 25% of Cisco Wind Energy, LLC.</w:t>
      </w:r>
    </w:p>
    <w:p>
      <w:pPr>
        <w:spacing w:after="0" w:line="334"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736653273 11074672</w:t>
      </w:r>
      <w:r>
        <w:rPr>
          <w:sz w:val="20"/>
          <w:szCs w:val="20"/>
          <w:color w:val="auto"/>
        </w:rPr>
        <w:tab/>
      </w:r>
      <w:r>
        <w:rPr>
          <w:rFonts w:ascii="Arial" w:cs="Arial" w:eastAsia="Arial" w:hAnsi="Arial"/>
          <w:sz w:val="17"/>
          <w:szCs w:val="17"/>
          <w:color w:val="auto"/>
        </w:rPr>
        <w:t xml:space="preserve">SCHEDULE 4.10  </w:t>
      </w:r>
      <w:r>
        <w:rPr>
          <w:rFonts w:ascii="Arial" w:cs="Arial" w:eastAsia="Arial" w:hAnsi="Arial"/>
          <w:sz w:val="13"/>
          <w:szCs w:val="13"/>
          <w:color w:val="auto"/>
        </w:rPr>
        <w:t>ALLETE TERM LOAN AGREEMENT</w:t>
      </w:r>
    </w:p>
    <w:p>
      <w:pPr>
        <w:sectPr>
          <w:pgSz w:w="11900" w:h="16838" w:orient="portrait"/>
          <w:cols w:equalWidth="0" w:num="1">
            <w:col w:w="11240"/>
          </w:cols>
          <w:pgMar w:left="320" w:top="11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4</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ACE GAWW Class B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Great American West Wind,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South Peak Wind,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Glen Ullin Energy Center,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Armenia Holdings,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AMW I Holding,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Armenia Mountain Wind,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Armenia Mountain Wind II, LLC</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ACE South Holdings, LLC</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Caddo Wind, LLC</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Caddo Renewables, LLC</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Caddo Transmission, LLC</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Thunder Spirit Wind,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Red Lake Solar,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ALLETE Enterprises QOF, LLC </w:t>
      </w:r>
      <w:r>
        <w:rPr>
          <w:rFonts w:ascii="Arial" w:cs="Arial" w:eastAsia="Arial" w:hAnsi="Arial"/>
          <w:sz w:val="16"/>
          <w:szCs w:val="16"/>
          <w:b w:val="1"/>
          <w:bCs w:val="1"/>
          <w:i w:val="1"/>
          <w:iCs w:val="1"/>
          <w:color w:val="auto"/>
        </w:rPr>
        <w:t>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Diamond Spring QOZB,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ACE DS Class B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Diamond Spring,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Diamond Spring Renewables,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ALLETE Power Systems,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ALLETE Renewable Resources,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ASW Partners,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ALLETE South Wind,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ALLETE Transmission Holdings,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BNI Energy,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BNI Coal,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MP Affiliate Resources,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Rainy River Energy Corporation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Shore Energy,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Upper Minnesota Properties,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Upper Minnesota Properties - Development,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ALLETE Properties, LLC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ALLETE Commercial, LLC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Lehigh Acquisition,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Florida Landmark Communities,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Lehigh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Mardem,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Palm Coast Holdings,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Port Orange Holdings,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Interlachen Lakes Estates,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Palm Coast 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ALLETE Water Services,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Florida Water Services Corporation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Energy Replacement Property,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Energy Land,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RendField Land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Superior Water, Light and Power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00" w:hanging="92"/>
        <w:spacing w:after="0" w:line="208" w:lineRule="auto"/>
        <w:tabs>
          <w:tab w:leader="none" w:pos="100" w:val="left"/>
        </w:tabs>
        <w:numPr>
          <w:ilvl w:val="0"/>
          <w:numId w:val="120"/>
        </w:numPr>
        <w:rPr>
          <w:rFonts w:ascii="Arial" w:cs="Arial" w:eastAsia="Arial" w:hAnsi="Arial"/>
          <w:sz w:val="22"/>
          <w:szCs w:val="22"/>
          <w:b w:val="1"/>
          <w:bCs w:val="1"/>
          <w:i w:val="1"/>
          <w:iCs w:val="1"/>
          <w:color w:val="auto"/>
          <w:vertAlign w:val="superscript"/>
        </w:rPr>
      </w:pPr>
      <w:r>
        <w:rPr>
          <w:rFonts w:ascii="Arial" w:cs="Arial" w:eastAsia="Arial" w:hAnsi="Arial"/>
          <w:sz w:val="16"/>
          <w:szCs w:val="16"/>
          <w:b w:val="1"/>
          <w:bCs w:val="1"/>
          <w:i w:val="1"/>
          <w:iCs w:val="1"/>
          <w:color w:val="auto"/>
        </w:rPr>
        <w:t>Jointly owned with ALLETE Clean Energy, Inc.</w:t>
      </w:r>
    </w:p>
    <w:p>
      <w:pPr>
        <w:spacing w:after="0" w:line="195"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736653273 11074672</w:t>
      </w:r>
      <w:r>
        <w:rPr>
          <w:sz w:val="20"/>
          <w:szCs w:val="20"/>
          <w:color w:val="auto"/>
        </w:rPr>
        <w:tab/>
      </w:r>
      <w:r>
        <w:rPr>
          <w:rFonts w:ascii="Arial" w:cs="Arial" w:eastAsia="Arial" w:hAnsi="Arial"/>
          <w:sz w:val="17"/>
          <w:szCs w:val="17"/>
          <w:color w:val="auto"/>
        </w:rPr>
        <w:t xml:space="preserve">SCHEDULE 4.10  </w:t>
      </w:r>
      <w:r>
        <w:rPr>
          <w:rFonts w:ascii="Arial" w:cs="Arial" w:eastAsia="Arial" w:hAnsi="Arial"/>
          <w:sz w:val="13"/>
          <w:szCs w:val="13"/>
          <w:color w:val="auto"/>
        </w:rPr>
        <w:t>ALLETE TERM LOAN AGREEMENT</w:t>
      </w:r>
    </w:p>
    <w:p>
      <w:pPr>
        <w:sectPr>
          <w:pgSz w:w="11900" w:h="16838" w:orient="portrait"/>
          <w:cols w:equalWidth="0" w:num="1">
            <w:col w:w="11240"/>
          </w:cols>
          <w:pgMar w:left="320" w:top="11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ASSIGNMENT AND ASSUMPTION</w:t>
      </w:r>
    </w:p>
    <w:p>
      <w:pPr>
        <w:spacing w:after="0" w:line="2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This Assignment and Assumption (the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is dated as of the Effective Date set forth below and is entered into between [the] [each] </w:t>
      </w:r>
      <w:r>
        <w:rPr>
          <w:rFonts w:ascii="Arial" w:cs="Arial" w:eastAsia="Arial" w:hAnsi="Arial"/>
          <w:sz w:val="15"/>
          <w:szCs w:val="15"/>
          <w:b w:val="1"/>
          <w:bCs w:val="1"/>
          <w:i w:val="1"/>
          <w:iCs w:val="1"/>
          <w:color w:val="auto"/>
        </w:rPr>
        <w:t>For bracketed language here and elsewhere in this form relating to the Assignor(s), if the assignment is from a single Assignor, choose</w:t>
      </w:r>
      <w:r>
        <w:rPr>
          <w:rFonts w:ascii="Arial" w:cs="Arial" w:eastAsia="Arial" w:hAnsi="Arial"/>
          <w:sz w:val="19"/>
          <w:szCs w:val="19"/>
          <w:color w:val="auto"/>
        </w:rPr>
        <w:t xml:space="preserve"> </w:t>
      </w:r>
      <w:r>
        <w:rPr>
          <w:rFonts w:ascii="Arial" w:cs="Arial" w:eastAsia="Arial" w:hAnsi="Arial"/>
          <w:sz w:val="15"/>
          <w:szCs w:val="15"/>
          <w:b w:val="1"/>
          <w:bCs w:val="1"/>
          <w:i w:val="1"/>
          <w:iCs w:val="1"/>
          <w:color w:val="auto"/>
        </w:rPr>
        <w:t xml:space="preserve">the first bracketed language. If the assignment is from multiple Assignors, choose the second bracketed language. </w:t>
      </w:r>
      <w:r>
        <w:rPr>
          <w:rFonts w:ascii="Arial" w:cs="Arial" w:eastAsia="Arial" w:hAnsi="Arial"/>
          <w:sz w:val="18"/>
          <w:szCs w:val="18"/>
          <w:color w:val="auto"/>
        </w:rPr>
        <w:t>Assignor identified in item 1 below ([the]</w:t>
      </w:r>
      <w:r>
        <w:rPr>
          <w:rFonts w:ascii="Arial" w:cs="Arial" w:eastAsia="Arial" w:hAnsi="Arial"/>
          <w:sz w:val="15"/>
          <w:szCs w:val="15"/>
          <w:b w:val="1"/>
          <w:bCs w:val="1"/>
          <w:i w:val="1"/>
          <w:iCs w:val="1"/>
          <w:color w:val="auto"/>
        </w:rPr>
        <w:t xml:space="preserve"> </w:t>
      </w:r>
      <w:r>
        <w:rPr>
          <w:rFonts w:ascii="Arial" w:cs="Arial" w:eastAsia="Arial" w:hAnsi="Arial"/>
          <w:sz w:val="18"/>
          <w:szCs w:val="18"/>
          <w:color w:val="auto"/>
        </w:rPr>
        <w:t>[each, an] “</w:t>
      </w:r>
      <w:r>
        <w:rPr>
          <w:rFonts w:ascii="Arial" w:cs="Arial" w:eastAsia="Arial" w:hAnsi="Arial"/>
          <w:sz w:val="18"/>
          <w:szCs w:val="18"/>
          <w:u w:val="single" w:color="auto"/>
          <w:color w:val="auto"/>
        </w:rPr>
        <w:t>Assignor</w:t>
      </w:r>
      <w:r>
        <w:rPr>
          <w:rFonts w:ascii="Arial" w:cs="Arial" w:eastAsia="Arial" w:hAnsi="Arial"/>
          <w:sz w:val="18"/>
          <w:szCs w:val="18"/>
          <w:color w:val="auto"/>
        </w:rPr>
        <w:t xml:space="preserve">”) and [the][each] </w:t>
      </w:r>
      <w:r>
        <w:rPr>
          <w:rFonts w:ascii="Arial" w:cs="Arial" w:eastAsia="Arial" w:hAnsi="Arial"/>
          <w:sz w:val="15"/>
          <w:szCs w:val="15"/>
          <w:b w:val="1"/>
          <w:bCs w:val="1"/>
          <w:i w:val="1"/>
          <w:iCs w:val="1"/>
          <w:color w:val="auto"/>
        </w:rPr>
        <w:t>For bracketed language here and elsewhere in this form relating to the Assignee(s), if the assignment is to a single</w:t>
      </w:r>
      <w:r>
        <w:rPr>
          <w:rFonts w:ascii="Arial" w:cs="Arial" w:eastAsia="Arial" w:hAnsi="Arial"/>
          <w:sz w:val="18"/>
          <w:szCs w:val="18"/>
          <w:color w:val="auto"/>
        </w:rPr>
        <w:t xml:space="preserve"> </w:t>
      </w:r>
      <w:r>
        <w:rPr>
          <w:rFonts w:ascii="Arial" w:cs="Arial" w:eastAsia="Arial" w:hAnsi="Arial"/>
          <w:sz w:val="15"/>
          <w:szCs w:val="15"/>
          <w:b w:val="1"/>
          <w:bCs w:val="1"/>
          <w:i w:val="1"/>
          <w:iCs w:val="1"/>
          <w:color w:val="auto"/>
        </w:rPr>
        <w:t xml:space="preserve">Assignee, choose the first bracketed language. If the assignment is to multiple Assignees, choose the second bracketed language. </w:t>
      </w:r>
      <w:r>
        <w:rPr>
          <w:rFonts w:ascii="Arial" w:cs="Arial" w:eastAsia="Arial" w:hAnsi="Arial"/>
          <w:sz w:val="18"/>
          <w:szCs w:val="18"/>
          <w:color w:val="auto"/>
        </w:rPr>
        <w:t>Assignee identified in item 2</w:t>
      </w:r>
      <w:r>
        <w:rPr>
          <w:rFonts w:ascii="Arial" w:cs="Arial" w:eastAsia="Arial" w:hAnsi="Arial"/>
          <w:sz w:val="15"/>
          <w:szCs w:val="15"/>
          <w:b w:val="1"/>
          <w:bCs w:val="1"/>
          <w:i w:val="1"/>
          <w:iCs w:val="1"/>
          <w:color w:val="auto"/>
        </w:rPr>
        <w:t xml:space="preserve"> </w:t>
      </w:r>
      <w:r>
        <w:rPr>
          <w:rFonts w:ascii="Arial" w:cs="Arial" w:eastAsia="Arial" w:hAnsi="Arial"/>
          <w:sz w:val="18"/>
          <w:szCs w:val="18"/>
          <w:color w:val="auto"/>
        </w:rPr>
        <w:t>below ([the][each, an]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[It is understood and agreed that the rights and obligations of [the Assignors][the Assignees] </w:t>
      </w:r>
      <w:r>
        <w:rPr>
          <w:rFonts w:ascii="Arial" w:cs="Arial" w:eastAsia="Arial" w:hAnsi="Arial"/>
          <w:sz w:val="15"/>
          <w:szCs w:val="15"/>
          <w:b w:val="1"/>
          <w:bCs w:val="1"/>
          <w:i w:val="1"/>
          <w:iCs w:val="1"/>
          <w:color w:val="auto"/>
        </w:rPr>
        <w:t>Select as</w:t>
      </w:r>
      <w:r>
        <w:rPr>
          <w:rFonts w:ascii="Arial" w:cs="Arial" w:eastAsia="Arial" w:hAnsi="Arial"/>
          <w:sz w:val="18"/>
          <w:szCs w:val="18"/>
          <w:color w:val="auto"/>
        </w:rPr>
        <w:t xml:space="preserve"> </w:t>
      </w:r>
      <w:r>
        <w:rPr>
          <w:rFonts w:ascii="Arial" w:cs="Arial" w:eastAsia="Arial" w:hAnsi="Arial"/>
          <w:sz w:val="15"/>
          <w:szCs w:val="15"/>
          <w:b w:val="1"/>
          <w:bCs w:val="1"/>
          <w:i w:val="1"/>
          <w:iCs w:val="1"/>
          <w:color w:val="auto"/>
        </w:rPr>
        <w:t xml:space="preserve">appropriate. </w:t>
      </w:r>
      <w:r>
        <w:rPr>
          <w:rFonts w:ascii="Arial" w:cs="Arial" w:eastAsia="Arial" w:hAnsi="Arial"/>
          <w:sz w:val="18"/>
          <w:szCs w:val="18"/>
          <w:color w:val="auto"/>
        </w:rPr>
        <w:t>hereunder are several and not joint.]</w:t>
      </w:r>
      <w:r>
        <w:rPr>
          <w:rFonts w:ascii="Arial" w:cs="Arial" w:eastAsia="Arial" w:hAnsi="Arial"/>
          <w:sz w:val="15"/>
          <w:szCs w:val="15"/>
          <w:b w:val="1"/>
          <w:bCs w:val="1"/>
          <w:i w:val="1"/>
          <w:iCs w:val="1"/>
          <w:color w:val="auto"/>
        </w:rPr>
        <w:t xml:space="preserve"> Include bracketed language if there are either multiple Assignors or multiple Assignees. </w:t>
      </w:r>
      <w:r>
        <w:rPr>
          <w:rFonts w:ascii="Arial" w:cs="Arial" w:eastAsia="Arial" w:hAnsi="Arial"/>
          <w:sz w:val="18"/>
          <w:szCs w:val="18"/>
          <w:color w:val="auto"/>
        </w:rPr>
        <w:t>Capitalized terms</w:t>
      </w:r>
      <w:r>
        <w:rPr>
          <w:rFonts w:ascii="Arial" w:cs="Arial" w:eastAsia="Arial" w:hAnsi="Arial"/>
          <w:sz w:val="15"/>
          <w:szCs w:val="15"/>
          <w:b w:val="1"/>
          <w:bCs w:val="1"/>
          <w:i w:val="1"/>
          <w:iCs w:val="1"/>
          <w:color w:val="auto"/>
        </w:rPr>
        <w:t xml:space="preserve"> </w:t>
      </w:r>
      <w:r>
        <w:rPr>
          <w:rFonts w:ascii="Arial" w:cs="Arial" w:eastAsia="Arial" w:hAnsi="Arial"/>
          <w:sz w:val="18"/>
          <w:szCs w:val="18"/>
          <w:color w:val="auto"/>
        </w:rPr>
        <w:t>used but not defined herein shall have the meanings given to them in the Loan Agreement identified below (as amended, modified or otherwise supplemented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xml:space="preserve">”), receipt of a copy of which is hereby acknowledged by [the][each] Assignee. The standard Terms and Conditions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attached hereto are hereby agreed to and incorporated herein by reference and made a part of this Assignment and Assumption as if set forth herein in full.</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For an agreed consideration, the Assignor hereby irrevocably sells and assigns to the Assignee, and the Assignee hereby irrevocably purchases and assumes from the Assignor, subject to and in accordance with the Standard Terms and Conditions and the Loan Agreement, as of the Effective Date inserted by the Administrative Agent as contemplated below, (i) all of the Assignor’s rights and obligations in its capacity as a Lender under the Loan Agreement and any other documents or instruments delivered pursuant thereto to the extent related to the amount and percentage interest identified below of all of the Assignor’s outstanding rights and obligations under the Loan Agreement (including without limitation any letters of credit included in such facilities and, to the extent permitted to be assigned under applicable law, all claims (including without limitation contract claims, tort claims, malpractice claims, statutory claims and all other claims at law or in equity), suits, causes of action and any other right of the Assignor against any Person whether known or unknown arising under or in connection with the Loan Agreement, any other documents or instruments delivered pursuant thereto or the loan transactions governed thereby) other than claims for indemnification or reimbursement with respect to any period prior to the Effective Date (the “</w:t>
      </w:r>
      <w:r>
        <w:rPr>
          <w:rFonts w:ascii="Arial" w:cs="Arial" w:eastAsia="Arial" w:hAnsi="Arial"/>
          <w:sz w:val="19"/>
          <w:szCs w:val="19"/>
          <w:u w:val="single" w:color="auto"/>
          <w:color w:val="auto"/>
        </w:rPr>
        <w:t>Assigned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Interest</w:t>
      </w:r>
      <w:r>
        <w:rPr>
          <w:rFonts w:ascii="Arial" w:cs="Arial" w:eastAsia="Arial" w:hAnsi="Arial"/>
          <w:sz w:val="19"/>
          <w:szCs w:val="19"/>
          <w:color w:val="auto"/>
        </w:rPr>
        <w:t>”). Such sale and assignment is without recourse to the Assignor and, except as expressly provided in this Assignment and Assumption, without representation or warranty by the Assignor.</w:t>
      </w:r>
    </w:p>
    <w:p>
      <w:pPr>
        <w:spacing w:after="0" w:line="184"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Assignor:</w:t>
      </w:r>
    </w:p>
    <w:p>
      <w:pPr>
        <w:spacing w:after="0" w:line="216" w:lineRule="exact"/>
        <w:rPr>
          <w:sz w:val="20"/>
          <w:szCs w:val="20"/>
          <w:color w:val="auto"/>
        </w:rPr>
      </w:pPr>
    </w:p>
    <w:p>
      <w:pPr>
        <w:spacing w:after="0"/>
        <w:tabs>
          <w:tab w:leader="none" w:pos="640" w:val="left"/>
          <w:tab w:leader="none" w:pos="200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20"/>
          <w:szCs w:val="20"/>
          <w:color w:val="auto"/>
        </w:rPr>
        <w:t>Assignee:</w:t>
      </w:r>
      <w:r>
        <w:rPr>
          <w:sz w:val="20"/>
          <w:szCs w:val="20"/>
          <w:color w:val="auto"/>
        </w:rPr>
        <w:tab/>
      </w:r>
      <w:r>
        <w:rPr>
          <w:rFonts w:ascii="Arial" w:cs="Arial" w:eastAsia="Arial" w:hAnsi="Arial"/>
          <w:sz w:val="18"/>
          <w:szCs w:val="18"/>
          <w:color w:val="auto"/>
        </w:rPr>
        <w:t>[and is an Affiliate of Assignor]</w:t>
      </w:r>
    </w:p>
    <w:p>
      <w:pPr>
        <w:spacing w:after="0" w:line="216"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Borrower:  ALLETE, Inc.</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Administrative Agent: U.S. Bank National Association</w:t>
      </w:r>
    </w:p>
    <w:p>
      <w:pPr>
        <w:spacing w:after="0" w:line="215" w:lineRule="exact"/>
        <w:rPr>
          <w:rFonts w:ascii="Arial" w:cs="Arial" w:eastAsia="Arial" w:hAnsi="Arial"/>
          <w:sz w:val="20"/>
          <w:szCs w:val="20"/>
          <w:color w:val="auto"/>
        </w:rPr>
      </w:pPr>
    </w:p>
    <w:p>
      <w:pPr>
        <w:ind w:left="660" w:right="940" w:hanging="652"/>
        <w:spacing w:after="0" w:line="260" w:lineRule="auto"/>
        <w:tabs>
          <w:tab w:leader="none" w:pos="66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Loan Agreement: Term Loan Agreement dated as of April 8, 2020 among the Borrower, the Lenders party thereto and the Administrative Agent.</w:t>
      </w:r>
    </w:p>
    <w:p>
      <w:pPr>
        <w:spacing w:after="0" w:line="176" w:lineRule="exact"/>
        <w:rPr>
          <w:rFonts w:ascii="Arial" w:cs="Arial" w:eastAsia="Arial" w:hAnsi="Arial"/>
          <w:sz w:val="20"/>
          <w:szCs w:val="20"/>
          <w:color w:val="auto"/>
        </w:rPr>
      </w:pPr>
    </w:p>
    <w:p>
      <w:pPr>
        <w:ind w:left="660" w:hanging="652"/>
        <w:spacing w:after="0"/>
        <w:tabs>
          <w:tab w:leader="none" w:pos="66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Assigned Interest:</w:t>
      </w:r>
    </w:p>
    <w:p>
      <w:pPr>
        <w:spacing w:after="0" w:line="200" w:lineRule="exact"/>
        <w:rPr>
          <w:sz w:val="20"/>
          <w:szCs w:val="20"/>
          <w:color w:val="auto"/>
        </w:rPr>
      </w:pPr>
    </w:p>
    <w:p>
      <w:pPr>
        <w:spacing w:after="0" w:line="270"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color w:val="auto"/>
        </w:rPr>
        <w:t>736714620 11074672</w:t>
      </w:r>
      <w:r>
        <w:rPr>
          <w:sz w:val="20"/>
          <w:szCs w:val="20"/>
          <w:color w:val="auto"/>
        </w:rPr>
        <w:tab/>
      </w:r>
      <w:r>
        <w:rPr>
          <w:rFonts w:ascii="Arial" w:cs="Arial" w:eastAsia="Arial" w:hAnsi="Arial"/>
          <w:sz w:val="13"/>
          <w:szCs w:val="13"/>
          <w:color w:val="auto"/>
        </w:rPr>
        <w:t>ALLETE Term Loan Agreement</w:t>
      </w:r>
    </w:p>
    <w:p>
      <w:pPr>
        <w:sectPr>
          <w:pgSz w:w="11900" w:h="16838" w:orient="portrait"/>
          <w:cols w:equalWidth="0" w:num="1">
            <w:col w:w="11240"/>
          </w:cols>
          <w:pgMar w:left="320" w:top="115" w:right="339" w:bottom="1440" w:gutter="0" w:footer="0" w:header="0"/>
        </w:sectPr>
      </w:pPr>
    </w:p>
    <w:bookmarkStart w:id="131" w:name="page132"/>
    <w:bookmarkEnd w:id="131"/>
    <w:p>
      <w:pPr>
        <w:jc w:val="right"/>
        <w:ind w:right="20"/>
        <w:spacing w:after="0"/>
        <w:rPr>
          <w:sz w:val="20"/>
          <w:szCs w:val="20"/>
          <w:color w:val="auto"/>
        </w:rPr>
      </w:pPr>
      <w:r>
        <w:rPr>
          <w:rFonts w:ascii="Arial" w:cs="Arial" w:eastAsia="Arial" w:hAnsi="Arial"/>
          <w:sz w:val="20"/>
          <w:szCs w:val="20"/>
          <w:b w:val="1"/>
          <w:bCs w:val="1"/>
          <w:color w:val="auto"/>
        </w:rPr>
        <w:t>Exhibit 4</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240" w:type="dxa"/>
            <w:vAlign w:val="bottom"/>
            <w:tcBorders>
              <w:top w:val="single" w:sz="8" w:color="auto"/>
              <w:left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2140" w:type="dxa"/>
            <w:vAlign w:val="bottom"/>
            <w:tcBorders>
              <w:top w:val="single" w:sz="8" w:color="auto"/>
              <w:bottom w:val="single" w:sz="8" w:color="auto"/>
            </w:tcBorders>
          </w:tcPr>
          <w:p>
            <w:pPr>
              <w:spacing w:after="0"/>
              <w:rPr>
                <w:sz w:val="3"/>
                <w:szCs w:val="3"/>
                <w:color w:val="auto"/>
              </w:rPr>
            </w:pPr>
          </w:p>
        </w:tc>
        <w:tc>
          <w:tcPr>
            <w:tcW w:w="246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Aggregate Amount of</w:t>
            </w:r>
          </w:p>
        </w:tc>
        <w:tc>
          <w:tcPr>
            <w:tcW w:w="21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Commitment/</w:t>
            </w:r>
          </w:p>
        </w:tc>
        <w:tc>
          <w:tcPr>
            <w:tcW w:w="21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Loans for all</w:t>
            </w:r>
          </w:p>
        </w:tc>
        <w:tc>
          <w:tcPr>
            <w:tcW w:w="214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40" w:type="dxa"/>
            <w:vAlign w:val="bottom"/>
            <w:tcBorders>
              <w:left w:val="single" w:sz="8" w:color="auto"/>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 xml:space="preserve">Lenders </w:t>
            </w:r>
            <w:r>
              <w:rPr>
                <w:rFonts w:ascii="Arial" w:cs="Arial" w:eastAsia="Arial" w:hAnsi="Arial"/>
                <w:sz w:val="16"/>
                <w:szCs w:val="16"/>
                <w:b w:val="1"/>
                <w:bCs w:val="1"/>
                <w:i w:val="1"/>
                <w:iCs w:val="1"/>
                <w:color w:val="auto"/>
                <w:w w:val="87"/>
              </w:rPr>
              <w:t>Amount to be</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Amount of Commitment/</w:t>
            </w: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240" w:type="dxa"/>
            <w:vAlign w:val="bottom"/>
            <w:tcBorders>
              <w:left w:val="single" w:sz="8" w:color="auto"/>
              <w:right w:val="single" w:sz="8" w:color="auto"/>
            </w:tcBorders>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b w:val="1"/>
                <w:bCs w:val="1"/>
                <w:i w:val="1"/>
                <w:iCs w:val="1"/>
                <w:color w:val="auto"/>
                <w:w w:val="85"/>
              </w:rPr>
              <w:t>adjusted by the</w:t>
            </w:r>
          </w:p>
        </w:tc>
        <w:tc>
          <w:tcPr>
            <w:tcW w:w="2140" w:type="dxa"/>
            <w:vAlign w:val="bottom"/>
            <w:tcBorders>
              <w:right w:val="single" w:sz="8" w:color="auto"/>
            </w:tcBorders>
            <w:vMerge w:val="continue"/>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7"/>
              </w:rPr>
              <w:t>counterparties to take into</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 xml:space="preserve">Assignor[s] </w:t>
            </w:r>
            <w:r>
              <w:rPr>
                <w:rFonts w:ascii="Arial" w:cs="Arial" w:eastAsia="Arial" w:hAnsi="Arial"/>
                <w:sz w:val="16"/>
                <w:szCs w:val="16"/>
                <w:b w:val="1"/>
                <w:bCs w:val="1"/>
                <w:i w:val="1"/>
                <w:iCs w:val="1"/>
                <w:color w:val="auto"/>
                <w:w w:val="93"/>
              </w:rPr>
              <w:t>List</w:t>
            </w:r>
          </w:p>
        </w:tc>
        <w:tc>
          <w:tcPr>
            <w:tcW w:w="19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7"/>
              </w:rPr>
              <w:t>account any payments or</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 xml:space="preserve">Assigned </w:t>
            </w:r>
            <w:r>
              <w:rPr>
                <w:rFonts w:ascii="Arial" w:cs="Arial" w:eastAsia="Arial" w:hAnsi="Arial"/>
                <w:sz w:val="16"/>
                <w:szCs w:val="16"/>
                <w:b w:val="1"/>
                <w:bCs w:val="1"/>
                <w:i w:val="1"/>
                <w:iCs w:val="1"/>
                <w:color w:val="auto"/>
                <w:w w:val="87"/>
              </w:rPr>
              <w:t>Set forth, to at least</w:t>
            </w: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240" w:type="dxa"/>
            <w:vAlign w:val="bottom"/>
            <w:tcBorders>
              <w:left w:val="single" w:sz="8" w:color="auto"/>
              <w:right w:val="single" w:sz="8" w:color="auto"/>
            </w:tcBorders>
            <w:vMerge w:val="continue"/>
          </w:tcPr>
          <w:p>
            <w:pPr>
              <w:spacing w:after="0"/>
              <w:rPr>
                <w:sz w:val="13"/>
                <w:szCs w:val="13"/>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 xml:space="preserve">Assignee[s] </w:t>
            </w:r>
            <w:r>
              <w:rPr>
                <w:rFonts w:ascii="Arial" w:cs="Arial" w:eastAsia="Arial" w:hAnsi="Arial"/>
                <w:sz w:val="16"/>
                <w:szCs w:val="16"/>
                <w:b w:val="1"/>
                <w:bCs w:val="1"/>
                <w:i w:val="1"/>
                <w:iCs w:val="1"/>
                <w:color w:val="auto"/>
                <w:w w:val="89"/>
              </w:rPr>
              <w:t>List each</w:t>
            </w:r>
          </w:p>
        </w:tc>
        <w:tc>
          <w:tcPr>
            <w:tcW w:w="146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b w:val="1"/>
                <w:bCs w:val="1"/>
                <w:i w:val="1"/>
                <w:iCs w:val="1"/>
                <w:color w:val="auto"/>
                <w:w w:val="85"/>
              </w:rPr>
              <w:t>prepayments made between</w:t>
            </w:r>
          </w:p>
        </w:tc>
        <w:tc>
          <w:tcPr>
            <w:tcW w:w="21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b w:val="1"/>
                <w:bCs w:val="1"/>
                <w:i w:val="1"/>
                <w:iCs w:val="1"/>
                <w:color w:val="auto"/>
                <w:w w:val="86"/>
              </w:rPr>
              <w:t>9 decimals, as a percentage of</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Percentage Assigned</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85"/>
              </w:rPr>
              <w:t>each Assignor,</w:t>
            </w:r>
          </w:p>
        </w:tc>
        <w:tc>
          <w:tcPr>
            <w:tcW w:w="198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88"/>
              </w:rPr>
              <w:t>the Trade Date and the</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89"/>
              </w:rPr>
              <w:t>the Commitment/Loans of all</w:t>
            </w:r>
          </w:p>
        </w:tc>
        <w:tc>
          <w:tcPr>
            <w:tcW w:w="24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240" w:type="dxa"/>
            <w:vAlign w:val="bottom"/>
            <w:tcBorders>
              <w:left w:val="single" w:sz="8" w:color="auto"/>
              <w:right w:val="single" w:sz="8" w:color="auto"/>
            </w:tcBorders>
            <w:vMerge w:val="continue"/>
          </w:tcPr>
          <w:p>
            <w:pPr>
              <w:spacing w:after="0"/>
              <w:rPr>
                <w:sz w:val="5"/>
                <w:szCs w:val="5"/>
                <w:color w:val="auto"/>
              </w:rPr>
            </w:pPr>
          </w:p>
        </w:tc>
        <w:tc>
          <w:tcPr>
            <w:tcW w:w="198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1980" w:type="dxa"/>
            <w:vAlign w:val="bottom"/>
            <w:tcBorders>
              <w:right w:val="single" w:sz="8" w:color="auto"/>
            </w:tcBorders>
            <w:vMerge w:val="continue"/>
          </w:tcPr>
          <w:p>
            <w:pPr>
              <w:spacing w:after="0"/>
              <w:rPr>
                <w:sz w:val="5"/>
                <w:szCs w:val="5"/>
                <w:color w:val="auto"/>
              </w:rPr>
            </w:pPr>
          </w:p>
        </w:tc>
        <w:tc>
          <w:tcPr>
            <w:tcW w:w="21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of Commitment/Loans</w:t>
            </w:r>
            <w:r>
              <w:rPr>
                <w:rFonts w:ascii="Arial" w:cs="Arial" w:eastAsia="Arial" w:hAnsi="Arial"/>
                <w:sz w:val="25"/>
                <w:szCs w:val="25"/>
                <w:color w:val="auto"/>
                <w:w w:val="91"/>
                <w:vertAlign w:val="superscript"/>
              </w:rPr>
              <w:t>8</w:t>
            </w:r>
          </w:p>
        </w:tc>
        <w:tc>
          <w:tcPr>
            <w:tcW w:w="0" w:type="dxa"/>
            <w:vAlign w:val="bottom"/>
          </w:tcPr>
          <w:p>
            <w:pPr>
              <w:spacing w:after="0"/>
              <w:rPr>
                <w:sz w:val="1"/>
                <w:szCs w:val="1"/>
                <w:color w:val="auto"/>
              </w:rPr>
            </w:pPr>
          </w:p>
        </w:tc>
      </w:tr>
      <w:tr>
        <w:trPr>
          <w:trHeight w:val="283"/>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7"/>
              </w:rPr>
              <w:t>as appropriate.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6"/>
              </w:rPr>
              <w:t>Assignee, as appropriate.</w:t>
            </w:r>
          </w:p>
        </w:tc>
        <w:tc>
          <w:tcPr>
            <w:tcW w:w="14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Loan Assigned</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90"/>
              </w:rPr>
              <w:t>Effective Date.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7"/>
              </w:rPr>
              <w:t>Lenders thereunder.</w:t>
            </w:r>
          </w:p>
        </w:tc>
        <w:tc>
          <w:tcPr>
            <w:tcW w:w="246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40" w:type="dxa"/>
            <w:vAlign w:val="bottom"/>
            <w:tcBorders>
              <w:left w:val="single" w:sz="8" w:color="auto"/>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$[________]</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$[_______]</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[____]%</w:t>
            </w:r>
          </w:p>
        </w:tc>
        <w:tc>
          <w:tcPr>
            <w:tcW w:w="0" w:type="dxa"/>
            <w:vAlign w:val="bottom"/>
          </w:tcPr>
          <w:p>
            <w:pPr>
              <w:spacing w:after="0"/>
              <w:rPr>
                <w:sz w:val="1"/>
                <w:szCs w:val="1"/>
                <w:color w:val="auto"/>
              </w:rPr>
            </w:pPr>
          </w:p>
        </w:tc>
      </w:tr>
      <w:tr>
        <w:trPr>
          <w:trHeight w:val="27"/>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40" w:type="dxa"/>
            <w:vAlign w:val="bottom"/>
            <w:tcBorders>
              <w:left w:val="single" w:sz="8" w:color="auto"/>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 xml:space="preserve">Trade Date: ______________ 20__. </w:t>
      </w:r>
      <w:r>
        <w:rPr>
          <w:rFonts w:ascii="Arial" w:cs="Arial" w:eastAsia="Arial" w:hAnsi="Arial"/>
          <w:sz w:val="16"/>
          <w:szCs w:val="16"/>
          <w:b w:val="1"/>
          <w:bCs w:val="1"/>
          <w:i w:val="1"/>
          <w:iCs w:val="1"/>
          <w:color w:val="auto"/>
        </w:rPr>
        <w:t>Insert if satisfaction of minimum amounts is to be determined as of the Trade Date.</w:t>
      </w:r>
    </w:p>
    <w:p>
      <w:pPr>
        <w:spacing w:after="0" w:line="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Effective Date: ____________________, 20__ [TO BE INSERTED BY THE ADMINISTRATIVE AGENT AND WHICH</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SHALL BE THE EFFECTIVE DATE OF RECORDATION OF TRANSFER BY THE ADMINISTRATIVE AGENT.</w:t>
      </w:r>
      <w:r>
        <w:rPr>
          <w:rFonts w:ascii="Arial" w:cs="Arial" w:eastAsia="Arial" w:hAnsi="Arial"/>
          <w:sz w:val="25"/>
          <w:szCs w:val="25"/>
          <w:color w:val="auto"/>
        </w:rPr>
        <w:t>]</w:t>
      </w:r>
    </w:p>
    <w:p>
      <w:pPr>
        <w:spacing w:after="0" w:line="239" w:lineRule="exact"/>
        <w:rPr>
          <w:sz w:val="20"/>
          <w:szCs w:val="20"/>
          <w:color w:val="auto"/>
        </w:rPr>
      </w:pPr>
    </w:p>
    <w:p>
      <w:pPr>
        <w:jc w:val="center"/>
        <w:ind w:right="3860"/>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ASSIGNOR</w:t>
      </w:r>
    </w:p>
    <w:p>
      <w:pPr>
        <w:spacing w:after="0" w:line="20" w:lineRule="exact"/>
        <w:rPr>
          <w:sz w:val="20"/>
          <w:szCs w:val="20"/>
          <w:color w:val="auto"/>
        </w:rPr>
      </w:pPr>
    </w:p>
    <w:p>
      <w:pPr>
        <w:ind w:left="3240"/>
        <w:spacing w:after="0"/>
        <w:rPr>
          <w:sz w:val="20"/>
          <w:szCs w:val="20"/>
          <w:color w:val="auto"/>
        </w:rPr>
      </w:pPr>
      <w:r>
        <w:rPr>
          <w:rFonts w:ascii="Arial" w:cs="Arial" w:eastAsia="Arial" w:hAnsi="Arial"/>
          <w:sz w:val="25"/>
          <w:szCs w:val="25"/>
          <w:color w:val="auto"/>
        </w:rPr>
        <w:t>[</w:t>
      </w:r>
      <w:r>
        <w:rPr>
          <w:rFonts w:ascii="Arial" w:cs="Arial" w:eastAsia="Arial" w:hAnsi="Arial"/>
          <w:sz w:val="19"/>
          <w:szCs w:val="19"/>
          <w:color w:val="auto"/>
        </w:rPr>
        <w:t>NAME OF ASSIGNOR</w:t>
      </w:r>
      <w:r>
        <w:rPr>
          <w:rFonts w:ascii="Arial" w:cs="Arial" w:eastAsia="Arial" w:hAnsi="Arial"/>
          <w:sz w:val="25"/>
          <w:szCs w:val="25"/>
          <w:color w:val="auto"/>
        </w:rPr>
        <w:t>]</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ASSIGNEE</w:t>
      </w:r>
    </w:p>
    <w:p>
      <w:pPr>
        <w:spacing w:after="0" w:line="20" w:lineRule="exact"/>
        <w:rPr>
          <w:sz w:val="20"/>
          <w:szCs w:val="20"/>
          <w:color w:val="auto"/>
        </w:rPr>
      </w:pPr>
    </w:p>
    <w:p>
      <w:pPr>
        <w:ind w:left="3240"/>
        <w:spacing w:after="0"/>
        <w:rPr>
          <w:sz w:val="20"/>
          <w:szCs w:val="20"/>
          <w:color w:val="auto"/>
        </w:rPr>
      </w:pPr>
      <w:r>
        <w:rPr>
          <w:rFonts w:ascii="Arial" w:cs="Arial" w:eastAsia="Arial" w:hAnsi="Arial"/>
          <w:sz w:val="25"/>
          <w:szCs w:val="25"/>
          <w:color w:val="auto"/>
        </w:rPr>
        <w:t>[</w:t>
      </w:r>
      <w:r>
        <w:rPr>
          <w:rFonts w:ascii="Arial" w:cs="Arial" w:eastAsia="Arial" w:hAnsi="Arial"/>
          <w:sz w:val="19"/>
          <w:szCs w:val="19"/>
          <w:color w:val="auto"/>
        </w:rPr>
        <w:t>NAME OF ASSIGNEE</w:t>
      </w:r>
      <w:r>
        <w:rPr>
          <w:rFonts w:ascii="Arial" w:cs="Arial" w:eastAsia="Arial" w:hAnsi="Arial"/>
          <w:sz w:val="25"/>
          <w:szCs w:val="25"/>
          <w:color w:val="auto"/>
        </w:rPr>
        <w:t>]</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[Consented to and] </w:t>
      </w:r>
      <w:r>
        <w:rPr>
          <w:rFonts w:ascii="Arial" w:cs="Arial" w:eastAsia="Arial" w:hAnsi="Arial"/>
          <w:sz w:val="16"/>
          <w:szCs w:val="16"/>
          <w:b w:val="1"/>
          <w:bCs w:val="1"/>
          <w:i w:val="1"/>
          <w:iCs w:val="1"/>
          <w:color w:val="auto"/>
        </w:rPr>
        <w:t>To be added only if the consent of the Administrative Agent is required by the terms of the Loan Agreement.</w:t>
      </w:r>
      <w:r>
        <w:rPr>
          <w:rFonts w:ascii="Arial" w:cs="Arial" w:eastAsia="Arial" w:hAnsi="Arial"/>
          <w:sz w:val="20"/>
          <w:szCs w:val="20"/>
          <w:color w:val="auto"/>
        </w:rPr>
        <w:t xml:space="preserve"> Accepted: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U.S. BANK NATIONAL ASSOCIATION, as Administrative Agent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[Consented to:] </w:t>
      </w:r>
      <w:r>
        <w:rPr>
          <w:rFonts w:ascii="Arial" w:cs="Arial" w:eastAsia="Arial" w:hAnsi="Arial"/>
          <w:sz w:val="16"/>
          <w:szCs w:val="16"/>
          <w:b w:val="1"/>
          <w:bCs w:val="1"/>
          <w:i w:val="1"/>
          <w:iCs w:val="1"/>
          <w:color w:val="auto"/>
        </w:rPr>
        <w:t>To be added only if the consent of the Borrower and/or other parties is required by the terms of the Loan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[NAME OF RELEVANT PARTY]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ANNEX 1</w:t>
      </w:r>
    </w:p>
    <w:p>
      <w:pPr>
        <w:spacing w:after="0" w:line="200" w:lineRule="exact"/>
        <w:rPr>
          <w:sz w:val="20"/>
          <w:szCs w:val="20"/>
          <w:color w:val="auto"/>
        </w:rPr>
      </w:pPr>
    </w:p>
    <w:p>
      <w:pPr>
        <w:spacing w:after="0" w:line="270"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color w:val="auto"/>
        </w:rPr>
        <w:t>736714620 11074672</w:t>
      </w:r>
      <w:r>
        <w:rPr>
          <w:sz w:val="20"/>
          <w:szCs w:val="20"/>
          <w:color w:val="auto"/>
        </w:rPr>
        <w:tab/>
      </w:r>
      <w:r>
        <w:rPr>
          <w:rFonts w:ascii="Arial" w:cs="Arial" w:eastAsia="Arial" w:hAnsi="Arial"/>
          <w:sz w:val="13"/>
          <w:szCs w:val="13"/>
          <w:color w:val="auto"/>
        </w:rPr>
        <w:t>ALLETE Term Loan Agreement</w:t>
      </w:r>
    </w:p>
    <w:p>
      <w:pPr>
        <w:sectPr>
          <w:pgSz w:w="11900" w:h="16838" w:orient="portrait"/>
          <w:cols w:equalWidth="0" w:num="1">
            <w:col w:w="11260"/>
          </w:cols>
          <w:pgMar w:left="320" w:top="115" w:right="31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AND CONDITIONS FOR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AND ASSUMPTION</w:t>
      </w:r>
    </w:p>
    <w:p>
      <w:pPr>
        <w:spacing w:after="0" w:line="222" w:lineRule="exact"/>
        <w:rPr>
          <w:sz w:val="20"/>
          <w:szCs w:val="20"/>
          <w:color w:val="auto"/>
        </w:rPr>
      </w:pPr>
    </w:p>
    <w:p>
      <w:pPr>
        <w:ind w:left="1500" w:hanging="196"/>
        <w:spacing w:after="0"/>
        <w:tabs>
          <w:tab w:leader="none" w:pos="1500"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w:t>
      </w:r>
    </w:p>
    <w:p>
      <w:pPr>
        <w:spacing w:after="0" w:line="39" w:lineRule="exact"/>
        <w:rPr>
          <w:sz w:val="20"/>
          <w:szCs w:val="20"/>
          <w:color w:val="auto"/>
        </w:rPr>
      </w:pPr>
    </w:p>
    <w:p>
      <w:pPr>
        <w:jc w:val="both"/>
        <w:ind w:firstLine="8"/>
        <w:spacing w:after="0" w:line="254" w:lineRule="auto"/>
        <w:tabs>
          <w:tab w:leader="none" w:pos="303"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Loan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8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Loan Agreement, (ii) it satisfies the requirements specified in the Loan Agreement that are required to be satisfied by it in order to acquire the Assigned Interest and become a Lender, (iii) from and after the Effective Date, it shall be bound by the provisions of the Loan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Loan Agreement, together with copies of the most recent financial statements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(vi) if it is a Foreign Lender, attached to the Assignment and Assumption is any documentation required to be delivered by it pursuant to the terms of the Loan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6" w:lineRule="exact"/>
        <w:rPr>
          <w:sz w:val="20"/>
          <w:szCs w:val="20"/>
          <w:color w:val="auto"/>
        </w:rPr>
      </w:pPr>
    </w:p>
    <w:p>
      <w:pPr>
        <w:jc w:val="both"/>
        <w:ind w:firstLine="1304"/>
        <w:spacing w:after="0" w:line="244" w:lineRule="auto"/>
        <w:tabs>
          <w:tab w:leader="none" w:pos="1494"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The Assignor and Assignee shall make all appropriate adjustments in payments by the Administrative Agent for periods prior to the Effective Date or with respect to the making of this assignment directly between themselves.</w:t>
      </w:r>
    </w:p>
    <w:p>
      <w:pPr>
        <w:spacing w:after="0" w:line="194" w:lineRule="exact"/>
        <w:rPr>
          <w:rFonts w:ascii="Arial" w:cs="Arial" w:eastAsia="Arial" w:hAnsi="Arial"/>
          <w:sz w:val="20"/>
          <w:szCs w:val="20"/>
          <w:color w:val="auto"/>
        </w:rPr>
      </w:pPr>
    </w:p>
    <w:p>
      <w:pPr>
        <w:jc w:val="both"/>
        <w:ind w:firstLine="1304"/>
        <w:spacing w:after="0" w:line="250" w:lineRule="auto"/>
        <w:tabs>
          <w:tab w:leader="none" w:pos="1494"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w:t>
      </w:r>
    </w:p>
    <w:p>
      <w:pPr>
        <w:spacing w:after="0" w:line="200" w:lineRule="exact"/>
        <w:rPr>
          <w:sz w:val="20"/>
          <w:szCs w:val="20"/>
          <w:color w:val="auto"/>
        </w:rPr>
      </w:pPr>
    </w:p>
    <w:p>
      <w:pPr>
        <w:spacing w:after="0" w:line="240"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color w:val="auto"/>
        </w:rPr>
        <w:t>736714620 11074672</w:t>
      </w:r>
      <w:r>
        <w:rPr>
          <w:sz w:val="20"/>
          <w:szCs w:val="20"/>
          <w:color w:val="auto"/>
        </w:rPr>
        <w:tab/>
      </w:r>
      <w:r>
        <w:rPr>
          <w:rFonts w:ascii="Arial" w:cs="Arial" w:eastAsia="Arial" w:hAnsi="Arial"/>
          <w:sz w:val="13"/>
          <w:szCs w:val="13"/>
          <w:color w:val="auto"/>
        </w:rPr>
        <w:t>ALLETE Term Loan Agreement</w:t>
      </w:r>
    </w:p>
    <w:p>
      <w:pPr>
        <w:sectPr>
          <w:pgSz w:w="11900" w:h="16838" w:orient="portrait"/>
          <w:cols w:equalWidth="0" w:num="1">
            <w:col w:w="11240"/>
          </w:cols>
          <w:pgMar w:left="320" w:top="115" w:right="339" w:bottom="1440" w:gutter="0" w:footer="0" w:header="0"/>
        </w:sectPr>
      </w:pPr>
    </w:p>
    <w:bookmarkStart w:id="133" w:name="page134"/>
    <w:bookmarkEnd w:id="133"/>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color w:val="auto"/>
        </w:rPr>
        <w:t>736714620 11074672</w:t>
      </w:r>
      <w:r>
        <w:rPr>
          <w:sz w:val="20"/>
          <w:szCs w:val="20"/>
          <w:color w:val="auto"/>
        </w:rPr>
        <w:tab/>
      </w:r>
      <w:r>
        <w:rPr>
          <w:rFonts w:ascii="Arial" w:cs="Arial" w:eastAsia="Arial" w:hAnsi="Arial"/>
          <w:sz w:val="13"/>
          <w:szCs w:val="13"/>
          <w:color w:val="auto"/>
        </w:rPr>
        <w:t>ALLETE Term Loan Agreement</w:t>
      </w:r>
    </w:p>
    <w:p>
      <w:pPr>
        <w:sectPr>
          <w:pgSz w:w="11900" w:h="16838" w:orient="portrait"/>
          <w:cols w:equalWidth="0" w:num="1">
            <w:col w:w="11240"/>
          </w:cols>
          <w:pgMar w:left="320" w:top="115"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CREDIT REQUEST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U.S. Bank National Association, as Administrative Agent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rPr>
          <w:sz w:val="20"/>
          <w:szCs w:val="20"/>
          <w:color w:val="auto"/>
        </w:rPr>
      </w:pPr>
      <w:r>
        <w:rPr>
          <w:rFonts w:ascii="Arial" w:cs="Arial" w:eastAsia="Arial" w:hAnsi="Arial"/>
          <w:sz w:val="20"/>
          <w:szCs w:val="20"/>
          <w:color w:val="auto"/>
        </w:rPr>
        <w:t>Attention: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Ladies/Gentlemen: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Please refer to the Term Loan Agreement dated as of April 8, 2020, among ALLETE, Inc.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thereto and U.S. Bank National Association,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(as amended, supplemented or otherwise modified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Capitalized terms used herein that are defined in the Loan Agreement shall have the meanings therein defined.</w:t>
      </w:r>
    </w:p>
    <w:p>
      <w:pPr>
        <w:spacing w:after="0" w:line="191" w:lineRule="exact"/>
        <w:rPr>
          <w:sz w:val="20"/>
          <w:szCs w:val="20"/>
          <w:color w:val="auto"/>
        </w:rPr>
      </w:pPr>
    </w:p>
    <w:p>
      <w:pPr>
        <w:jc w:val="both"/>
        <w:ind w:firstLine="656"/>
        <w:spacing w:after="0" w:line="250" w:lineRule="auto"/>
        <w:tabs>
          <w:tab w:leader="none" w:pos="1017" w:val="left"/>
        </w:tabs>
        <w:numPr>
          <w:ilvl w:val="0"/>
          <w:numId w:val="127"/>
        </w:numPr>
        <w:rPr>
          <w:rFonts w:ascii="Arial" w:cs="Arial" w:eastAsia="Arial" w:hAnsi="Arial"/>
          <w:sz w:val="20"/>
          <w:szCs w:val="20"/>
          <w:color w:val="auto"/>
        </w:rPr>
      </w:pPr>
      <w:r>
        <w:rPr>
          <w:rFonts w:ascii="Arial" w:cs="Arial" w:eastAsia="Arial" w:hAnsi="Arial"/>
          <w:sz w:val="20"/>
          <w:szCs w:val="20"/>
          <w:color w:val="auto"/>
        </w:rPr>
        <w:t>Pursuant to Section 2.3(a) of the Loan Agreement, the Borrower hereby gives notice of its intention to borrow [Effective Date Term Loans][Delayed Draw Term Loans][Incremental Term Loans] in an aggregate principal amount of $ ________on ______ __, 20__ (the “</w:t>
      </w:r>
      <w:r>
        <w:rPr>
          <w:rFonts w:ascii="Arial" w:cs="Arial" w:eastAsia="Arial" w:hAnsi="Arial"/>
          <w:sz w:val="20"/>
          <w:szCs w:val="20"/>
          <w:u w:val="single" w:color="auto"/>
          <w:color w:val="auto"/>
        </w:rPr>
        <w:t>Borrowing Date</w:t>
      </w:r>
      <w:r>
        <w:rPr>
          <w:rFonts w:ascii="Arial" w:cs="Arial" w:eastAsia="Arial" w:hAnsi="Arial"/>
          <w:sz w:val="20"/>
          <w:szCs w:val="20"/>
          <w:color w:val="auto"/>
        </w:rPr>
        <w:t>”), which Borrowing(s) shall consist of the following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351790</wp:posOffset>
            </wp:positionV>
            <wp:extent cx="6420485" cy="2348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420485" cy="234886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Type of Borrowing (ABR</w:t>
      </w:r>
    </w:p>
    <w:p>
      <w:pPr>
        <w:spacing w:after="0" w:line="39"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or Eurodollar)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1280"/>
        <w:spacing w:after="0"/>
        <w:rPr>
          <w:sz w:val="20"/>
          <w:szCs w:val="20"/>
          <w:color w:val="auto"/>
        </w:rPr>
      </w:pPr>
      <w:r>
        <w:rPr>
          <w:rFonts w:ascii="Arial" w:cs="Arial" w:eastAsia="Arial" w:hAnsi="Arial"/>
          <w:sz w:val="20"/>
          <w:szCs w:val="20"/>
          <w:color w:val="auto"/>
        </w:rPr>
        <w:t>Interest Period for</w:t>
      </w:r>
    </w:p>
    <w:p>
      <w:pPr>
        <w:spacing w:after="0" w:line="16"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Eurodollar Borrowings</w:t>
      </w:r>
    </w:p>
    <w:p>
      <w:pPr>
        <w:spacing w:after="0" w:line="222" w:lineRule="exact"/>
        <w:rPr>
          <w:sz w:val="20"/>
          <w:szCs w:val="20"/>
          <w:color w:val="auto"/>
        </w:rPr>
      </w:pPr>
    </w:p>
    <w:p>
      <w:pPr>
        <w:sectPr>
          <w:pgSz w:w="11900" w:h="16838" w:orient="portrait"/>
          <w:cols w:equalWidth="0" w:num="3">
            <w:col w:w="4500" w:space="720"/>
            <w:col w:w="2200" w:space="720"/>
            <w:col w:w="3100"/>
          </w:cols>
          <w:pgMar w:left="320" w:top="11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656"/>
        <w:spacing w:after="0" w:line="244" w:lineRule="auto"/>
        <w:tabs>
          <w:tab w:leader="none" w:pos="1017"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Borrower hereby certifies that on the date hereof and on the Borrowing Date set forth above, and after giving effect to the Loans requested hereby, there exists and shall exist no Default and each of the representations and warranties contained in each Loan Document (other than the representations and warranties in Sections 4.4(b), 4.5 and 4.6 of the Loan Agreement) is and shall be true and correct except to the extent such representations and warranties specifically relate to an earlier date, in which case such representations and warranties were true and correct on and as of such earlier date.</w:t>
      </w:r>
    </w:p>
    <w:p>
      <w:pPr>
        <w:spacing w:after="0" w:line="194" w:lineRule="exact"/>
        <w:rPr>
          <w:rFonts w:ascii="Arial" w:cs="Arial" w:eastAsia="Arial" w:hAnsi="Arial"/>
          <w:sz w:val="20"/>
          <w:szCs w:val="20"/>
          <w:color w:val="auto"/>
        </w:rPr>
      </w:pPr>
    </w:p>
    <w:p>
      <w:pPr>
        <w:ind w:left="980" w:hanging="324"/>
        <w:spacing w:after="0"/>
        <w:tabs>
          <w:tab w:leader="none" w:pos="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 is as follows: [Insert Wire Instructions]</w:t>
      </w:r>
    </w:p>
    <w:p>
      <w:pPr>
        <w:spacing w:after="0" w:line="200" w:lineRule="exact"/>
        <w:rPr>
          <w:sz w:val="20"/>
          <w:szCs w:val="20"/>
          <w:color w:val="auto"/>
        </w:rPr>
      </w:pPr>
    </w:p>
    <w:p>
      <w:pPr>
        <w:spacing w:after="0" w:line="293"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color w:val="auto"/>
        </w:rPr>
        <w:t>736714620 11074672</w:t>
      </w:r>
      <w:r>
        <w:rPr>
          <w:sz w:val="20"/>
          <w:szCs w:val="20"/>
          <w:color w:val="auto"/>
        </w:rPr>
        <w:tab/>
      </w:r>
      <w:r>
        <w:rPr>
          <w:rFonts w:ascii="Arial" w:cs="Arial" w:eastAsia="Arial" w:hAnsi="Arial"/>
          <w:sz w:val="13"/>
          <w:szCs w:val="13"/>
          <w:color w:val="auto"/>
        </w:rPr>
        <w:t>ALLETE Term Loan Agreement</w:t>
      </w:r>
    </w:p>
    <w:p>
      <w:pPr>
        <w:sectPr>
          <w:pgSz w:w="11900" w:h="16838" w:orient="portrait"/>
          <w:cols w:equalWidth="0" w:num="1">
            <w:col w:w="11240"/>
          </w:cols>
          <w:pgMar w:left="320" w:top="115" w:right="339" w:bottom="1440" w:gutter="0" w:footer="0" w:header="0"/>
          <w:type w:val="continuous"/>
        </w:sectPr>
      </w:pPr>
    </w:p>
    <w:bookmarkStart w:id="135" w:name="page136"/>
    <w:bookmarkEnd w:id="135"/>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IN WITNESS WHEREOF, the Borrower has caused this Credit Request to be executed by its authorized signatory as of the date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ALLETE, INC.</w:t>
      </w: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color w:val="auto"/>
        </w:rPr>
        <w:t>736714620 11074672</w:t>
      </w:r>
      <w:r>
        <w:rPr>
          <w:sz w:val="20"/>
          <w:szCs w:val="20"/>
          <w:color w:val="auto"/>
        </w:rPr>
        <w:tab/>
      </w:r>
      <w:r>
        <w:rPr>
          <w:rFonts w:ascii="Arial" w:cs="Arial" w:eastAsia="Arial" w:hAnsi="Arial"/>
          <w:sz w:val="13"/>
          <w:szCs w:val="13"/>
          <w:color w:val="auto"/>
        </w:rPr>
        <w:t>ALLETE Term Loan Agreement</w:t>
      </w:r>
    </w:p>
    <w:p>
      <w:pPr>
        <w:sectPr>
          <w:pgSz w:w="11900" w:h="16838" w:orient="portrait"/>
          <w:cols w:equalWidth="0" w:num="1">
            <w:col w:w="11240"/>
          </w:cols>
          <w:pgMar w:left="320" w:top="115" w:right="339" w:bottom="1440" w:gutter="0" w:footer="0" w:header="0"/>
        </w:sectPr>
      </w:pPr>
    </w:p>
    <w:bookmarkStart w:id="136" w:name="page137"/>
    <w:bookmarkEnd w:id="136"/>
    <w:p>
      <w:pPr>
        <w:ind w:left="10460"/>
        <w:spacing w:after="0"/>
        <w:rPr>
          <w:sz w:val="20"/>
          <w:szCs w:val="20"/>
          <w:color w:val="auto"/>
        </w:rPr>
      </w:pPr>
      <w:r>
        <w:rPr>
          <w:rFonts w:ascii="Arial" w:cs="Arial" w:eastAsia="Arial" w:hAnsi="Arial"/>
          <w:sz w:val="18"/>
          <w:szCs w:val="18"/>
          <w:b w:val="1"/>
          <w:bCs w:val="1"/>
          <w:color w:val="auto"/>
        </w:rPr>
        <w:t>Exhibit 4</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NOTE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560"/>
        <w:spacing w:after="0"/>
        <w:rPr>
          <w:sz w:val="20"/>
          <w:szCs w:val="20"/>
          <w:color w:val="auto"/>
        </w:rPr>
      </w:pPr>
      <w:r>
        <w:rPr>
          <w:rFonts w:ascii="Arial" w:cs="Arial" w:eastAsia="Arial" w:hAnsi="Arial"/>
          <w:sz w:val="16"/>
          <w:szCs w:val="16"/>
          <w:color w:val="auto"/>
        </w:rPr>
        <w:t>____________, 2020</w:t>
      </w:r>
    </w:p>
    <w:p>
      <w:pPr>
        <w:spacing w:after="0" w:line="2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FOR VALUE RECEIVED, the undersigned, ALLETE, Inc., a Minnesota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hereby promises to pay to the order of [INSERT LENDER NAME] (the “</w:t>
      </w:r>
      <w:r>
        <w:rPr>
          <w:rFonts w:ascii="Arial" w:cs="Arial" w:eastAsia="Arial" w:hAnsi="Arial"/>
          <w:sz w:val="19"/>
          <w:szCs w:val="19"/>
          <w:u w:val="single" w:color="auto"/>
          <w:color w:val="auto"/>
        </w:rPr>
        <w:t>Lender</w:t>
      </w:r>
      <w:r>
        <w:rPr>
          <w:rFonts w:ascii="Arial" w:cs="Arial" w:eastAsia="Arial" w:hAnsi="Arial"/>
          <w:sz w:val="19"/>
          <w:szCs w:val="19"/>
          <w:color w:val="auto"/>
        </w:rPr>
        <w:t>”) the unpaid principal amount of the Loans made by the Lender to the Borrower, in the amounts and at the times set forth in the Term Loan Agreement dated as of April 8, 2020, among the Borrower, the Lenders party thereto and U.S. Bank National Association, as Administrative Agent (as amended, supplemented or otherwise modified from time to time, the “</w:t>
      </w:r>
      <w:r>
        <w:rPr>
          <w:rFonts w:ascii="Arial" w:cs="Arial" w:eastAsia="Arial" w:hAnsi="Arial"/>
          <w:sz w:val="19"/>
          <w:szCs w:val="19"/>
          <w:u w:val="single" w:color="auto"/>
          <w:color w:val="auto"/>
        </w:rPr>
        <w:t>Loan Agreement</w:t>
      </w:r>
      <w:r>
        <w:rPr>
          <w:rFonts w:ascii="Arial" w:cs="Arial" w:eastAsia="Arial" w:hAnsi="Arial"/>
          <w:sz w:val="19"/>
          <w:szCs w:val="19"/>
          <w:color w:val="auto"/>
        </w:rPr>
        <w:t>”), and to pay interest from the date hereof on the principal balance of such Loans from time to time outstanding at the rate or rates and at the times set forth in the Loan Agreement, in each case at the office of the Administrative Agent located at 800 Nicollet Mall, Minneapolis, MN 55402, or at such other place as the Administrative Agent may specify from time to time, in lawful money of the United States in immediately available funds. Terms not otherwise defined herein but defined in the Loan Agreement are used herein with the same meanings.</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The Loans evidenced by this Note are prepayable in the amounts, and under the circumstances, and their respective maturities are subject to acceleration upon the terms, set forth in the Loan Agreement. This Note is subject to, and shall be construed in accordance with, the provisions of the Loan Agreement and is entitled to the benefits and security set forth in the Loan Documents.</w:t>
      </w:r>
    </w:p>
    <w:p>
      <w:pPr>
        <w:spacing w:after="0" w:line="17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The Lender is hereby authorized to record on the Schedule annexed hereto, and any continuation sheets which the Lender may attach hereto, (i) the date of each Loan made by the Lender to the Borrower, (ii) the Type and amount thereof, (iii) the interest rate (without regard to the Applicable Margin) and Interest Period applicable to each Eurodollar Loan and (iv) the date and amount of each conversion of, and each payment or prepayment of the principal of, any such Loan. The entries made on such Schedule shall be prima facie evidence of the existence and amounts of the obligations recorded thereon, provided that the failure to so record or any error therein shall not in any manner affect the obligation of the Borrower to repay the Loans in accordance with the terms of the Loan Agreement.</w:t>
      </w:r>
    </w:p>
    <w:p>
      <w:pPr>
        <w:spacing w:after="0" w:line="16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Except as specifically otherwise provided in the Loan Agreement, the Borrower hereby waives presentment, demand, notice of dishonor, protest, notice of protest and all other demands, protests and notices in connection with the execution, delivery, performance, collection and enforcement of this Note.</w:t>
      </w:r>
    </w:p>
    <w:p>
      <w:pPr>
        <w:spacing w:after="0" w:line="186"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Whenever in this Note either party hereto is referred to, such reference shall be deemed to include the successors and assigns of such party. The Borrower shall not have the right to assign its rights or obligations hereunder or any interest herein (and any such attempted assignment shall be void), except as expressly permitted by the Loan Documents. No failure or delay of the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Neither this Note nor any provision hereof may be waived, amended or modified, nor shall any departure therefrom be consented to, except pursuant to a written agreement entered into between the Borrower and the Lender with respect to which such waiver, amendment, modification or consent is to apply, subject to any consent required in accordance with Section 10.2 of the Loan Agreement.</w:t>
      </w:r>
    </w:p>
    <w:p>
      <w:pPr>
        <w:spacing w:after="0" w:line="399"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color w:val="auto"/>
        </w:rPr>
        <w:t>736714620 11074672</w:t>
      </w:r>
      <w:r>
        <w:rPr>
          <w:sz w:val="20"/>
          <w:szCs w:val="20"/>
          <w:color w:val="auto"/>
        </w:rPr>
        <w:tab/>
      </w:r>
      <w:r>
        <w:rPr>
          <w:rFonts w:ascii="Arial" w:cs="Arial" w:eastAsia="Arial" w:hAnsi="Arial"/>
          <w:sz w:val="13"/>
          <w:szCs w:val="13"/>
          <w:color w:val="auto"/>
        </w:rPr>
        <w:t>ALLETE Term Loan Agreement</w:t>
      </w:r>
    </w:p>
    <w:p>
      <w:pPr>
        <w:sectPr>
          <w:pgSz w:w="11900" w:h="16838" w:orient="portrait"/>
          <w:cols w:equalWidth="0" w:num="1">
            <w:col w:w="11240"/>
          </w:cols>
          <w:pgMar w:left="320" w:top="115" w:right="339" w:bottom="1440" w:gutter="0" w:footer="0" w:header="0"/>
        </w:sectPr>
      </w:pPr>
    </w:p>
    <w:bookmarkStart w:id="137" w:name="page138"/>
    <w:bookmarkEnd w:id="137"/>
    <w:p>
      <w:pPr>
        <w:ind w:left="10460"/>
        <w:spacing w:after="0"/>
        <w:rPr>
          <w:sz w:val="20"/>
          <w:szCs w:val="20"/>
          <w:color w:val="auto"/>
        </w:rPr>
      </w:pPr>
      <w:r>
        <w:rPr>
          <w:rFonts w:ascii="Arial" w:cs="Arial" w:eastAsia="Arial" w:hAnsi="Arial"/>
          <w:sz w:val="18"/>
          <w:szCs w:val="18"/>
          <w:b w:val="1"/>
          <w:bCs w:val="1"/>
          <w:color w:val="auto"/>
        </w:rPr>
        <w:t>Exhibit 4</w:t>
      </w:r>
    </w:p>
    <w:p>
      <w:pPr>
        <w:spacing w:after="0" w:line="24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THIS NOTE SHALL BE GOVERNED BY, AND CONSTRUED IN ACCORDANCE WITH, THE LAWS OF THE STATE OF NEW YORK.</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communications and notices hereunder shall be in writing and given as provided in Section 10.1 of the Loan Agreement.</w:t>
      </w:r>
    </w:p>
    <w:p>
      <w:pPr>
        <w:spacing w:after="0" w:line="23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The Borrower, and by accepting the Note, the Lender, hereby irrevocably and unconditionally submits, for itself and its property, to the nonexclusive jurisdiction of the Supreme Court of the State of New York sitting in New York County and of the United States District Court of the Southern District of New York City, and any appellate court from any thereof, in any action or proceeding arising out of or relating to this Note or the other Loan Documents, or for recognition or enforcement of any judgment, and each of the Borrower and the Lender hereby irrevocably and unconditionally agrees that, to the extent permitted by applicable law, all claims in respect of any such action or proceeding may be heard and determined in such New York State court or, to the extent permitted by applicable law, in such Federal court. The Borrower, and by accepting this Note, the Lender, agrees that a final judgment in any such action or proceeding shall be conclusive and may be enforced in other jurisdictions by suit on the judgment or in any other manner provided by law. Nothing in this Note shall affect any right that the Borrower or the Lender may otherwise have to bring any action or proceeding relating to this Note or the other Loan Documents against the other party, or any of its property, in the courts of any jurisdiction.</w:t>
      </w:r>
    </w:p>
    <w:p>
      <w:pPr>
        <w:spacing w:after="0" w:line="17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The Borrower, and by accepting this Note, the Lender, hereby irrevocably and unconditionally waives, to the fullest extent it may legally and effectively do so, any objection that it may now or hereafter have to the laying of venue of any suit, action or proceeding arising out of or relating to this Note or the other Loan Documents in any court referred to in the preceding paragraph hereof. The Borrower, and by accepting this Note, the Lender, hereby irrevocably waives, to the fullest extent permitted by applicable law, the defense of an inconvenient forum to the maintenance of such action or proceeding in any such court.</w:t>
      </w:r>
    </w:p>
    <w:p>
      <w:pPr>
        <w:spacing w:after="0" w:line="180" w:lineRule="exact"/>
        <w:rPr>
          <w:sz w:val="20"/>
          <w:szCs w:val="20"/>
          <w:color w:val="auto"/>
        </w:rPr>
      </w:pPr>
    </w:p>
    <w:p>
      <w:pPr>
        <w:jc w:val="both"/>
        <w:ind w:right="20" w:firstLine="1296"/>
        <w:spacing w:after="0" w:line="316" w:lineRule="auto"/>
        <w:rPr>
          <w:sz w:val="20"/>
          <w:szCs w:val="20"/>
          <w:color w:val="auto"/>
        </w:rPr>
      </w:pPr>
      <w:r>
        <w:rPr>
          <w:rFonts w:ascii="Arial" w:cs="Arial" w:eastAsia="Arial" w:hAnsi="Arial"/>
          <w:sz w:val="18"/>
          <w:szCs w:val="18"/>
          <w:color w:val="auto"/>
        </w:rPr>
        <w:t>The Borrower, and by accepting this Note, the Lender, irrevocably consents to service of process in the manner provided for notices herein. Nothing herein will affect the right of the Borrower or the Lender to serve process in any other manner permitted by law.</w:t>
      </w:r>
    </w:p>
    <w:p>
      <w:pPr>
        <w:spacing w:after="0" w:line="12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b w:val="1"/>
          <w:bCs w:val="1"/>
          <w:color w:val="auto"/>
        </w:rPr>
        <w:t>THE BORROWER, AND BY ACCEPTING THIS NOTE, THE LENDER, EACH HEREBY WAIVES, TO THE FULLEST EXTENT PERMITTED BY APPLICABLE LAW, ANY RIGHT IT MAY HAVE TO A TRIAL BY JURY IN RESPECT OF ANY LEGAL PROCEEDING DIRECTLY OR INDIRECTLY ARISING OUT OF, UNDER OR RELATING TO THIS NOTE. THE BORROWER, AND BY ACCEPTING THIS NOTE, THE LENDER, (A) CERTIFIES THAT NO REPRESENTATIVE, AGENT OR ATTORNEY OF THE OTHER PARTY HAS REPRESENTED, EXPRESSLY OR OTHERWISE, THAT SUCH OTHER PARTY WOULD NOT, IN THE EVENT OF LITIGATION, SEEK TO ENFORCE THE FOREGOING WAIVER AND (B) ACKNOWLEDGES THAT SUCH OTHER PARTY HAS BEEN INDUCED TO ENTER INTO THE LOAN DOCUMENTS TO WHICH IT IS A PARTY BY, AMONG OTHER THINGS, THE WAIVERS AND CERTIFICATIONS IN THIS PARAGRAPH.</w:t>
      </w: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ALLETE, INC.</w:t>
      </w:r>
    </w:p>
    <w:p>
      <w:pPr>
        <w:spacing w:after="0" w:line="324"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w:t>
      </w:r>
    </w:p>
    <w:p>
      <w:pPr>
        <w:spacing w:after="0" w:line="15" w:lineRule="exact"/>
        <w:rPr>
          <w:sz w:val="20"/>
          <w:szCs w:val="20"/>
          <w:color w:val="auto"/>
        </w:rPr>
      </w:pPr>
    </w:p>
    <w:p>
      <w:pPr>
        <w:ind w:left="3900"/>
        <w:spacing w:after="0"/>
        <w:tabs>
          <w:tab w:leader="none" w:pos="45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w:t>
      </w:r>
    </w:p>
    <w:p>
      <w:pPr>
        <w:ind w:left="3900"/>
        <w:spacing w:after="0"/>
        <w:tabs>
          <w:tab w:leader="none" w:pos="4520" w:val="left"/>
        </w:tabs>
        <w:rPr>
          <w:sz w:val="20"/>
          <w:szCs w:val="20"/>
          <w:color w:val="auto"/>
        </w:rPr>
      </w:pPr>
      <w:r>
        <w:rPr>
          <w:rFonts w:ascii="Arial" w:cs="Arial" w:eastAsia="Arial" w:hAnsi="Arial"/>
          <w:sz w:val="20"/>
          <w:szCs w:val="20"/>
          <w:color w:val="auto"/>
        </w:rPr>
        <w:t>Title:</w:t>
        <w:tab/>
        <w:t>______________________________</w:t>
      </w:r>
    </w:p>
    <w:p>
      <w:pPr>
        <w:spacing w:after="0" w:line="238"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color w:val="auto"/>
        </w:rPr>
        <w:t>736714620 11074672</w:t>
      </w:r>
      <w:r>
        <w:rPr>
          <w:sz w:val="20"/>
          <w:szCs w:val="20"/>
          <w:color w:val="auto"/>
        </w:rPr>
        <w:tab/>
      </w:r>
      <w:r>
        <w:rPr>
          <w:rFonts w:ascii="Arial" w:cs="Arial" w:eastAsia="Arial" w:hAnsi="Arial"/>
          <w:sz w:val="13"/>
          <w:szCs w:val="13"/>
          <w:color w:val="auto"/>
        </w:rPr>
        <w:t>ALLETE Term Loan Agreement</w:t>
      </w:r>
    </w:p>
    <w:p>
      <w:pPr>
        <w:sectPr>
          <w:pgSz w:w="11900" w:h="16838" w:orient="portrait"/>
          <w:cols w:equalWidth="0" w:num="1">
            <w:col w:w="11240"/>
          </w:cols>
          <w:pgMar w:left="320" w:top="115" w:right="339" w:bottom="1440" w:gutter="0" w:footer="0" w:header="0"/>
        </w:sectPr>
      </w:pPr>
    </w:p>
    <w:bookmarkStart w:id="138" w:name="page139"/>
    <w:bookmarkEnd w:id="138"/>
    <w:tbl>
      <w:tblPr>
        <w:tblLayout w:type="fixed"/>
        <w:tblInd w:w="10" w:type="dxa"/>
        <w:tblCellMar>
          <w:top w:w="0" w:type="dxa"/>
          <w:left w:w="0" w:type="dxa"/>
          <w:bottom w:w="0" w:type="dxa"/>
          <w:right w:w="0" w:type="dxa"/>
        </w:tblCellMar>
      </w:tblPr>
      <w:tr>
        <w:trPr>
          <w:trHeight w:val="257"/>
        </w:trPr>
        <w:tc>
          <w:tcPr>
            <w:tcW w:w="15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560" w:type="dxa"/>
            <w:vAlign w:val="bottom"/>
          </w:tcPr>
          <w:p>
            <w:pPr>
              <w:ind w:left="760"/>
              <w:spacing w:after="0"/>
              <w:rPr>
                <w:sz w:val="20"/>
                <w:szCs w:val="20"/>
                <w:color w:val="auto"/>
              </w:rPr>
            </w:pPr>
            <w:r>
              <w:rPr>
                <w:rFonts w:ascii="Arial" w:cs="Arial" w:eastAsia="Arial" w:hAnsi="Arial"/>
                <w:sz w:val="20"/>
                <w:szCs w:val="20"/>
                <w:b w:val="1"/>
                <w:bCs w:val="1"/>
                <w:color w:val="auto"/>
                <w:w w:val="91"/>
              </w:rPr>
              <w:t>Exhibit 4</w:t>
            </w:r>
          </w:p>
        </w:tc>
      </w:tr>
      <w:tr>
        <w:trPr>
          <w:trHeight w:val="563"/>
        </w:trPr>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0" w:type="dxa"/>
            <w:vAlign w:val="bottom"/>
            <w:gridSpan w:val="5"/>
          </w:tcPr>
          <w:p>
            <w:pPr>
              <w:jc w:val="center"/>
              <w:ind w:right="1301"/>
              <w:spacing w:after="0"/>
              <w:rPr>
                <w:sz w:val="20"/>
                <w:szCs w:val="20"/>
                <w:color w:val="auto"/>
              </w:rPr>
            </w:pPr>
            <w:r>
              <w:rPr>
                <w:rFonts w:ascii="Arial" w:cs="Arial" w:eastAsia="Arial" w:hAnsi="Arial"/>
                <w:sz w:val="20"/>
                <w:szCs w:val="20"/>
                <w:color w:val="auto"/>
                <w:w w:val="94"/>
              </w:rPr>
              <w:t>SCHEDULE TO NOTE</w:t>
            </w: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2"/>
        </w:trPr>
        <w:tc>
          <w:tcPr>
            <w:tcW w:w="1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822"/>
        </w:trPr>
        <w:tc>
          <w:tcPr>
            <w:tcW w:w="1500" w:type="dxa"/>
            <w:vAlign w:val="bottom"/>
            <w:tcBorders>
              <w:left w:val="single" w:sz="8" w:color="auto"/>
              <w:right w:val="single" w:sz="8" w:color="auto"/>
            </w:tcBorders>
            <w:shd w:val="clear" w:color="auto" w:fill="D9D9D9"/>
          </w:tcPr>
          <w:p>
            <w:pPr>
              <w:spacing w:after="0"/>
              <w:rPr>
                <w:sz w:val="24"/>
                <w:szCs w:val="24"/>
                <w:color w:val="auto"/>
              </w:rPr>
            </w:pPr>
          </w:p>
        </w:tc>
        <w:tc>
          <w:tcPr>
            <w:tcW w:w="1580" w:type="dxa"/>
            <w:vAlign w:val="bottom"/>
            <w:tcBorders>
              <w:right w:val="single" w:sz="8" w:color="auto"/>
            </w:tcBorders>
            <w:shd w:val="clear" w:color="auto" w:fill="D9D9D9"/>
          </w:tcPr>
          <w:p>
            <w:pPr>
              <w:spacing w:after="0"/>
              <w:rPr>
                <w:sz w:val="24"/>
                <w:szCs w:val="24"/>
                <w:color w:val="auto"/>
              </w:rPr>
            </w:pPr>
          </w:p>
        </w:tc>
        <w:tc>
          <w:tcPr>
            <w:tcW w:w="154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100" w:type="dxa"/>
            <w:vAlign w:val="bottom"/>
            <w:tcBorders>
              <w:right w:val="single" w:sz="8" w:color="auto"/>
            </w:tcBorders>
            <w:shd w:val="clear" w:color="auto" w:fill="D9D9D9"/>
          </w:tcPr>
          <w:p>
            <w:pPr>
              <w:spacing w:after="0"/>
              <w:rPr>
                <w:sz w:val="24"/>
                <w:szCs w:val="24"/>
                <w:color w:val="auto"/>
              </w:rPr>
            </w:pPr>
          </w:p>
        </w:tc>
        <w:tc>
          <w:tcPr>
            <w:tcW w:w="1700" w:type="dxa"/>
            <w:vAlign w:val="bottom"/>
            <w:tcBorders>
              <w:right w:val="single" w:sz="8" w:color="auto"/>
            </w:tcBorders>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1440" w:type="dxa"/>
            <w:vAlign w:val="bottom"/>
            <w:tcBorders>
              <w:right w:val="single" w:sz="8" w:color="auto"/>
            </w:tcBorders>
            <w:shd w:val="clear" w:color="auto" w:fill="D9D9D9"/>
          </w:tcPr>
          <w:p>
            <w:pPr>
              <w:spacing w:after="0"/>
              <w:rPr>
                <w:sz w:val="24"/>
                <w:szCs w:val="24"/>
                <w:color w:val="auto"/>
              </w:rPr>
            </w:pPr>
          </w:p>
        </w:tc>
        <w:tc>
          <w:tcPr>
            <w:tcW w:w="1680" w:type="dxa"/>
            <w:vAlign w:val="bottom"/>
            <w:tcBorders>
              <w:right w:val="single" w:sz="8" w:color="auto"/>
            </w:tcBorders>
            <w:shd w:val="clear" w:color="auto" w:fill="D9D9D9"/>
          </w:tcPr>
          <w:p>
            <w:pPr>
              <w:spacing w:after="0"/>
              <w:rPr>
                <w:sz w:val="24"/>
                <w:szCs w:val="24"/>
                <w:color w:val="auto"/>
              </w:rPr>
            </w:pPr>
          </w:p>
        </w:tc>
        <w:tc>
          <w:tcPr>
            <w:tcW w:w="1560" w:type="dxa"/>
            <w:vAlign w:val="bottom"/>
            <w:tcBorders>
              <w:right w:val="single" w:sz="8" w:color="auto"/>
            </w:tcBorders>
            <w:shd w:val="clear" w:color="auto" w:fill="D9D9D9"/>
          </w:tcPr>
          <w:p>
            <w:pPr>
              <w:ind w:left="420"/>
              <w:spacing w:after="0"/>
              <w:rPr>
                <w:sz w:val="20"/>
                <w:szCs w:val="20"/>
                <w:color w:val="auto"/>
              </w:rPr>
            </w:pPr>
            <w:r>
              <w:rPr>
                <w:rFonts w:ascii="Arial" w:cs="Arial" w:eastAsia="Arial" w:hAnsi="Arial"/>
                <w:sz w:val="20"/>
                <w:szCs w:val="20"/>
                <w:color w:val="auto"/>
              </w:rPr>
              <w:t>Notation</w:t>
            </w:r>
          </w:p>
        </w:tc>
      </w:tr>
      <w:tr>
        <w:trPr>
          <w:trHeight w:val="330"/>
        </w:trPr>
        <w:tc>
          <w:tcPr>
            <w:tcW w:w="1500" w:type="dxa"/>
            <w:vAlign w:val="bottom"/>
            <w:tcBorders>
              <w:left w:val="single" w:sz="8" w:color="auto"/>
              <w:right w:val="single" w:sz="8" w:color="auto"/>
            </w:tcBorders>
            <w:shd w:val="clear" w:color="auto" w:fill="D9D9D9"/>
          </w:tcPr>
          <w:p>
            <w:pPr>
              <w:spacing w:after="0"/>
              <w:rPr>
                <w:sz w:val="24"/>
                <w:szCs w:val="24"/>
                <w:color w:val="auto"/>
              </w:rPr>
            </w:pPr>
          </w:p>
        </w:tc>
        <w:tc>
          <w:tcPr>
            <w:tcW w:w="1580" w:type="dxa"/>
            <w:vAlign w:val="bottom"/>
            <w:tcBorders>
              <w:right w:val="single" w:sz="8" w:color="auto"/>
            </w:tcBorders>
            <w:shd w:val="clear" w:color="auto" w:fill="D9D9D9"/>
          </w:tcPr>
          <w:p>
            <w:pPr>
              <w:spacing w:after="0"/>
              <w:rPr>
                <w:sz w:val="24"/>
                <w:szCs w:val="24"/>
                <w:color w:val="auto"/>
              </w:rPr>
            </w:pPr>
          </w:p>
        </w:tc>
        <w:tc>
          <w:tcPr>
            <w:tcW w:w="154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100" w:type="dxa"/>
            <w:vAlign w:val="bottom"/>
            <w:tcBorders>
              <w:right w:val="single" w:sz="8" w:color="auto"/>
            </w:tcBorders>
            <w:shd w:val="clear" w:color="auto" w:fill="D9D9D9"/>
          </w:tcPr>
          <w:p>
            <w:pPr>
              <w:spacing w:after="0"/>
              <w:rPr>
                <w:sz w:val="24"/>
                <w:szCs w:val="24"/>
                <w:color w:val="auto"/>
              </w:rPr>
            </w:pPr>
          </w:p>
        </w:tc>
        <w:tc>
          <w:tcPr>
            <w:tcW w:w="17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4"/>
              </w:rPr>
              <w:t>Amount of principal</w:t>
            </w:r>
          </w:p>
        </w:tc>
        <w:tc>
          <w:tcPr>
            <w:tcW w:w="120" w:type="dxa"/>
            <w:vAlign w:val="bottom"/>
            <w:shd w:val="clear" w:color="auto" w:fill="D9D9D9"/>
          </w:tcPr>
          <w:p>
            <w:pPr>
              <w:spacing w:after="0"/>
              <w:rPr>
                <w:sz w:val="24"/>
                <w:szCs w:val="24"/>
                <w:color w:val="auto"/>
              </w:rPr>
            </w:pPr>
          </w:p>
        </w:tc>
        <w:tc>
          <w:tcPr>
            <w:tcW w:w="1440" w:type="dxa"/>
            <w:vAlign w:val="bottom"/>
            <w:tcBorders>
              <w:right w:val="single" w:sz="8" w:color="auto"/>
            </w:tcBorders>
            <w:shd w:val="clear" w:color="auto" w:fill="D9D9D9"/>
          </w:tcPr>
          <w:p>
            <w:pPr>
              <w:spacing w:after="0"/>
              <w:rPr>
                <w:sz w:val="24"/>
                <w:szCs w:val="24"/>
                <w:color w:val="auto"/>
              </w:rPr>
            </w:pPr>
          </w:p>
        </w:tc>
        <w:tc>
          <w:tcPr>
            <w:tcW w:w="1680" w:type="dxa"/>
            <w:vAlign w:val="bottom"/>
            <w:tcBorders>
              <w:right w:val="single" w:sz="8" w:color="auto"/>
            </w:tcBorders>
            <w:shd w:val="clear" w:color="auto" w:fill="D9D9D9"/>
          </w:tcPr>
          <w:p>
            <w:pPr>
              <w:spacing w:after="0"/>
              <w:rPr>
                <w:sz w:val="24"/>
                <w:szCs w:val="24"/>
                <w:color w:val="auto"/>
              </w:rPr>
            </w:pPr>
          </w:p>
        </w:tc>
        <w:tc>
          <w:tcPr>
            <w:tcW w:w="1560" w:type="dxa"/>
            <w:vAlign w:val="bottom"/>
            <w:tcBorders>
              <w:right w:val="single" w:sz="8" w:color="auto"/>
            </w:tcBorders>
            <w:shd w:val="clear" w:color="auto" w:fill="D9D9D9"/>
          </w:tcPr>
          <w:p>
            <w:pPr>
              <w:spacing w:after="0"/>
              <w:rPr>
                <w:sz w:val="24"/>
                <w:szCs w:val="24"/>
                <w:color w:val="auto"/>
              </w:rPr>
            </w:pPr>
          </w:p>
        </w:tc>
      </w:tr>
      <w:tr>
        <w:trPr>
          <w:trHeight w:val="229"/>
        </w:trPr>
        <w:tc>
          <w:tcPr>
            <w:tcW w:w="1500" w:type="dxa"/>
            <w:vAlign w:val="bottom"/>
            <w:tcBorders>
              <w:left w:val="single" w:sz="8" w:color="auto"/>
              <w:right w:val="single" w:sz="8" w:color="auto"/>
            </w:tcBorders>
            <w:shd w:val="clear" w:color="auto" w:fill="D9D9D9"/>
          </w:tcPr>
          <w:p>
            <w:pPr>
              <w:spacing w:after="0"/>
              <w:rPr>
                <w:sz w:val="19"/>
                <w:szCs w:val="19"/>
                <w:color w:val="auto"/>
              </w:rPr>
            </w:pPr>
          </w:p>
        </w:tc>
        <w:tc>
          <w:tcPr>
            <w:tcW w:w="1580" w:type="dxa"/>
            <w:vAlign w:val="bottom"/>
            <w:tcBorders>
              <w:right w:val="single" w:sz="8" w:color="auto"/>
            </w:tcBorders>
            <w:shd w:val="clear" w:color="auto" w:fill="D9D9D9"/>
          </w:tcPr>
          <w:p>
            <w:pPr>
              <w:spacing w:after="0"/>
              <w:rPr>
                <w:sz w:val="19"/>
                <w:szCs w:val="19"/>
                <w:color w:val="auto"/>
              </w:rPr>
            </w:pPr>
          </w:p>
        </w:tc>
        <w:tc>
          <w:tcPr>
            <w:tcW w:w="154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100" w:type="dxa"/>
            <w:vAlign w:val="bottom"/>
            <w:tcBorders>
              <w:right w:val="single" w:sz="8" w:color="auto"/>
            </w:tcBorders>
            <w:shd w:val="clear" w:color="auto" w:fill="D9D9D9"/>
          </w:tcPr>
          <w:p>
            <w:pPr>
              <w:spacing w:after="0"/>
              <w:rPr>
                <w:sz w:val="19"/>
                <w:szCs w:val="19"/>
                <w:color w:val="auto"/>
              </w:rPr>
            </w:pPr>
          </w:p>
        </w:tc>
        <w:tc>
          <w:tcPr>
            <w:tcW w:w="17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converted, paid or</w:t>
            </w:r>
          </w:p>
        </w:tc>
        <w:tc>
          <w:tcPr>
            <w:tcW w:w="120" w:type="dxa"/>
            <w:vAlign w:val="bottom"/>
            <w:shd w:val="clear" w:color="auto" w:fill="D9D9D9"/>
          </w:tcPr>
          <w:p>
            <w:pPr>
              <w:spacing w:after="0"/>
              <w:rPr>
                <w:sz w:val="19"/>
                <w:szCs w:val="19"/>
                <w:color w:val="auto"/>
              </w:rPr>
            </w:pPr>
          </w:p>
        </w:tc>
        <w:tc>
          <w:tcPr>
            <w:tcW w:w="1440" w:type="dxa"/>
            <w:vAlign w:val="bottom"/>
            <w:tcBorders>
              <w:right w:val="single" w:sz="8" w:color="auto"/>
            </w:tcBorders>
            <w:shd w:val="clear" w:color="auto" w:fill="D9D9D9"/>
          </w:tcPr>
          <w:p>
            <w:pPr>
              <w:jc w:val="center"/>
              <w:ind w:right="41"/>
              <w:spacing w:after="0"/>
              <w:rPr>
                <w:sz w:val="20"/>
                <w:szCs w:val="20"/>
                <w:color w:val="auto"/>
              </w:rPr>
            </w:pPr>
            <w:r>
              <w:rPr>
                <w:rFonts w:ascii="Arial" w:cs="Arial" w:eastAsia="Arial" w:hAnsi="Arial"/>
                <w:sz w:val="20"/>
                <w:szCs w:val="20"/>
                <w:color w:val="auto"/>
                <w:w w:val="88"/>
              </w:rPr>
              <w:t>Interest Rate on</w:t>
            </w:r>
          </w:p>
        </w:tc>
        <w:tc>
          <w:tcPr>
            <w:tcW w:w="16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0"/>
              </w:rPr>
              <w:t>Interest Period for</w:t>
            </w:r>
          </w:p>
        </w:tc>
        <w:tc>
          <w:tcPr>
            <w:tcW w:w="1560" w:type="dxa"/>
            <w:vAlign w:val="bottom"/>
            <w:tcBorders>
              <w:right w:val="single" w:sz="8" w:color="auto"/>
            </w:tcBorders>
            <w:shd w:val="clear" w:color="auto" w:fill="D9D9D9"/>
          </w:tcPr>
          <w:p>
            <w:pPr>
              <w:spacing w:after="0"/>
              <w:rPr>
                <w:sz w:val="19"/>
                <w:szCs w:val="19"/>
                <w:color w:val="auto"/>
              </w:rPr>
            </w:pPr>
          </w:p>
        </w:tc>
      </w:tr>
      <w:tr>
        <w:trPr>
          <w:trHeight w:val="278"/>
        </w:trPr>
        <w:tc>
          <w:tcPr>
            <w:tcW w:w="1500" w:type="dxa"/>
            <w:vAlign w:val="bottom"/>
            <w:tcBorders>
              <w:left w:val="single" w:sz="8" w:color="auto"/>
              <w:bottom w:val="single" w:sz="8" w:color="D9D9D9"/>
              <w:right w:val="single" w:sz="8" w:color="auto"/>
            </w:tcBorders>
            <w:shd w:val="clear" w:color="auto" w:fill="D9D9D9"/>
          </w:tcPr>
          <w:p>
            <w:pPr>
              <w:ind w:left="580"/>
              <w:spacing w:after="0"/>
              <w:rPr>
                <w:sz w:val="20"/>
                <w:szCs w:val="20"/>
                <w:color w:val="auto"/>
              </w:rPr>
            </w:pPr>
            <w:r>
              <w:rPr>
                <w:rFonts w:ascii="Arial" w:cs="Arial" w:eastAsia="Arial" w:hAnsi="Arial"/>
                <w:sz w:val="20"/>
                <w:szCs w:val="20"/>
                <w:color w:val="auto"/>
              </w:rPr>
              <w:t>Date</w:t>
            </w:r>
          </w:p>
        </w:tc>
        <w:tc>
          <w:tcPr>
            <w:tcW w:w="1580" w:type="dxa"/>
            <w:vAlign w:val="bottom"/>
            <w:tcBorders>
              <w:bottom w:val="single" w:sz="8" w:color="D9D9D9"/>
              <w:right w:val="single" w:sz="8" w:color="auto"/>
            </w:tcBorders>
            <w:shd w:val="clear" w:color="auto" w:fill="D9D9D9"/>
          </w:tcPr>
          <w:p>
            <w:pPr>
              <w:ind w:left="240"/>
              <w:spacing w:after="0"/>
              <w:rPr>
                <w:sz w:val="20"/>
                <w:szCs w:val="20"/>
                <w:color w:val="auto"/>
              </w:rPr>
            </w:pPr>
            <w:r>
              <w:rPr>
                <w:rFonts w:ascii="Arial" w:cs="Arial" w:eastAsia="Arial" w:hAnsi="Arial"/>
                <w:sz w:val="20"/>
                <w:szCs w:val="20"/>
                <w:color w:val="auto"/>
              </w:rPr>
              <w:t>Type of Loan</w:t>
            </w:r>
          </w:p>
        </w:tc>
        <w:tc>
          <w:tcPr>
            <w:tcW w:w="154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20"/>
                <w:szCs w:val="20"/>
                <w:color w:val="auto"/>
                <w:w w:val="94"/>
              </w:rPr>
              <w:t>Amount of Loan</w:t>
            </w:r>
          </w:p>
        </w:tc>
        <w:tc>
          <w:tcPr>
            <w:tcW w:w="40" w:type="dxa"/>
            <w:vAlign w:val="bottom"/>
            <w:tcBorders>
              <w:bottom w:val="single" w:sz="8" w:color="D9D9D9"/>
            </w:tcBorders>
            <w:shd w:val="clear" w:color="auto" w:fill="D9D9D9"/>
          </w:tcPr>
          <w:p>
            <w:pPr>
              <w:spacing w:after="0"/>
              <w:rPr>
                <w:sz w:val="23"/>
                <w:szCs w:val="23"/>
                <w:color w:val="auto"/>
              </w:rPr>
            </w:pPr>
          </w:p>
        </w:tc>
        <w:tc>
          <w:tcPr>
            <w:tcW w:w="100" w:type="dxa"/>
            <w:vAlign w:val="bottom"/>
            <w:tcBorders>
              <w:bottom w:val="single" w:sz="8" w:color="D9D9D9"/>
              <w:right w:val="single" w:sz="8" w:color="auto"/>
            </w:tcBorders>
            <w:shd w:val="clear" w:color="auto" w:fill="D9D9D9"/>
          </w:tcPr>
          <w:p>
            <w:pPr>
              <w:spacing w:after="0"/>
              <w:rPr>
                <w:sz w:val="23"/>
                <w:szCs w:val="23"/>
                <w:color w:val="auto"/>
              </w:rPr>
            </w:pPr>
          </w:p>
        </w:tc>
        <w:tc>
          <w:tcPr>
            <w:tcW w:w="17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prepaid</w:t>
            </w:r>
          </w:p>
        </w:tc>
        <w:tc>
          <w:tcPr>
            <w:tcW w:w="1560" w:type="dxa"/>
            <w:vAlign w:val="bottom"/>
            <w:tcBorders>
              <w:bottom w:val="single" w:sz="8" w:color="D9D9D9"/>
              <w:right w:val="single" w:sz="8" w:color="auto"/>
            </w:tcBorders>
            <w:gridSpan w:val="2"/>
            <w:shd w:val="clear" w:color="auto" w:fill="D9D9D9"/>
          </w:tcPr>
          <w:p>
            <w:pPr>
              <w:jc w:val="center"/>
              <w:spacing w:after="0"/>
              <w:rPr>
                <w:sz w:val="20"/>
                <w:szCs w:val="20"/>
                <w:color w:val="auto"/>
              </w:rPr>
            </w:pPr>
            <w:r>
              <w:rPr>
                <w:rFonts w:ascii="Arial" w:cs="Arial" w:eastAsia="Arial" w:hAnsi="Arial"/>
                <w:sz w:val="20"/>
                <w:szCs w:val="20"/>
                <w:color w:val="auto"/>
                <w:w w:val="91"/>
              </w:rPr>
              <w:t>Eurodollar Loans</w:t>
            </w:r>
          </w:p>
        </w:tc>
        <w:tc>
          <w:tcPr>
            <w:tcW w:w="16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1"/>
              </w:rPr>
              <w:t>Eurodollar Loans</w:t>
            </w:r>
          </w:p>
        </w:tc>
        <w:tc>
          <w:tcPr>
            <w:tcW w:w="1560" w:type="dxa"/>
            <w:vAlign w:val="bottom"/>
            <w:tcBorders>
              <w:bottom w:val="single" w:sz="8" w:color="D9D9D9"/>
              <w:right w:val="single" w:sz="8" w:color="auto"/>
            </w:tcBorders>
            <w:shd w:val="clear" w:color="auto" w:fill="D9D9D9"/>
          </w:tcPr>
          <w:p>
            <w:pPr>
              <w:ind w:left="400"/>
              <w:spacing w:after="0"/>
              <w:rPr>
                <w:sz w:val="20"/>
                <w:szCs w:val="20"/>
                <w:color w:val="auto"/>
              </w:rPr>
            </w:pPr>
            <w:r>
              <w:rPr>
                <w:rFonts w:ascii="Arial" w:cs="Arial" w:eastAsia="Arial" w:hAnsi="Arial"/>
                <w:sz w:val="20"/>
                <w:szCs w:val="20"/>
                <w:color w:val="auto"/>
              </w:rPr>
              <w:t>Made By</w:t>
            </w:r>
          </w:p>
        </w:tc>
      </w:tr>
      <w:tr>
        <w:trPr>
          <w:trHeight w:val="763"/>
        </w:trPr>
        <w:tc>
          <w:tcPr>
            <w:tcW w:w="15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58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right w:val="single" w:sz="8" w:color="auto"/>
            </w:tcBorders>
          </w:tcPr>
          <w:p>
            <w:pPr>
              <w:spacing w:after="0"/>
              <w:rPr>
                <w:sz w:val="24"/>
                <w:szCs w:val="24"/>
                <w:color w:val="auto"/>
              </w:rPr>
            </w:pPr>
          </w:p>
        </w:tc>
        <w:tc>
          <w:tcPr>
            <w:tcW w:w="170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right w:val="single" w:sz="8" w:color="auto"/>
            </w:tcBorders>
          </w:tcPr>
          <w:p>
            <w:pPr>
              <w:spacing w:after="0"/>
              <w:rPr>
                <w:sz w:val="24"/>
                <w:szCs w:val="24"/>
                <w:color w:val="auto"/>
              </w:rPr>
            </w:pPr>
          </w:p>
        </w:tc>
        <w:tc>
          <w:tcPr>
            <w:tcW w:w="1680" w:type="dxa"/>
            <w:vAlign w:val="bottom"/>
            <w:tcBorders>
              <w:top w:val="single" w:sz="8" w:color="auto"/>
              <w:bottom w:val="single" w:sz="8" w:color="auto"/>
              <w:right w:val="single" w:sz="8" w:color="auto"/>
            </w:tcBorders>
          </w:tcPr>
          <w:p>
            <w:pPr>
              <w:spacing w:after="0"/>
              <w:rPr>
                <w:sz w:val="24"/>
                <w:szCs w:val="24"/>
                <w:color w:val="auto"/>
              </w:rPr>
            </w:pPr>
          </w:p>
        </w:tc>
        <w:tc>
          <w:tcPr>
            <w:tcW w:w="1560" w:type="dxa"/>
            <w:vAlign w:val="bottom"/>
            <w:tcBorders>
              <w:top w:val="single" w:sz="8" w:color="auto"/>
              <w:bottom w:val="single" w:sz="8" w:color="auto"/>
              <w:right w:val="single" w:sz="8" w:color="auto"/>
            </w:tcBorders>
          </w:tcPr>
          <w:p>
            <w:pPr>
              <w:spacing w:after="0"/>
              <w:rPr>
                <w:sz w:val="24"/>
                <w:szCs w:val="24"/>
                <w:color w:val="auto"/>
              </w:rPr>
            </w:pPr>
          </w:p>
        </w:tc>
      </w:tr>
      <w:tr>
        <w:trPr>
          <w:trHeight w:val="763"/>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763"/>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763"/>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763"/>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763"/>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763"/>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763"/>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763"/>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763"/>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763"/>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763"/>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763"/>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60"/>
          </w:cols>
          <w:pgMar w:left="320" w:top="115" w:right="319" w:bottom="1440" w:gutter="0" w:footer="0" w:header="0"/>
        </w:sectPr>
      </w:pPr>
    </w:p>
    <w:p>
      <w:pPr>
        <w:spacing w:after="0" w:line="38"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color w:val="auto"/>
        </w:rPr>
        <w:t>736714620 11074672</w:t>
      </w:r>
      <w:r>
        <w:rPr>
          <w:sz w:val="20"/>
          <w:szCs w:val="20"/>
          <w:color w:val="auto"/>
        </w:rPr>
        <w:tab/>
      </w:r>
      <w:r>
        <w:rPr>
          <w:rFonts w:ascii="Arial" w:cs="Arial" w:eastAsia="Arial" w:hAnsi="Arial"/>
          <w:sz w:val="13"/>
          <w:szCs w:val="13"/>
          <w:color w:val="auto"/>
        </w:rPr>
        <w:t>ALLETE Term Loan Agreement</w:t>
      </w:r>
    </w:p>
    <w:p>
      <w:pPr>
        <w:sectPr>
          <w:pgSz w:w="11900" w:h="16838" w:orient="portrait"/>
          <w:cols w:equalWidth="0" w:num="1">
            <w:col w:w="11260"/>
          </w:cols>
          <w:pgMar w:left="320" w:top="115" w:right="319" w:bottom="144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237490</wp:posOffset>
            </wp:positionV>
            <wp:extent cx="7157720" cy="6969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696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color w:val="auto"/>
        </w:rPr>
        <w:t>736714620 11074672</w:t>
      </w:r>
      <w:r>
        <w:rPr>
          <w:sz w:val="20"/>
          <w:szCs w:val="20"/>
          <w:color w:val="auto"/>
        </w:rPr>
        <w:tab/>
      </w:r>
      <w:r>
        <w:rPr>
          <w:rFonts w:ascii="Arial" w:cs="Arial" w:eastAsia="Arial" w:hAnsi="Arial"/>
          <w:sz w:val="13"/>
          <w:szCs w:val="13"/>
          <w:color w:val="auto"/>
        </w:rPr>
        <w:t>ALLETE Term Loan Agreement</w:t>
      </w:r>
    </w:p>
    <w:p>
      <w:pPr>
        <w:sectPr>
          <w:pgSz w:w="11900" w:h="16838" w:orient="portrait"/>
          <w:cols w:equalWidth="0" w:num="1">
            <w:col w:w="11240"/>
          </w:cols>
          <w:pgMar w:left="320" w:top="115"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color w:val="auto"/>
        </w:rPr>
        <w:t>Exhibit 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COMPLIANCE CERTIFICATE</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______________, do hereby certify that I am the ______________ of ALLETE, Inc. (the “</w:t>
      </w:r>
      <w:r>
        <w:rPr>
          <w:rFonts w:ascii="Arial" w:cs="Arial" w:eastAsia="Arial" w:hAnsi="Arial"/>
          <w:sz w:val="18"/>
          <w:szCs w:val="18"/>
          <w:u w:val="single" w:color="auto"/>
          <w:color w:val="auto"/>
        </w:rPr>
        <w:t>Borrower</w:t>
      </w:r>
      <w:r>
        <w:rPr>
          <w:rFonts w:ascii="Arial" w:cs="Arial" w:eastAsia="Arial" w:hAnsi="Arial"/>
          <w:sz w:val="18"/>
          <w:szCs w:val="18"/>
          <w:color w:val="auto"/>
        </w:rPr>
        <w:t>”), and that, as such, I</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am duly authorized to execute and deliver this Compliance Certificate on the Borrower’s behalf pursuant to Section 6.1(c) of the Term Loan Agreement dated as of April 8, 2020 among the Borrower, the Lenders party thereto and U.S. Bank National Association, as Administrative Agent (as amended, supplemented or otherwise modified from time to time, the “</w:t>
      </w:r>
      <w:r>
        <w:rPr>
          <w:rFonts w:ascii="Arial" w:cs="Arial" w:eastAsia="Arial" w:hAnsi="Arial"/>
          <w:sz w:val="19"/>
          <w:szCs w:val="19"/>
          <w:u w:val="single" w:color="auto"/>
          <w:color w:val="auto"/>
        </w:rPr>
        <w:t>Loan Agreement</w:t>
      </w:r>
      <w:r>
        <w:rPr>
          <w:rFonts w:ascii="Arial" w:cs="Arial" w:eastAsia="Arial" w:hAnsi="Arial"/>
          <w:sz w:val="19"/>
          <w:szCs w:val="19"/>
          <w:color w:val="auto"/>
        </w:rPr>
        <w:t>”). Capitalized terms used herein which are not defined herein shall have the meanings assigned to such terms in the Loan Agreement.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 hereby certify that:</w:t>
      </w:r>
    </w:p>
    <w:p>
      <w:pPr>
        <w:spacing w:after="0" w:line="216" w:lineRule="exact"/>
        <w:rPr>
          <w:sz w:val="20"/>
          <w:szCs w:val="20"/>
          <w:color w:val="auto"/>
        </w:rPr>
      </w:pPr>
    </w:p>
    <w:p>
      <w:pPr>
        <w:jc w:val="both"/>
        <w:ind w:firstLine="1304"/>
        <w:spacing w:after="0" w:line="272" w:lineRule="auto"/>
        <w:tabs>
          <w:tab w:leader="none" w:pos="163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To the best of my knowledge, all financial statements delivered herewith have been prepared in accordance with GAAP. There have been no changes in GAAP pertinent to the Borrower or in the application thereof to Borrower and that affects the computation of any financial covenant set forth in Section 7.5 of the Loan Agreement, since the date of the audited financial statements referred to in Section 4.4(a) of the Loan Agreement, [, except as follows: </w:t>
      </w:r>
      <w:r>
        <w:rPr>
          <w:rFonts w:ascii="Arial" w:cs="Arial" w:eastAsia="Arial" w:hAnsi="Arial"/>
          <w:sz w:val="14"/>
          <w:szCs w:val="14"/>
          <w:b w:val="1"/>
          <w:bCs w:val="1"/>
          <w:i w:val="1"/>
          <w:iCs w:val="1"/>
          <w:color w:val="auto"/>
        </w:rPr>
        <w:t>Specify each such change and the effect thereof on the financial statements accompanying this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Certificate as set forth in Section 1.4 of the Loan Agreement.</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8" w:lineRule="auto"/>
        <w:tabs>
          <w:tab w:leader="none" w:pos="165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There existed no Default on the last day of the fiscal quarter ended _________, 20__, and there exists no Default as of the date hereof [, except as follows </w:t>
      </w:r>
      <w:r>
        <w:rPr>
          <w:rFonts w:ascii="Arial" w:cs="Arial" w:eastAsia="Arial" w:hAnsi="Arial"/>
          <w:sz w:val="14"/>
          <w:szCs w:val="14"/>
          <w:b w:val="1"/>
          <w:bCs w:val="1"/>
          <w:i w:val="1"/>
          <w:iCs w:val="1"/>
          <w:color w:val="auto"/>
        </w:rPr>
        <w:t>Specify all such violations, conditions and events, the nature and status thereof and any action taken or proposed to be taken</w:t>
      </w:r>
    </w:p>
    <w:p>
      <w:pPr>
        <w:spacing w:after="0"/>
        <w:rPr>
          <w:sz w:val="20"/>
          <w:szCs w:val="20"/>
          <w:color w:val="auto"/>
        </w:rPr>
      </w:pPr>
      <w:r>
        <w:rPr>
          <w:rFonts w:ascii="Arial" w:cs="Arial" w:eastAsia="Arial" w:hAnsi="Arial"/>
          <w:sz w:val="16"/>
          <w:szCs w:val="16"/>
          <w:b w:val="1"/>
          <w:bCs w:val="1"/>
          <w:i w:val="1"/>
          <w:iCs w:val="1"/>
          <w:color w:val="auto"/>
        </w:rPr>
        <w:t>with respect thereto.</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60" w:lineRule="auto"/>
        <w:tabs>
          <w:tab w:leader="none" w:pos="1665"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Attached are true and correct calculations demonstrating compliance with Section 7.5 of the Loan Agreement as of the fiscal quarter ended _________, 20__.</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I have executed this Compliance Certificate on this ___ day of ________________, 20__.</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7.5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340" w:right="80"/>
        <w:spacing w:after="0" w:line="256" w:lineRule="auto"/>
        <w:rPr>
          <w:sz w:val="20"/>
          <w:szCs w:val="20"/>
          <w:color w:val="auto"/>
        </w:rPr>
      </w:pPr>
      <w:r>
        <w:rPr>
          <w:rFonts w:ascii="Arial" w:cs="Arial" w:eastAsia="Arial" w:hAnsi="Arial"/>
          <w:sz w:val="20"/>
          <w:szCs w:val="20"/>
          <w:b w:val="1"/>
          <w:bCs w:val="1"/>
          <w:u w:val="single" w:color="auto"/>
          <w:color w:val="auto"/>
        </w:rPr>
        <w:t>Ratio of Total Indebtedness to Total Capitalization</w:t>
      </w:r>
      <w:r>
        <w:rPr>
          <w:rFonts w:ascii="Arial" w:cs="Arial" w:eastAsia="Arial" w:hAnsi="Arial"/>
          <w:sz w:val="20"/>
          <w:szCs w:val="20"/>
          <w:b w:val="1"/>
          <w:bCs w:val="1"/>
          <w:color w:val="auto"/>
        </w:rPr>
        <w:t xml:space="preserve"> </w:t>
      </w:r>
      <w:r>
        <w:rPr>
          <w:rFonts w:ascii="Arial" w:cs="Arial" w:eastAsia="Arial" w:hAnsi="Arial"/>
          <w:sz w:val="16"/>
          <w:szCs w:val="16"/>
          <w:b w:val="1"/>
          <w:bCs w:val="1"/>
          <w:i w:val="1"/>
          <w:iCs w:val="1"/>
          <w:color w:val="auto"/>
        </w:rPr>
        <w:t>Each of the computations is based on the Borrower and its Subsidiaries determined on a consolidated</w:t>
      </w:r>
      <w:r>
        <w:rPr>
          <w:rFonts w:ascii="Arial" w:cs="Arial" w:eastAsia="Arial" w:hAnsi="Arial"/>
          <w:sz w:val="20"/>
          <w:szCs w:val="20"/>
          <w:b w:val="1"/>
          <w:bCs w:val="1"/>
          <w:color w:val="auto"/>
        </w:rPr>
        <w:t xml:space="preserve"> </w:t>
      </w:r>
      <w:r>
        <w:rPr>
          <w:rFonts w:ascii="Arial" w:cs="Arial" w:eastAsia="Arial" w:hAnsi="Arial"/>
          <w:sz w:val="16"/>
          <w:szCs w:val="16"/>
          <w:b w:val="1"/>
          <w:bCs w:val="1"/>
          <w:i w:val="1"/>
          <w:iCs w:val="1"/>
          <w:color w:val="auto"/>
        </w:rPr>
        <w:t>basis in accordance with GAAP.</w:t>
      </w:r>
    </w:p>
    <w:p>
      <w:pPr>
        <w:spacing w:after="0" w:line="200" w:lineRule="exact"/>
        <w:rPr>
          <w:sz w:val="20"/>
          <w:szCs w:val="20"/>
          <w:color w:val="auto"/>
        </w:rPr>
      </w:pPr>
    </w:p>
    <w:p>
      <w:pPr>
        <w:spacing w:after="0" w:line="258"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color w:val="auto"/>
        </w:rPr>
        <w:t>736714620 11074672</w:t>
      </w:r>
      <w:r>
        <w:rPr>
          <w:sz w:val="20"/>
          <w:szCs w:val="20"/>
          <w:color w:val="auto"/>
        </w:rPr>
        <w:tab/>
      </w:r>
      <w:r>
        <w:rPr>
          <w:rFonts w:ascii="Arial" w:cs="Arial" w:eastAsia="Arial" w:hAnsi="Arial"/>
          <w:sz w:val="13"/>
          <w:szCs w:val="13"/>
          <w:color w:val="auto"/>
        </w:rPr>
        <w:t>ALLETE Term Loan Agreement</w:t>
      </w:r>
    </w:p>
    <w:p>
      <w:pPr>
        <w:sectPr>
          <w:pgSz w:w="11900" w:h="16838" w:orient="portrait"/>
          <w:cols w:equalWidth="0" w:num="1">
            <w:col w:w="11240"/>
          </w:cols>
          <w:pgMar w:left="320" w:top="115"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4</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60" w:type="dxa"/>
            <w:vAlign w:val="bottom"/>
            <w:tcBorders>
              <w:right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5300" w:type="dxa"/>
            <w:vAlign w:val="bottom"/>
            <w:tcBorders>
              <w:top w:val="single" w:sz="8" w:color="auto"/>
              <w:bottom w:val="single" w:sz="8" w:color="auto"/>
            </w:tcBorders>
          </w:tcPr>
          <w:p>
            <w:pPr>
              <w:spacing w:after="0"/>
              <w:rPr>
                <w:sz w:val="3"/>
                <w:szCs w:val="3"/>
                <w:color w:val="auto"/>
              </w:rPr>
            </w:pPr>
          </w:p>
        </w:tc>
        <w:tc>
          <w:tcPr>
            <w:tcW w:w="3820" w:type="dxa"/>
            <w:vAlign w:val="bottom"/>
            <w:tcBorders>
              <w:top w:val="single" w:sz="8" w:color="auto"/>
              <w:bottom w:val="single" w:sz="8" w:color="auto"/>
              <w:right w:val="single" w:sz="8" w:color="auto"/>
            </w:tcBorders>
          </w:tcPr>
          <w:p>
            <w:pPr>
              <w:spacing w:after="0"/>
              <w:rPr>
                <w:sz w:val="3"/>
                <w:szCs w:val="3"/>
                <w:color w:val="auto"/>
              </w:rPr>
            </w:pPr>
          </w:p>
        </w:tc>
        <w:tc>
          <w:tcPr>
            <w:tcW w:w="400" w:type="dxa"/>
            <w:vAlign w:val="bottom"/>
          </w:tcPr>
          <w:p>
            <w:pPr>
              <w:spacing w:after="0"/>
              <w:rPr>
                <w:sz w:val="3"/>
                <w:szCs w:val="3"/>
                <w:color w:val="auto"/>
              </w:rPr>
            </w:pPr>
          </w:p>
        </w:tc>
      </w:tr>
      <w:tr>
        <w:trPr>
          <w:trHeight w:val="241"/>
        </w:trPr>
        <w:tc>
          <w:tcPr>
            <w:tcW w:w="4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Item 1.</w:t>
            </w: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Sum of all Indebtedness</w:t>
            </w:r>
          </w:p>
        </w:tc>
        <w:tc>
          <w:tcPr>
            <w:tcW w:w="3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0"/>
                <w:szCs w:val="20"/>
                <w:color w:val="auto"/>
              </w:rPr>
            </w:pPr>
          </w:p>
        </w:tc>
      </w:tr>
      <w:tr>
        <w:trPr>
          <w:trHeight w:val="23"/>
        </w:trPr>
        <w:tc>
          <w:tcPr>
            <w:tcW w:w="46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0"/>
        </w:trPr>
        <w:tc>
          <w:tcPr>
            <w:tcW w:w="4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5300" w:type="dxa"/>
            <w:vAlign w:val="bottom"/>
            <w:tcBorders>
              <w:right w:val="single" w:sz="8" w:color="auto"/>
            </w:tcBorders>
          </w:tcPr>
          <w:p>
            <w:pPr>
              <w:ind w:left="20"/>
              <w:spacing w:after="0" w:line="220" w:lineRule="exact"/>
              <w:rPr>
                <w:sz w:val="20"/>
                <w:szCs w:val="20"/>
                <w:color w:val="auto"/>
              </w:rPr>
            </w:pPr>
            <w:r>
              <w:rPr>
                <w:rFonts w:ascii="Arial" w:cs="Arial" w:eastAsia="Arial" w:hAnsi="Arial"/>
                <w:sz w:val="20"/>
                <w:szCs w:val="20"/>
                <w:color w:val="auto"/>
                <w:w w:val="92"/>
              </w:rPr>
              <w:t>Unamortized premium and discount (as such term is used in the</w:t>
            </w:r>
          </w:p>
        </w:tc>
        <w:tc>
          <w:tcPr>
            <w:tcW w:w="38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250"/>
        </w:trPr>
        <w:tc>
          <w:tcPr>
            <w:tcW w:w="4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Item 2.</w:t>
            </w: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Borrower Financial Statements)</w:t>
            </w:r>
          </w:p>
        </w:tc>
        <w:tc>
          <w:tcPr>
            <w:tcW w:w="3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1"/>
                <w:szCs w:val="21"/>
                <w:color w:val="auto"/>
              </w:rPr>
            </w:pPr>
          </w:p>
        </w:tc>
      </w:tr>
      <w:tr>
        <w:trPr>
          <w:trHeight w:val="23"/>
        </w:trPr>
        <w:tc>
          <w:tcPr>
            <w:tcW w:w="46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54"/>
        </w:trPr>
        <w:tc>
          <w:tcPr>
            <w:tcW w:w="4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Item 3.</w:t>
            </w: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Total Indebtedness (Item 1 minus Item 2)</w:t>
            </w:r>
          </w:p>
        </w:tc>
        <w:tc>
          <w:tcPr>
            <w:tcW w:w="3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r>
      <w:tr>
        <w:trPr>
          <w:trHeight w:val="23"/>
        </w:trPr>
        <w:tc>
          <w:tcPr>
            <w:tcW w:w="46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54"/>
        </w:trPr>
        <w:tc>
          <w:tcPr>
            <w:tcW w:w="4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Item 4.</w:t>
            </w: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Preferred Equity Interests</w:t>
            </w:r>
          </w:p>
        </w:tc>
        <w:tc>
          <w:tcPr>
            <w:tcW w:w="3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r>
      <w:tr>
        <w:trPr>
          <w:trHeight w:val="23"/>
        </w:trPr>
        <w:tc>
          <w:tcPr>
            <w:tcW w:w="46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33"/>
        </w:trPr>
        <w:tc>
          <w:tcPr>
            <w:tcW w:w="4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Common Equity Interests and any premium on Equity Interests</w:t>
            </w:r>
          </w:p>
        </w:tc>
        <w:tc>
          <w:tcPr>
            <w:tcW w:w="38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30"/>
        </w:trPr>
        <w:tc>
          <w:tcPr>
            <w:tcW w:w="4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thereon (as such term is used in the Borrower Financial</w:t>
            </w:r>
          </w:p>
        </w:tc>
        <w:tc>
          <w:tcPr>
            <w:tcW w:w="38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4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Statements) excluding accumulated other comprehensive income</w:t>
            </w:r>
          </w:p>
        </w:tc>
        <w:tc>
          <w:tcPr>
            <w:tcW w:w="38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250"/>
        </w:trPr>
        <w:tc>
          <w:tcPr>
            <w:tcW w:w="4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Item 5.</w:t>
            </w: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or loss</w:t>
            </w:r>
          </w:p>
        </w:tc>
        <w:tc>
          <w:tcPr>
            <w:tcW w:w="3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1"/>
                <w:szCs w:val="21"/>
                <w:color w:val="auto"/>
              </w:rPr>
            </w:pPr>
          </w:p>
        </w:tc>
      </w:tr>
      <w:tr>
        <w:trPr>
          <w:trHeight w:val="23"/>
        </w:trPr>
        <w:tc>
          <w:tcPr>
            <w:tcW w:w="46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54"/>
        </w:trPr>
        <w:tc>
          <w:tcPr>
            <w:tcW w:w="4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Item 6.</w:t>
            </w: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Retained earnings</w:t>
            </w:r>
          </w:p>
        </w:tc>
        <w:tc>
          <w:tcPr>
            <w:tcW w:w="3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r>
      <w:tr>
        <w:trPr>
          <w:trHeight w:val="23"/>
        </w:trPr>
        <w:tc>
          <w:tcPr>
            <w:tcW w:w="46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54"/>
        </w:trPr>
        <w:tc>
          <w:tcPr>
            <w:tcW w:w="4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Item 7.</w:t>
            </w: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Sum of Items 3, 4, 5 and 6</w:t>
            </w:r>
          </w:p>
        </w:tc>
        <w:tc>
          <w:tcPr>
            <w:tcW w:w="3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r>
      <w:tr>
        <w:trPr>
          <w:trHeight w:val="23"/>
        </w:trPr>
        <w:tc>
          <w:tcPr>
            <w:tcW w:w="46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33"/>
        </w:trPr>
        <w:tc>
          <w:tcPr>
            <w:tcW w:w="4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Stock of the Borrower acquired by the Borrower and stock of a</w:t>
            </w:r>
          </w:p>
        </w:tc>
        <w:tc>
          <w:tcPr>
            <w:tcW w:w="38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50"/>
        </w:trPr>
        <w:tc>
          <w:tcPr>
            <w:tcW w:w="4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Item 8.</w:t>
            </w: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Subsidiary acquired by such Subsidiary</w:t>
            </w:r>
          </w:p>
        </w:tc>
        <w:tc>
          <w:tcPr>
            <w:tcW w:w="3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1"/>
                <w:szCs w:val="21"/>
                <w:color w:val="auto"/>
              </w:rPr>
            </w:pPr>
          </w:p>
        </w:tc>
      </w:tr>
      <w:tr>
        <w:trPr>
          <w:trHeight w:val="23"/>
        </w:trPr>
        <w:tc>
          <w:tcPr>
            <w:tcW w:w="46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54"/>
        </w:trPr>
        <w:tc>
          <w:tcPr>
            <w:tcW w:w="4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Item 9.</w:t>
            </w: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Total Capitalization (Item 7 minus Item 8)</w:t>
            </w:r>
          </w:p>
        </w:tc>
        <w:tc>
          <w:tcPr>
            <w:tcW w:w="3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r>
      <w:tr>
        <w:trPr>
          <w:trHeight w:val="23"/>
        </w:trPr>
        <w:tc>
          <w:tcPr>
            <w:tcW w:w="46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33"/>
        </w:trPr>
        <w:tc>
          <w:tcPr>
            <w:tcW w:w="4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Ratio of Total Indebtedness to Total Capitalization (Item 3</w:t>
            </w:r>
          </w:p>
        </w:tc>
        <w:tc>
          <w:tcPr>
            <w:tcW w:w="38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50"/>
        </w:trPr>
        <w:tc>
          <w:tcPr>
            <w:tcW w:w="4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Item 10.</w:t>
            </w: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divided by Item 9)</w:t>
            </w:r>
          </w:p>
        </w:tc>
        <w:tc>
          <w:tcPr>
            <w:tcW w:w="3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_.__: 1.00</w:t>
            </w:r>
          </w:p>
        </w:tc>
        <w:tc>
          <w:tcPr>
            <w:tcW w:w="400" w:type="dxa"/>
            <w:vAlign w:val="bottom"/>
          </w:tcPr>
          <w:p>
            <w:pPr>
              <w:spacing w:after="0"/>
              <w:rPr>
                <w:sz w:val="21"/>
                <w:szCs w:val="21"/>
                <w:color w:val="auto"/>
              </w:rPr>
            </w:pPr>
          </w:p>
        </w:tc>
      </w:tr>
      <w:tr>
        <w:trPr>
          <w:trHeight w:val="23"/>
        </w:trPr>
        <w:tc>
          <w:tcPr>
            <w:tcW w:w="46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54"/>
        </w:trPr>
        <w:tc>
          <w:tcPr>
            <w:tcW w:w="4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Maximum permitted ratio</w:t>
            </w:r>
          </w:p>
        </w:tc>
        <w:tc>
          <w:tcPr>
            <w:tcW w:w="3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0.65:1.00</w:t>
            </w:r>
          </w:p>
        </w:tc>
        <w:tc>
          <w:tcPr>
            <w:tcW w:w="400" w:type="dxa"/>
            <w:vAlign w:val="bottom"/>
          </w:tcPr>
          <w:p>
            <w:pPr>
              <w:spacing w:after="0"/>
              <w:rPr>
                <w:sz w:val="22"/>
                <w:szCs w:val="22"/>
                <w:color w:val="auto"/>
              </w:rPr>
            </w:pPr>
          </w:p>
        </w:tc>
      </w:tr>
      <w:tr>
        <w:trPr>
          <w:trHeight w:val="23"/>
        </w:trPr>
        <w:tc>
          <w:tcPr>
            <w:tcW w:w="460" w:type="dxa"/>
            <w:vAlign w:val="bottom"/>
            <w:tcBorders>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389"/>
        </w:trPr>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220" w:type="dxa"/>
            <w:vAlign w:val="bottom"/>
            <w:gridSpan w:val="2"/>
          </w:tcPr>
          <w:p>
            <w:pPr>
              <w:ind w:left="3080"/>
              <w:spacing w:after="0"/>
              <w:rPr>
                <w:sz w:val="20"/>
                <w:szCs w:val="20"/>
                <w:color w:val="auto"/>
              </w:rPr>
            </w:pPr>
            <w:r>
              <w:rPr>
                <w:rFonts w:ascii="Arial" w:cs="Arial" w:eastAsia="Arial" w:hAnsi="Arial"/>
                <w:sz w:val="20"/>
                <w:szCs w:val="20"/>
                <w:color w:val="auto"/>
                <w:w w:val="96"/>
              </w:rPr>
              <w:t>EXHIBIT D-1</w:t>
            </w:r>
          </w:p>
        </w:tc>
      </w:tr>
      <w:tr>
        <w:trPr>
          <w:trHeight w:val="416"/>
        </w:trPr>
        <w:tc>
          <w:tcPr>
            <w:tcW w:w="1720" w:type="dxa"/>
            <w:vAlign w:val="bottom"/>
            <w:gridSpan w:val="2"/>
          </w:tcPr>
          <w:p>
            <w:pPr>
              <w:jc w:val="right"/>
              <w:ind w:right="361"/>
              <w:spacing w:after="0"/>
              <w:rPr>
                <w:sz w:val="20"/>
                <w:szCs w:val="20"/>
                <w:color w:val="auto"/>
              </w:rPr>
            </w:pPr>
            <w:r>
              <w:rPr>
                <w:rFonts w:ascii="Arial" w:cs="Arial" w:eastAsia="Arial" w:hAnsi="Arial"/>
                <w:sz w:val="14"/>
                <w:szCs w:val="14"/>
                <w:color w:val="auto"/>
                <w:w w:val="90"/>
              </w:rPr>
              <w:t>736714620 11074672</w:t>
            </w:r>
          </w:p>
        </w:tc>
        <w:tc>
          <w:tcPr>
            <w:tcW w:w="5300" w:type="dxa"/>
            <w:vAlign w:val="bottom"/>
          </w:tcPr>
          <w:p>
            <w:pPr>
              <w:ind w:left="1020"/>
              <w:spacing w:after="0"/>
              <w:rPr>
                <w:sz w:val="20"/>
                <w:szCs w:val="20"/>
                <w:color w:val="auto"/>
              </w:rPr>
            </w:pPr>
            <w:r>
              <w:rPr>
                <w:rFonts w:ascii="Arial" w:cs="Arial" w:eastAsia="Arial" w:hAnsi="Arial"/>
                <w:sz w:val="14"/>
                <w:szCs w:val="14"/>
                <w:color w:val="auto"/>
              </w:rPr>
              <w:t>ALLETE Term Loan Agreement</w:t>
            </w:r>
          </w:p>
        </w:tc>
        <w:tc>
          <w:tcPr>
            <w:tcW w:w="382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40"/>
          </w:cols>
          <w:pgMar w:left="320" w:top="115"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b w:val="1"/>
          <w:bCs w:val="1"/>
          <w:color w:val="auto"/>
        </w:rPr>
        <w:t>Exhibit 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E-1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Reference is hereby made to the Term Loan Agreement dated as of April 8, 2020 (as amended, supplemented or otherwise modified from time to time, the “</w:t>
      </w:r>
      <w:r>
        <w:rPr>
          <w:rFonts w:ascii="Arial" w:cs="Arial" w:eastAsia="Arial" w:hAnsi="Arial"/>
          <w:sz w:val="20"/>
          <w:szCs w:val="20"/>
          <w:b w:val="1"/>
          <w:bCs w:val="1"/>
          <w:i w:val="1"/>
          <w:iCs w:val="1"/>
          <w:color w:val="auto"/>
        </w:rPr>
        <w:t>Loan Agreement</w:t>
      </w:r>
      <w:r>
        <w:rPr>
          <w:rFonts w:ascii="Arial" w:cs="Arial" w:eastAsia="Arial" w:hAnsi="Arial"/>
          <w:sz w:val="20"/>
          <w:szCs w:val="20"/>
          <w:color w:val="auto"/>
        </w:rPr>
        <w:t>”), among ALLETE, Inc., each lender from time to time party thereto and U.S. Bank National Association, as administrative agent.</w:t>
      </w:r>
    </w:p>
    <w:p>
      <w:pPr>
        <w:spacing w:after="0" w:line="7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Pursuant to the provisions of Section 3.7 of the Loan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or IRS Form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[NAME OF LENDER]</w:t>
      </w:r>
    </w:p>
    <w:p>
      <w:pPr>
        <w:spacing w:after="0" w:line="54" w:lineRule="exact"/>
        <w:rPr>
          <w:sz w:val="20"/>
          <w:szCs w:val="20"/>
          <w:color w:val="auto"/>
        </w:rPr>
      </w:pPr>
    </w:p>
    <w:p>
      <w:pPr>
        <w:ind w:left="2520"/>
        <w:spacing w:after="0"/>
        <w:rPr>
          <w:sz w:val="20"/>
          <w:szCs w:val="20"/>
          <w:color w:val="auto"/>
        </w:rPr>
      </w:pPr>
      <w:r>
        <w:rPr>
          <w:rFonts w:ascii="Arial" w:cs="Arial" w:eastAsia="Arial" w:hAnsi="Arial"/>
          <w:sz w:val="20"/>
          <w:szCs w:val="20"/>
          <w:u w:val="single" w:color="auto"/>
          <w:color w:val="auto"/>
        </w:rPr>
        <w:t>By:</w:t>
      </w:r>
    </w:p>
    <w:p>
      <w:pPr>
        <w:spacing w:after="0" w:line="54"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Title: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43" w:lineRule="exact"/>
        <w:rPr>
          <w:sz w:val="20"/>
          <w:szCs w:val="20"/>
          <w:color w:val="auto"/>
        </w:rPr>
      </w:pPr>
    </w:p>
    <w:p>
      <w:pPr>
        <w:ind w:left="10100"/>
        <w:spacing w:after="0"/>
        <w:rPr>
          <w:sz w:val="20"/>
          <w:szCs w:val="20"/>
          <w:color w:val="auto"/>
        </w:rPr>
      </w:pPr>
      <w:r>
        <w:rPr>
          <w:rFonts w:ascii="Arial" w:cs="Arial" w:eastAsia="Arial" w:hAnsi="Arial"/>
          <w:sz w:val="19"/>
          <w:szCs w:val="19"/>
          <w:color w:val="auto"/>
        </w:rPr>
        <w:t>EXHIBIT D-2</w:t>
      </w:r>
    </w:p>
    <w:p>
      <w:pPr>
        <w:sectPr>
          <w:pgSz w:w="11900" w:h="16838" w:orient="portrait"/>
          <w:cols w:equalWidth="0" w:num="1">
            <w:col w:w="11240"/>
          </w:cols>
          <w:pgMar w:left="320" w:top="115" w:right="33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736714620 11074672</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ALLETE Term Loan Agreement</w:t>
      </w:r>
    </w:p>
    <w:p>
      <w:pPr>
        <w:sectPr>
          <w:pgSz w:w="11900" w:h="16838" w:orient="portrait"/>
          <w:cols w:equalWidth="0" w:num="2">
            <w:col w:w="2020" w:space="720"/>
            <w:col w:w="8500"/>
          </w:cols>
          <w:pgMar w:left="320" w:top="115" w:right="339"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E-2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Reference is hereby made to the Term Loan Agreement dated as of April 8, 2020 (as amended, supplemented or otherwise modified from time to time, the “</w:t>
      </w:r>
      <w:r>
        <w:rPr>
          <w:rFonts w:ascii="Arial" w:cs="Arial" w:eastAsia="Arial" w:hAnsi="Arial"/>
          <w:sz w:val="20"/>
          <w:szCs w:val="20"/>
          <w:b w:val="1"/>
          <w:bCs w:val="1"/>
          <w:i w:val="1"/>
          <w:iCs w:val="1"/>
          <w:color w:val="auto"/>
        </w:rPr>
        <w:t>Loan Agreement</w:t>
      </w:r>
      <w:r>
        <w:rPr>
          <w:rFonts w:ascii="Arial" w:cs="Arial" w:eastAsia="Arial" w:hAnsi="Arial"/>
          <w:sz w:val="20"/>
          <w:szCs w:val="20"/>
          <w:color w:val="auto"/>
        </w:rPr>
        <w:t>”), among ALLETE, Inc., each lender from time to time party thereto and U.S. Bank National Association, as administrative agent.</w:t>
      </w:r>
    </w:p>
    <w:p>
      <w:pPr>
        <w:spacing w:after="0" w:line="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Pursuant to the provisions of Section 3.7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2520"/>
        <w:spacing w:after="0"/>
        <w:rPr>
          <w:sz w:val="20"/>
          <w:szCs w:val="20"/>
          <w:color w:val="auto"/>
        </w:rPr>
      </w:pPr>
      <w:r>
        <w:rPr>
          <w:rFonts w:ascii="Arial" w:cs="Arial" w:eastAsia="Arial" w:hAnsi="Arial"/>
          <w:sz w:val="20"/>
          <w:szCs w:val="20"/>
          <w:u w:val="single" w:color="auto"/>
          <w:color w:val="auto"/>
        </w:rPr>
        <w:t>By:</w:t>
      </w:r>
    </w:p>
    <w:p>
      <w:pPr>
        <w:spacing w:after="0" w:line="54"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Title: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D-3</w:t>
      </w:r>
    </w:p>
    <w:p>
      <w:pPr>
        <w:spacing w:after="0" w:line="254"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color w:val="auto"/>
        </w:rPr>
        <w:t>736714620 11074672</w:t>
      </w:r>
      <w:r>
        <w:rPr>
          <w:sz w:val="20"/>
          <w:szCs w:val="20"/>
          <w:color w:val="auto"/>
        </w:rPr>
        <w:tab/>
      </w:r>
      <w:r>
        <w:rPr>
          <w:rFonts w:ascii="Arial" w:cs="Arial" w:eastAsia="Arial" w:hAnsi="Arial"/>
          <w:sz w:val="13"/>
          <w:szCs w:val="13"/>
          <w:color w:val="auto"/>
        </w:rPr>
        <w:t>ALLETE Term Loan Agreement</w:t>
      </w:r>
    </w:p>
    <w:p>
      <w:pPr>
        <w:sectPr>
          <w:pgSz w:w="11900" w:h="16838" w:orient="portrait"/>
          <w:cols w:equalWidth="0" w:num="1">
            <w:col w:w="11240"/>
          </w:cols>
          <w:pgMar w:left="320" w:top="11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b w:val="1"/>
          <w:bCs w:val="1"/>
          <w:color w:val="auto"/>
        </w:rPr>
        <w:t>Exhibit 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E-3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Reference is hereby made to the Term Loan Agreement dated as of April 8, 2020 (as amended, supplemented or otherwise modified from time to time, the “</w:t>
      </w:r>
      <w:r>
        <w:rPr>
          <w:rFonts w:ascii="Arial" w:cs="Arial" w:eastAsia="Arial" w:hAnsi="Arial"/>
          <w:sz w:val="20"/>
          <w:szCs w:val="20"/>
          <w:b w:val="1"/>
          <w:bCs w:val="1"/>
          <w:i w:val="1"/>
          <w:iCs w:val="1"/>
          <w:color w:val="auto"/>
        </w:rPr>
        <w:t>Loan Agreement</w:t>
      </w:r>
      <w:r>
        <w:rPr>
          <w:rFonts w:ascii="Arial" w:cs="Arial" w:eastAsia="Arial" w:hAnsi="Arial"/>
          <w:sz w:val="20"/>
          <w:szCs w:val="20"/>
          <w:color w:val="auto"/>
        </w:rPr>
        <w:t>”), among ALLETE, Inc., each lender from time to time party thereto and U.S. Bank National Association, as administrative agent.</w:t>
      </w:r>
    </w:p>
    <w:p>
      <w:pPr>
        <w:spacing w:after="0" w:line="7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Pursuant to the provisions of Section 3.7 of the Loan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By:</w:t>
      </w:r>
    </w:p>
    <w:p>
      <w:pPr>
        <w:spacing w:after="0" w:line="54"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Title: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240"/>
          </w:cols>
          <w:pgMar w:left="320" w:top="115" w:right="339" w:bottom="1440" w:gutter="0" w:footer="0" w:header="0"/>
        </w:sect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736714620 11074672</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ALLETE Term Loan Agreement</w:t>
      </w:r>
    </w:p>
    <w:p>
      <w:pPr>
        <w:sectPr>
          <w:pgSz w:w="11900" w:h="16838" w:orient="portrait"/>
          <w:cols w:equalWidth="0" w:num="2">
            <w:col w:w="2020" w:space="720"/>
            <w:col w:w="8500"/>
          </w:cols>
          <w:pgMar w:left="320" w:top="115" w:right="33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20"/>
          <w:szCs w:val="20"/>
          <w:b w:val="1"/>
          <w:bCs w:val="1"/>
          <w:color w:val="auto"/>
        </w:rPr>
        <w:t>Exhibit 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E-4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Reference is hereby made to the Term Loan Agreement dated as of April 8, 2020 (as amended, supplemented or otherwise modified from time to time, the “</w:t>
      </w:r>
      <w:r>
        <w:rPr>
          <w:rFonts w:ascii="Arial" w:cs="Arial" w:eastAsia="Arial" w:hAnsi="Arial"/>
          <w:sz w:val="20"/>
          <w:szCs w:val="20"/>
          <w:b w:val="1"/>
          <w:bCs w:val="1"/>
          <w:i w:val="1"/>
          <w:iCs w:val="1"/>
          <w:color w:val="auto"/>
        </w:rPr>
        <w:t>Loan Agreement</w:t>
      </w:r>
      <w:r>
        <w:rPr>
          <w:rFonts w:ascii="Arial" w:cs="Arial" w:eastAsia="Arial" w:hAnsi="Arial"/>
          <w:sz w:val="20"/>
          <w:szCs w:val="20"/>
          <w:color w:val="auto"/>
        </w:rPr>
        <w:t>”), among ALLETE, Inc., each lender from time to time party thereto and U.S. Bank National Association, as administrative agent.</w:t>
      </w:r>
    </w:p>
    <w:p>
      <w:pPr>
        <w:spacing w:after="0" w:line="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Pursuant to the provisions of Section 3.7 of the Loan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Form W-8BEN-E or (ii) an IRS Form W-8IMY accompanied by an IRS Form W-8BEN or IRS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w:t>
      </w:r>
    </w:p>
    <w:p>
      <w:pPr>
        <w:spacing w:after="0" w:line="4" w:lineRule="exact"/>
        <w:rPr>
          <w:sz w:val="20"/>
          <w:szCs w:val="20"/>
          <w:color w:val="auto"/>
        </w:rPr>
      </w:pPr>
    </w:p>
    <w:p>
      <w:pPr>
        <w:jc w:val="both"/>
        <w:ind w:firstLine="8"/>
        <w:spacing w:after="0" w:line="241" w:lineRule="auto"/>
        <w:tabs>
          <w:tab w:leader="none" w:pos="30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9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[NAME OF LENDER]</w:t>
      </w:r>
    </w:p>
    <w:p>
      <w:pPr>
        <w:spacing w:after="0" w:line="54"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By:</w:t>
      </w:r>
    </w:p>
    <w:p>
      <w:pPr>
        <w:spacing w:after="0" w:line="54"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Title: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color w:val="auto"/>
        </w:rPr>
        <w:t>736714620 11074672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color w:val="auto"/>
        </w:rPr>
        <w:t>ALLETE Term Loan Agreement</w:t>
      </w:r>
    </w:p>
    <w:p>
      <w:pPr>
        <w:sectPr>
          <w:pgSz w:w="11900" w:h="16838" w:orient="portrait"/>
          <w:cols w:equalWidth="0" w:num="2">
            <w:col w:w="2020" w:space="720"/>
            <w:col w:w="8500"/>
          </w:cols>
          <w:pgMar w:left="320" w:top="115" w:right="339" w:bottom="1440" w:gutter="0" w:footer="0" w:header="0"/>
          <w:type w:val="continuous"/>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Bethany M. Owen, of ALLETE, Inc. (ALLETE), certify that:</w:t>
      </w:r>
    </w:p>
    <w:p>
      <w:pPr>
        <w:spacing w:after="0" w:line="225"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2020,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tabs>
          <w:tab w:leader="none" w:pos="452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6"/>
          <w:szCs w:val="16"/>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31750</wp:posOffset>
            </wp:positionV>
            <wp:extent cx="42773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Bethany M. Owen</w:t>
      </w:r>
    </w:p>
    <w:p>
      <w:pPr>
        <w:spacing w:after="0" w:line="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Robert J. Adams, of ALLETE, Inc. (ALLETE), certify that:</w:t>
      </w:r>
    </w:p>
    <w:p>
      <w:pPr>
        <w:spacing w:after="0" w:line="225"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2020,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tabs>
          <w:tab w:leader="none" w:pos="406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31750</wp:posOffset>
            </wp:positionV>
            <wp:extent cx="45605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5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March 31, 2020,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6, 2020</w:t>
      </w:r>
    </w:p>
    <w:p>
      <w:pPr>
        <w:spacing w:after="0" w:line="6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31750</wp:posOffset>
            </wp:positionV>
            <wp:extent cx="37719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5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Bethany M. Owen</w:t>
      </w:r>
    </w:p>
    <w:p>
      <w:pPr>
        <w:spacing w:after="0" w:line="6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6, 2020</w:t>
      </w:r>
    </w:p>
    <w:p>
      <w:pPr>
        <w:spacing w:after="0" w:line="6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31750</wp:posOffset>
            </wp:positionV>
            <wp:extent cx="37719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5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49" w:name="page150"/>
    <w:bookmarkEnd w:id="149"/>
    <w:p>
      <w:pPr>
        <w:ind w:left="10440"/>
        <w:spacing w:after="0"/>
        <w:rPr>
          <w:sz w:val="20"/>
          <w:szCs w:val="20"/>
          <w:color w:val="auto"/>
        </w:rPr>
      </w:pPr>
      <w:r>
        <w:rPr>
          <w:rFonts w:ascii="Arial" w:cs="Arial" w:eastAsia="Arial" w:hAnsi="Arial"/>
          <w:sz w:val="17"/>
          <w:szCs w:val="17"/>
          <w:b w:val="1"/>
          <w:bCs w:val="1"/>
          <w:color w:val="auto"/>
        </w:rPr>
        <w:t>Exhibit 95</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Mine Safety Disclosure</w:t>
      </w:r>
    </w:p>
    <w:p>
      <w:pPr>
        <w:spacing w:after="0" w:line="358" w:lineRule="exact"/>
        <w:rPr>
          <w:sz w:val="20"/>
          <w:szCs w:val="20"/>
          <w:color w:val="auto"/>
        </w:rPr>
      </w:pPr>
    </w:p>
    <w:tbl>
      <w:tblPr>
        <w:tblLayout w:type="fixed"/>
        <w:tblInd w:w="110" w:type="dxa"/>
        <w:tblCellMar>
          <w:top w:w="0" w:type="dxa"/>
          <w:left w:w="0" w:type="dxa"/>
          <w:bottom w:w="0" w:type="dxa"/>
          <w:right w:w="0" w:type="dxa"/>
        </w:tblCellMar>
      </w:tblPr>
      <w:tr>
        <w:trPr>
          <w:trHeight w:val="170"/>
        </w:trPr>
        <w:tc>
          <w:tcPr>
            <w:tcW w:w="1360" w:type="dxa"/>
            <w:vAlign w:val="bottom"/>
            <w:tcBorders>
              <w:top w:val="single" w:sz="8" w:color="auto"/>
              <w:left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Received</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Received</w:t>
            </w:r>
          </w:p>
        </w:tc>
        <w:tc>
          <w:tcPr>
            <w:tcW w:w="78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r>
      <w:tr>
        <w:trPr>
          <w:trHeight w:val="149"/>
        </w:trPr>
        <w:tc>
          <w:tcPr>
            <w:tcW w:w="136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8"/>
        </w:trPr>
        <w:tc>
          <w:tcPr>
            <w:tcW w:w="136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Pattern of</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7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8"/>
        </w:trPr>
        <w:tc>
          <w:tcPr>
            <w:tcW w:w="136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8"/>
        </w:trPr>
        <w:tc>
          <w:tcPr>
            <w:tcW w:w="136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Value of</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Pending as</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Legal Actions</w:t>
            </w:r>
          </w:p>
        </w:tc>
      </w:tr>
      <w:tr>
        <w:trPr>
          <w:trHeight w:val="148"/>
        </w:trPr>
        <w:tc>
          <w:tcPr>
            <w:tcW w:w="136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MSHA</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Resolved</w:t>
            </w:r>
          </w:p>
        </w:tc>
      </w:tr>
      <w:tr>
        <w:trPr>
          <w:trHeight w:val="149"/>
        </w:trPr>
        <w:tc>
          <w:tcPr>
            <w:tcW w:w="136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Identification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Orders</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Orders</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of Period</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78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78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78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r>
      <w:tr>
        <w:trPr>
          <w:trHeight w:val="156"/>
        </w:trPr>
        <w:tc>
          <w:tcPr>
            <w:tcW w:w="1360" w:type="dxa"/>
            <w:vAlign w:val="bottom"/>
            <w:tcBorders>
              <w:left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5"/>
              </w:rPr>
              <w:t>Center Mine /</w:t>
            </w:r>
          </w:p>
        </w:tc>
        <w:tc>
          <w:tcPr>
            <w:tcW w:w="78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r>
    </w:tbl>
    <w:p>
      <w:pPr>
        <w:spacing w:after="0" w:line="2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three months ended March 31, 2020, BNI Energy, owner of Center Mine, received two citations under Section 104(a) of the Mine Safety Act, none were significant and substantial (S&amp;S) citations. For the three months ended March 31, 2020, BNI Energy paid $626 in penalties for citations closed during the period. For the three months ended March 31, 2020, there were no citations, orders, violations or notices under Sections 104(b), 104(d), 107(a), 104(e) or 110(b)(2) of the Mine Safety Act and there were no fatalities.</w:t>
      </w:r>
    </w:p>
    <w:p>
      <w:pPr>
        <w:sectPr>
          <w:pgSz w:w="11900" w:h="16838" w:orient="portrait"/>
          <w:cols w:equalWidth="0" w:num="1">
            <w:col w:w="11260"/>
          </w:cols>
          <w:pgMar w:left="320" w:top="675" w:right="31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937260</wp:posOffset>
            </wp:positionV>
            <wp:extent cx="1371600" cy="6254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81"/>
          <w:szCs w:val="81"/>
          <w:b w:val="1"/>
          <w:bCs w:val="1"/>
          <w:i w:val="1"/>
          <w:iCs w:val="1"/>
          <w:color w:val="auto"/>
        </w:rPr>
        <w:t>NEWS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auto"/>
        </w:rPr>
        <w:t>Exhibit 99</w:t>
      </w:r>
    </w:p>
    <w:p>
      <w:pPr>
        <w:spacing w:after="0" w:line="63"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May 6, 2020</w:t>
      </w:r>
    </w:p>
    <w:p>
      <w:pPr>
        <w:spacing w:after="0" w:line="347"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Vince Meyer</w:t>
      </w:r>
    </w:p>
    <w:p>
      <w:pPr>
        <w:spacing w:after="0" w:line="6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218-723-3952</w:t>
      </w:r>
    </w:p>
    <w:p>
      <w:pPr>
        <w:spacing w:after="0" w:line="9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vmeyer@allete.com</w:t>
      </w:r>
    </w:p>
    <w:p>
      <w:pPr>
        <w:spacing w:after="0" w:line="848" w:lineRule="exact"/>
        <w:rPr>
          <w:sz w:val="20"/>
          <w:szCs w:val="20"/>
          <w:color w:val="auto"/>
        </w:rPr>
      </w:pPr>
    </w:p>
    <w:p>
      <w:pPr>
        <w:sectPr>
          <w:pgSz w:w="11900" w:h="16838" w:orient="portrait"/>
          <w:cols w:equalWidth="0" w:num="2">
            <w:col w:w="6400" w:space="720"/>
            <w:col w:w="4120"/>
          </w:cols>
          <w:pgMar w:left="320" w:top="1138" w:right="3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first quarter earnings of $1.28 per share</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 xml:space="preserve">Temporarily suspending 2020 guidance </w:t>
      </w:r>
      <w:r>
        <w:rPr>
          <w:rFonts w:ascii="Arial" w:cs="Arial" w:eastAsia="Arial" w:hAnsi="Arial"/>
          <w:sz w:val="25"/>
          <w:szCs w:val="25"/>
          <w:b w:val="1"/>
          <w:bCs w:val="1"/>
          <w:color w:val="auto"/>
        </w:rPr>
        <w:t>due to uncertainties with COVID-19</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DULUTH, Minn. - ALLETE, Inc. (NYSE: ALE) today reported first quarter 2020 earnings of $1.28 per share on net income of</w:t>
      </w:r>
    </w:p>
    <w:p>
      <w:pPr>
        <w:spacing w:after="0" w:line="16" w:lineRule="exact"/>
        <w:rPr>
          <w:sz w:val="20"/>
          <w:szCs w:val="20"/>
          <w:color w:val="auto"/>
        </w:rPr>
      </w:pPr>
    </w:p>
    <w:p>
      <w:pPr>
        <w:ind w:right="120"/>
        <w:spacing w:after="0" w:line="297" w:lineRule="auto"/>
        <w:rPr>
          <w:sz w:val="20"/>
          <w:szCs w:val="20"/>
          <w:color w:val="auto"/>
        </w:rPr>
      </w:pPr>
      <w:r>
        <w:rPr>
          <w:rFonts w:ascii="Arial" w:cs="Arial" w:eastAsia="Arial" w:hAnsi="Arial"/>
          <w:sz w:val="18"/>
          <w:szCs w:val="18"/>
          <w:color w:val="auto"/>
        </w:rPr>
        <w:t>$66.3 million. Last year’s results were $1.37 per share on net income of $70.5 million. Results in the first quarter of 2019 included a 19 cent per share gain from the sale of U.S. Water Services offset by 2 cents per share of U.S. Water Services operating results prior to the sale.</w:t>
      </w:r>
    </w:p>
    <w:p>
      <w:pPr>
        <w:spacing w:after="0" w:line="147"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“This is a challenging time for everyone, and our priority is ensuring the safety of our employees, our families, our customers, and our communities, while we continue to provide the safe and reliable energy and water services that have never been more essential than they are today,” said ALLETE President and Chief Executive Officer Bethany Owen. “Although results from the first quarter of the year were in-line with our expectations, these results may not be indicative of the remainder of the year, as we cannot predict at this time the extent and duration of the effects of COVID-19 on our results of operations for the rest of 2020.”</w:t>
      </w:r>
    </w:p>
    <w:p>
      <w:pPr>
        <w:spacing w:after="0" w:line="180"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“ALLETE’s businesses performed as expected in the first quarter, are fundamentally sound and have ample liquidity to meet our needs, including but not limited to significant growth related investments during the year. Because of the broad economic uncertainties related to COVID-19 and the potential financial impact, especially on our regulated business segment, at this time, we are unable to provide a sufficiently reliable update to our 2020 earning guidance, and accordingly we are temporarily suspending our 2020 guidance. We will continue to assess the impacts of the COVID-19 pandemic on the results of our operations, and may be able to better quantify the impacts in the second half of the year.” said ALLETE Senior Vice President and Chief Financial Officer Bob Adams.</w:t>
      </w:r>
    </w:p>
    <w:p>
      <w:pPr>
        <w:spacing w:after="0" w:line="16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ALLETE’s Regulated Operations segment, which includes Minnesota Power, Superior Water, Light and Power (SWL&amp;P) and the Company’s investment in the American Transmission Co., recorded net income of $57.5 million, compared to $51.5 million in the first quarter of 2019. Earnings reflect higher net income at Minnesota Power primarily due to the implementation of interim rates on January 1, 2020, increased cost recovery rider revenue and year over year benefits of adopting a new fuel adjustment methodology in 2020. These increases were partially offset by higher expenses and lower kilowatt-hour sales to residential, commercial and municipal customers. Net income at SWL&amp;P decreased from last year due to lower gas and kWh sales to commercial and residential customers as a result of warmer winter temperatures in 2020 compared to 2019.</w:t>
      </w:r>
    </w:p>
    <w:p>
      <w:pPr>
        <w:spacing w:after="0" w:line="19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ALLETE Clean Energy recorded first quarter 2020 net income of $11.7 million compared to $5.8 million in 2019. Net income in 2020 included $2.3 million of additional production tax credits generated compared to 2019, higher revenue resulting from higher wind resources and availability, and earnings from the Glen Ullin wind energy facility which commenced operations in December 2019. Net income in 2020 also included additional income tax benefit which varies quarter to quarter based on an estimated effective tax rate.</w:t>
      </w:r>
    </w:p>
    <w:p>
      <w:pPr>
        <w:spacing w:after="0" w:line="161"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Corporate and Other businesses, which include BNI Energy and ALLETE Properties, recorded a net loss of $2.9 million in 2020 compared to net income of $14.3 million in 2019. Net income in 2019 included a gain on the sale of U.S. Water Services of $9.9 million after-tax. Net income in 2020 included lower earnings from marketable</w:t>
      </w:r>
    </w:p>
    <w:p>
      <w:pPr>
        <w:sectPr>
          <w:pgSz w:w="11900" w:h="16838" w:orient="portrait"/>
          <w:cols w:equalWidth="0" w:num="1">
            <w:col w:w="11240"/>
          </w:cols>
          <w:pgMar w:left="320" w:top="1138" w:right="339" w:bottom="1440" w:gutter="0" w:footer="0" w:header="0"/>
          <w:type w:val="continuous"/>
        </w:sectPr>
      </w:pPr>
    </w:p>
    <w:bookmarkStart w:id="151" w:name="page152"/>
    <w:bookmarkEnd w:id="151"/>
    <w:p>
      <w:pPr>
        <w:ind w:right="520"/>
        <w:spacing w:after="0" w:line="260" w:lineRule="auto"/>
        <w:rPr>
          <w:sz w:val="20"/>
          <w:szCs w:val="20"/>
          <w:color w:val="auto"/>
        </w:rPr>
      </w:pPr>
      <w:r>
        <w:rPr>
          <w:rFonts w:ascii="Arial" w:cs="Arial" w:eastAsia="Arial" w:hAnsi="Arial"/>
          <w:sz w:val="20"/>
          <w:szCs w:val="20"/>
          <w:color w:val="auto"/>
        </w:rPr>
        <w:t>equity securities held in certain benefit trusts. Net income in 2020 also reflected additional income tax expense which varies quarter to quarter based on an estimated annual effective tax rate.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Details of the Company’s outlook and status of 2020 earnings guidance were filed as part of today’s Form 8-K filing.</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Webcast on May 6, 2020; 2020 guidance slides posted on company website</w:t>
      </w:r>
    </w:p>
    <w:p>
      <w:pPr>
        <w:spacing w:after="0" w:line="222"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 xml:space="preserve">ALLETE’s earnings conference call will be at 10:00 a.m. (EST), May 6, 2020, at which time management will discuss the first quarter of 2020 financial results and 2020 earnings guidance. Interested parties may listen live by calling 877-303-5852, pass code 7062128, ten minutes prior to the start time, or may listen to the live audio-only webcast accompanied by guidance slides, which will be available on ALLETE’s Investor Relations website </w:t>
      </w:r>
      <w:r>
        <w:rPr>
          <w:rFonts w:ascii="Arial" w:cs="Arial" w:eastAsia="Arial" w:hAnsi="Arial"/>
          <w:sz w:val="18"/>
          <w:szCs w:val="18"/>
          <w:u w:val="single" w:color="auto"/>
          <w:color w:val="0563C1"/>
        </w:rPr>
        <w:t>http://investor.allete.com/events-presentations</w:t>
      </w:r>
      <w:r>
        <w:rPr>
          <w:rFonts w:ascii="Arial" w:cs="Arial" w:eastAsia="Arial" w:hAnsi="Arial"/>
          <w:sz w:val="18"/>
          <w:szCs w:val="18"/>
          <w:color w:val="auto"/>
        </w:rPr>
        <w:t xml:space="preserve">. A replay of the call will be available through May 11, 2020 by calling (855) 859-2056, pass code 7062128. The webcast will be accessible for one year at </w:t>
      </w:r>
      <w:r>
        <w:rPr>
          <w:rFonts w:ascii="Arial" w:cs="Arial" w:eastAsia="Arial" w:hAnsi="Arial"/>
          <w:sz w:val="18"/>
          <w:szCs w:val="18"/>
          <w:u w:val="single" w:color="auto"/>
          <w:color w:val="0563C1"/>
        </w:rPr>
        <w:t>www.allete.com</w:t>
      </w:r>
      <w:r>
        <w:rPr>
          <w:rFonts w:ascii="Arial" w:cs="Arial" w:eastAsia="Arial" w:hAnsi="Arial"/>
          <w:sz w:val="18"/>
          <w:szCs w:val="18"/>
          <w:color w:val="auto"/>
        </w:rPr>
        <w:t>.</w:t>
      </w:r>
    </w:p>
    <w:p>
      <w:pPr>
        <w:spacing w:after="0" w:line="165" w:lineRule="exact"/>
        <w:rPr>
          <w:sz w:val="20"/>
          <w:szCs w:val="20"/>
          <w:color w:val="auto"/>
        </w:rPr>
      </w:pPr>
    </w:p>
    <w:p>
      <w:pPr>
        <w:ind w:right="260"/>
        <w:spacing w:after="0" w:line="291" w:lineRule="auto"/>
        <w:rPr>
          <w:sz w:val="20"/>
          <w:szCs w:val="20"/>
          <w:color w:val="auto"/>
        </w:rPr>
      </w:pPr>
      <w:r>
        <w:rPr>
          <w:rFonts w:ascii="Arial" w:cs="Arial" w:eastAsia="Arial" w:hAnsi="Arial"/>
          <w:sz w:val="18"/>
          <w:szCs w:val="18"/>
          <w:color w:val="auto"/>
        </w:rPr>
        <w:t xml:space="preserve">ALLETE is an energy company headquartered in Duluth, Minn. In addition to its electric utilities, Minnesota Power and Superior Water, Light and Power of Wisconsin, ALLETE owns ALLETE Clean Energy, based in Duluth, BNI Energy in Bismarck, N.D., and has an eight percent equity interest in the American Transmission Co. More information about ALLETE is available at www.allete.com. </w:t>
      </w:r>
      <w:r>
        <w:rPr>
          <w:rFonts w:ascii="Arial" w:cs="Arial" w:eastAsia="Arial" w:hAnsi="Arial"/>
          <w:sz w:val="18"/>
          <w:szCs w:val="18"/>
          <w:i w:val="1"/>
          <w:iCs w:val="1"/>
          <w:color w:val="auto"/>
        </w:rPr>
        <w:t>ALE-CORP</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180"/>
          </w:cols>
          <w:pgMar w:left="320" w:top="973" w:right="39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45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700" w:type="dxa"/>
            <w:vAlign w:val="bottom"/>
          </w:tcPr>
          <w:p>
            <w:pPr>
              <w:spacing w:after="0"/>
              <w:rPr>
                <w:sz w:val="23"/>
                <w:szCs w:val="23"/>
                <w:color w:val="auto"/>
              </w:rPr>
            </w:pPr>
          </w:p>
        </w:tc>
        <w:tc>
          <w:tcPr>
            <w:tcW w:w="45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6700" w:type="dxa"/>
            <w:vAlign w:val="bottom"/>
          </w:tcPr>
          <w:p>
            <w:pPr>
              <w:spacing w:after="0"/>
              <w:rPr>
                <w:sz w:val="23"/>
                <w:szCs w:val="23"/>
                <w:color w:val="auto"/>
              </w:rPr>
            </w:pPr>
          </w:p>
        </w:tc>
        <w:tc>
          <w:tcPr>
            <w:tcW w:w="36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7"/>
        </w:trPr>
        <w:tc>
          <w:tcPr>
            <w:tcW w:w="67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Operating Revenue</w:t>
            </w:r>
          </w:p>
        </w:tc>
        <w:tc>
          <w:tcPr>
            <w:tcW w:w="36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with Customers – Utility</w:t>
            </w:r>
          </w:p>
        </w:tc>
        <w:tc>
          <w:tcPr>
            <w:tcW w:w="36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$265.3</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Contracts with Customers – Non-utility</w:t>
            </w:r>
          </w:p>
        </w:tc>
        <w:tc>
          <w:tcPr>
            <w:tcW w:w="3600" w:type="dxa"/>
            <w:vAlign w:val="bottom"/>
          </w:tcPr>
          <w:p>
            <w:pPr>
              <w:jc w:val="right"/>
              <w:ind w:right="190"/>
              <w:spacing w:after="0"/>
              <w:rPr>
                <w:sz w:val="20"/>
                <w:szCs w:val="20"/>
                <w:color w:val="auto"/>
              </w:rPr>
            </w:pPr>
            <w:r>
              <w:rPr>
                <w:rFonts w:ascii="Arial" w:cs="Arial" w:eastAsia="Arial" w:hAnsi="Arial"/>
                <w:sz w:val="18"/>
                <w:szCs w:val="18"/>
                <w:color w:val="auto"/>
              </w:rPr>
              <w:t>43.5</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72.1</w:t>
            </w:r>
          </w:p>
        </w:tc>
      </w:tr>
      <w:tr>
        <w:trPr>
          <w:trHeight w:val="27"/>
        </w:trPr>
        <w:tc>
          <w:tcPr>
            <w:tcW w:w="6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 Non-utility</w:t>
            </w:r>
          </w:p>
        </w:tc>
        <w:tc>
          <w:tcPr>
            <w:tcW w:w="36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2.8</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67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Revenue</w:t>
            </w:r>
          </w:p>
        </w:tc>
        <w:tc>
          <w:tcPr>
            <w:tcW w:w="36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311.6</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357.2</w:t>
            </w:r>
          </w:p>
        </w:tc>
      </w:tr>
      <w:tr>
        <w:trPr>
          <w:trHeight w:val="27"/>
        </w:trPr>
        <w:tc>
          <w:tcPr>
            <w:tcW w:w="67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Fuel, Purchased Power and Gas – Utility</w:t>
            </w:r>
          </w:p>
        </w:tc>
        <w:tc>
          <w:tcPr>
            <w:tcW w:w="3600" w:type="dxa"/>
            <w:vAlign w:val="bottom"/>
          </w:tcPr>
          <w:p>
            <w:pPr>
              <w:jc w:val="right"/>
              <w:ind w:right="190"/>
              <w:spacing w:after="0"/>
              <w:rPr>
                <w:sz w:val="20"/>
                <w:szCs w:val="20"/>
                <w:color w:val="auto"/>
              </w:rPr>
            </w:pPr>
            <w:r>
              <w:rPr>
                <w:rFonts w:ascii="Arial" w:cs="Arial" w:eastAsia="Arial" w:hAnsi="Arial"/>
                <w:sz w:val="18"/>
                <w:szCs w:val="18"/>
                <w:color w:val="auto"/>
              </w:rPr>
              <w:t>89.0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109.8</w:t>
            </w:r>
          </w:p>
        </w:tc>
      </w:tr>
      <w:tr>
        <w:trPr>
          <w:trHeight w:val="27"/>
        </w:trPr>
        <w:tc>
          <w:tcPr>
            <w:tcW w:w="6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Transmission Services – Utility</w:t>
            </w:r>
          </w:p>
        </w:tc>
        <w:tc>
          <w:tcPr>
            <w:tcW w:w="36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18.5</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Cost of Sales – Non-utility</w:t>
            </w:r>
          </w:p>
        </w:tc>
        <w:tc>
          <w:tcPr>
            <w:tcW w:w="3600" w:type="dxa"/>
            <w:vAlign w:val="bottom"/>
          </w:tcPr>
          <w:p>
            <w:pPr>
              <w:jc w:val="right"/>
              <w:ind w:right="190"/>
              <w:spacing w:after="0"/>
              <w:rPr>
                <w:sz w:val="20"/>
                <w:szCs w:val="20"/>
                <w:color w:val="auto"/>
              </w:rPr>
            </w:pPr>
            <w:r>
              <w:rPr>
                <w:rFonts w:ascii="Arial" w:cs="Arial" w:eastAsia="Arial" w:hAnsi="Arial"/>
                <w:sz w:val="18"/>
                <w:szCs w:val="18"/>
                <w:color w:val="auto"/>
              </w:rPr>
              <w:t>16.9</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30.6</w:t>
            </w:r>
          </w:p>
        </w:tc>
      </w:tr>
      <w:tr>
        <w:trPr>
          <w:trHeight w:val="27"/>
        </w:trPr>
        <w:tc>
          <w:tcPr>
            <w:tcW w:w="6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36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61.0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0" w:type="dxa"/>
            <w:vAlign w:val="bottom"/>
          </w:tcPr>
          <w:p>
            <w:pPr>
              <w:jc w:val="right"/>
              <w:ind w:right="190"/>
              <w:spacing w:after="0"/>
              <w:rPr>
                <w:sz w:val="20"/>
                <w:szCs w:val="20"/>
                <w:color w:val="auto"/>
              </w:rPr>
            </w:pPr>
            <w:r>
              <w:rPr>
                <w:rFonts w:ascii="Arial" w:cs="Arial" w:eastAsia="Arial" w:hAnsi="Arial"/>
                <w:sz w:val="18"/>
                <w:szCs w:val="18"/>
                <w:color w:val="auto"/>
              </w:rPr>
              <w:t>53.4</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27"/>
        </w:trPr>
        <w:tc>
          <w:tcPr>
            <w:tcW w:w="6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Other than Income Taxes</w:t>
            </w:r>
          </w:p>
        </w:tc>
        <w:tc>
          <w:tcPr>
            <w:tcW w:w="36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12.6</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37"/>
        </w:trPr>
        <w:tc>
          <w:tcPr>
            <w:tcW w:w="67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251.4</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300.4</w:t>
            </w:r>
          </w:p>
        </w:tc>
      </w:tr>
      <w:tr>
        <w:trPr>
          <w:trHeight w:val="27"/>
        </w:trPr>
        <w:tc>
          <w:tcPr>
            <w:tcW w:w="67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60.2</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r>
      <w:tr>
        <w:trPr>
          <w:trHeight w:val="236"/>
        </w:trPr>
        <w:tc>
          <w:tcPr>
            <w:tcW w:w="6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Equity Earnings</w:t>
            </w:r>
          </w:p>
        </w:tc>
        <w:tc>
          <w:tcPr>
            <w:tcW w:w="3600" w:type="dxa"/>
            <w:vAlign w:val="bottom"/>
          </w:tcPr>
          <w:p>
            <w:pPr>
              <w:jc w:val="right"/>
              <w:ind w:right="190"/>
              <w:spacing w:after="0"/>
              <w:rPr>
                <w:sz w:val="20"/>
                <w:szCs w:val="20"/>
                <w:color w:val="auto"/>
              </w:rPr>
            </w:pPr>
            <w:r>
              <w:rPr>
                <w:rFonts w:ascii="Arial" w:cs="Arial" w:eastAsia="Arial" w:hAnsi="Arial"/>
                <w:sz w:val="18"/>
                <w:szCs w:val="18"/>
                <w:color w:val="auto"/>
              </w:rPr>
              <w:t>5.2</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6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U.S. Water Services</w:t>
            </w:r>
          </w:p>
        </w:tc>
        <w:tc>
          <w:tcPr>
            <w:tcW w:w="36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Other</w:t>
            </w:r>
          </w:p>
        </w:tc>
        <w:tc>
          <w:tcPr>
            <w:tcW w:w="360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67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Income (Expense)</w:t>
            </w:r>
          </w:p>
        </w:tc>
        <w:tc>
          <w:tcPr>
            <w:tcW w:w="3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6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50.7</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73.4</w:t>
            </w:r>
          </w:p>
        </w:tc>
      </w:tr>
      <w:tr>
        <w:trPr>
          <w:trHeight w:val="27"/>
        </w:trPr>
        <w:tc>
          <w:tcPr>
            <w:tcW w:w="6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3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(13.8)</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6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6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$64.5</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$70.5</w:t>
            </w:r>
          </w:p>
        </w:tc>
      </w:tr>
      <w:tr>
        <w:trPr>
          <w:trHeight w:val="27"/>
        </w:trPr>
        <w:tc>
          <w:tcPr>
            <w:tcW w:w="67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3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3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$66.3</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w:t>
            </w:r>
          </w:p>
        </w:tc>
      </w:tr>
      <w:tr>
        <w:trPr>
          <w:trHeight w:val="27"/>
        </w:trPr>
        <w:tc>
          <w:tcPr>
            <w:tcW w:w="67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3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Basic</w:t>
            </w:r>
          </w:p>
        </w:tc>
        <w:tc>
          <w:tcPr>
            <w:tcW w:w="3600" w:type="dxa"/>
            <w:vAlign w:val="bottom"/>
          </w:tcPr>
          <w:p>
            <w:pPr>
              <w:jc w:val="right"/>
              <w:ind w:right="190"/>
              <w:spacing w:after="0"/>
              <w:rPr>
                <w:sz w:val="20"/>
                <w:szCs w:val="20"/>
                <w:color w:val="auto"/>
              </w:rPr>
            </w:pPr>
            <w:r>
              <w:rPr>
                <w:rFonts w:ascii="Arial" w:cs="Arial" w:eastAsia="Arial" w:hAnsi="Arial"/>
                <w:sz w:val="18"/>
                <w:szCs w:val="18"/>
                <w:color w:val="auto"/>
              </w:rPr>
              <w:t>51.7</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51.6</w:t>
            </w:r>
          </w:p>
        </w:tc>
      </w:tr>
      <w:tr>
        <w:trPr>
          <w:trHeight w:val="27"/>
        </w:trPr>
        <w:tc>
          <w:tcPr>
            <w:tcW w:w="6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51.8</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r>
      <w:tr>
        <w:trPr>
          <w:trHeight w:val="237"/>
        </w:trPr>
        <w:tc>
          <w:tcPr>
            <w:tcW w:w="6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36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$1.28</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6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36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$1.28</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3600" w:type="dxa"/>
            <w:vAlign w:val="bottom"/>
          </w:tcPr>
          <w:p>
            <w:pPr>
              <w:jc w:val="right"/>
              <w:ind w:right="190"/>
              <w:spacing w:after="0"/>
              <w:rPr>
                <w:sz w:val="20"/>
                <w:szCs w:val="20"/>
                <w:color w:val="auto"/>
              </w:rPr>
            </w:pPr>
            <w:r>
              <w:rPr>
                <w:rFonts w:ascii="Arial" w:cs="Arial" w:eastAsia="Arial" w:hAnsi="Arial"/>
                <w:sz w:val="18"/>
                <w:szCs w:val="18"/>
                <w:color w:val="auto"/>
              </w:rPr>
              <w:t>$0.6175</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$0.5875</w:t>
            </w:r>
          </w:p>
        </w:tc>
      </w:tr>
      <w:tr>
        <w:trPr>
          <w:trHeight w:val="27"/>
        </w:trPr>
        <w:tc>
          <w:tcPr>
            <w:tcW w:w="67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Mar. 31,</w:t>
            </w: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Dec. 31,</w:t>
            </w:r>
          </w:p>
        </w:tc>
        <w:tc>
          <w:tcPr>
            <w:tcW w:w="396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Mar. 31,</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160" w:type="dxa"/>
            <w:vAlign w:val="bottom"/>
          </w:tcPr>
          <w:p>
            <w:pPr>
              <w:spacing w:after="0"/>
              <w:rPr>
                <w:sz w:val="23"/>
                <w:szCs w:val="23"/>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960" w:type="dxa"/>
            <w:vAlign w:val="bottom"/>
          </w:tcPr>
          <w:p>
            <w:pPr>
              <w:spacing w:after="0"/>
              <w:rPr>
                <w:sz w:val="23"/>
                <w:szCs w:val="23"/>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r>
      <w:tr>
        <w:trPr>
          <w:trHeight w:val="27"/>
        </w:trPr>
        <w:tc>
          <w:tcPr>
            <w:tcW w:w="3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6"/>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96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207.8</w:t>
            </w:r>
          </w:p>
        </w:tc>
        <w:tc>
          <w:tcPr>
            <w:tcW w:w="900" w:type="dxa"/>
            <w:vAlign w:val="bottom"/>
          </w:tcPr>
          <w:p>
            <w:pPr>
              <w:jc w:val="right"/>
              <w:spacing w:after="0"/>
              <w:rPr>
                <w:sz w:val="20"/>
                <w:szCs w:val="20"/>
                <w:color w:val="auto"/>
              </w:rPr>
            </w:pPr>
            <w:r>
              <w:rPr>
                <w:rFonts w:ascii="Arial" w:cs="Arial" w:eastAsia="Arial" w:hAnsi="Arial"/>
                <w:sz w:val="18"/>
                <w:szCs w:val="18"/>
                <w:color w:val="auto"/>
              </w:rPr>
              <w:t>200.2</w:t>
            </w:r>
          </w:p>
        </w:tc>
        <w:tc>
          <w:tcPr>
            <w:tcW w:w="396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080" w:type="dxa"/>
            <w:vAlign w:val="bottom"/>
          </w:tcPr>
          <w:p>
            <w:pPr>
              <w:jc w:val="right"/>
              <w:spacing w:after="0"/>
              <w:rPr>
                <w:sz w:val="20"/>
                <w:szCs w:val="20"/>
                <w:color w:val="auto"/>
              </w:rPr>
            </w:pPr>
            <w:r>
              <w:rPr>
                <w:rFonts w:ascii="Arial" w:cs="Arial" w:eastAsia="Arial" w:hAnsi="Arial"/>
                <w:sz w:val="18"/>
                <w:szCs w:val="18"/>
                <w:color w:val="auto"/>
              </w:rPr>
              <w:t>1,399.9</w:t>
            </w:r>
          </w:p>
        </w:tc>
        <w:tc>
          <w:tcPr>
            <w:tcW w:w="840" w:type="dxa"/>
            <w:vAlign w:val="bottom"/>
          </w:tcPr>
          <w:p>
            <w:pPr>
              <w:jc w:val="right"/>
              <w:spacing w:after="0"/>
              <w:rPr>
                <w:sz w:val="20"/>
                <w:szCs w:val="20"/>
                <w:color w:val="auto"/>
              </w:rPr>
            </w:pPr>
            <w:r>
              <w:rPr>
                <w:rFonts w:ascii="Arial" w:cs="Arial" w:eastAsia="Arial" w:hAnsi="Arial"/>
                <w:sz w:val="18"/>
                <w:szCs w:val="18"/>
                <w:color w:val="auto"/>
              </w:rPr>
              <w:t>1,400.9</w:t>
            </w:r>
          </w:p>
        </w:tc>
      </w:tr>
      <w:tr>
        <w:trPr>
          <w:trHeight w:val="27"/>
        </w:trPr>
        <w:tc>
          <w:tcPr>
            <w:tcW w:w="3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4,496.3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4,377.0</w:t>
            </w:r>
          </w:p>
        </w:tc>
        <w:tc>
          <w:tcPr>
            <w:tcW w:w="3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423.8</w:t>
            </w:r>
          </w:p>
        </w:tc>
        <w:tc>
          <w:tcPr>
            <w:tcW w:w="900" w:type="dxa"/>
            <w:vAlign w:val="bottom"/>
          </w:tcPr>
          <w:p>
            <w:pPr>
              <w:jc w:val="right"/>
              <w:spacing w:after="0"/>
              <w:rPr>
                <w:sz w:val="20"/>
                <w:szCs w:val="20"/>
                <w:color w:val="auto"/>
              </w:rPr>
            </w:pPr>
            <w:r>
              <w:rPr>
                <w:rFonts w:ascii="Arial" w:cs="Arial" w:eastAsia="Arial" w:hAnsi="Arial"/>
                <w:sz w:val="18"/>
                <w:szCs w:val="18"/>
                <w:color w:val="auto"/>
              </w:rPr>
              <w:t>420.5</w:t>
            </w:r>
          </w:p>
        </w:tc>
        <w:tc>
          <w:tcPr>
            <w:tcW w:w="396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080" w:type="dxa"/>
            <w:vAlign w:val="bottom"/>
          </w:tcPr>
          <w:p>
            <w:pPr>
              <w:jc w:val="right"/>
              <w:spacing w:after="0"/>
              <w:rPr>
                <w:sz w:val="20"/>
                <w:szCs w:val="20"/>
                <w:color w:val="auto"/>
              </w:rPr>
            </w:pPr>
            <w:r>
              <w:rPr>
                <w:rFonts w:ascii="Arial" w:cs="Arial" w:eastAsia="Arial" w:hAnsi="Arial"/>
                <w:sz w:val="18"/>
                <w:szCs w:val="18"/>
                <w:color w:val="auto"/>
              </w:rPr>
              <w:t>566.4</w:t>
            </w:r>
          </w:p>
        </w:tc>
        <w:tc>
          <w:tcPr>
            <w:tcW w:w="840" w:type="dxa"/>
            <w:vAlign w:val="bottom"/>
          </w:tcPr>
          <w:p>
            <w:pPr>
              <w:jc w:val="right"/>
              <w:spacing w:after="0"/>
              <w:rPr>
                <w:sz w:val="20"/>
                <w:szCs w:val="20"/>
                <w:color w:val="auto"/>
              </w:rPr>
            </w:pPr>
            <w:r>
              <w:rPr>
                <w:rFonts w:ascii="Arial" w:cs="Arial" w:eastAsia="Arial" w:hAnsi="Arial"/>
                <w:sz w:val="18"/>
                <w:szCs w:val="18"/>
                <w:color w:val="auto"/>
              </w:rPr>
              <w:t>560.3</w:t>
            </w:r>
          </w:p>
        </w:tc>
      </w:tr>
      <w:tr>
        <w:trPr>
          <w:trHeight w:val="27"/>
        </w:trPr>
        <w:tc>
          <w:tcPr>
            <w:tcW w:w="3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7"/>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Defined Benefit Pension and Other Postretirement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r>
      <w:tr>
        <w:trPr>
          <w:trHeight w:val="189"/>
        </w:trPr>
        <w:tc>
          <w:tcPr>
            <w:tcW w:w="3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9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Benefit Plans</w:t>
            </w:r>
          </w:p>
        </w:tc>
        <w:tc>
          <w:tcPr>
            <w:tcW w:w="10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198.9</w:t>
            </w:r>
          </w:p>
        </w:tc>
        <w:tc>
          <w:tcPr>
            <w:tcW w:w="900" w:type="dxa"/>
            <w:vAlign w:val="bottom"/>
          </w:tcPr>
          <w:p>
            <w:pPr>
              <w:jc w:val="right"/>
              <w:spacing w:after="0"/>
              <w:rPr>
                <w:sz w:val="20"/>
                <w:szCs w:val="20"/>
                <w:color w:val="auto"/>
              </w:rPr>
            </w:pPr>
            <w:r>
              <w:rPr>
                <w:rFonts w:ascii="Arial" w:cs="Arial" w:eastAsia="Arial" w:hAnsi="Arial"/>
                <w:sz w:val="18"/>
                <w:szCs w:val="18"/>
                <w:color w:val="auto"/>
              </w:rPr>
              <w:t>218.2</w:t>
            </w:r>
          </w:p>
        </w:tc>
        <w:tc>
          <w:tcPr>
            <w:tcW w:w="396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288.7</w:t>
            </w:r>
          </w:p>
        </w:tc>
        <w:tc>
          <w:tcPr>
            <w:tcW w:w="84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7"/>
        </w:trPr>
        <w:tc>
          <w:tcPr>
            <w:tcW w:w="3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2,373.0</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2,335.6</w:t>
            </w:r>
          </w:p>
        </w:tc>
      </w:tr>
      <w:tr>
        <w:trPr>
          <w:trHeight w:val="236"/>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$5,619.5</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$5,482.8</w:t>
            </w:r>
          </w:p>
        </w:tc>
        <w:tc>
          <w:tcPr>
            <w:tcW w:w="396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$5,619.5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$5,482.8</w:t>
            </w:r>
          </w:p>
        </w:tc>
      </w:tr>
      <w:tr>
        <w:trPr>
          <w:trHeight w:val="27"/>
        </w:trPr>
        <w:tc>
          <w:tcPr>
            <w:tcW w:w="3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972" w:right="33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512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392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200" w:type="dxa"/>
            <w:vAlign w:val="bottom"/>
          </w:tcPr>
          <w:p>
            <w:pPr>
              <w:spacing w:after="0"/>
              <w:rPr>
                <w:sz w:val="23"/>
                <w:szCs w:val="23"/>
                <w:color w:val="auto"/>
              </w:rPr>
            </w:pP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3920" w:type="dxa"/>
            <w:vAlign w:val="bottom"/>
          </w:tcPr>
          <w:p>
            <w:pPr>
              <w:jc w:val="right"/>
              <w:ind w:right="1170"/>
              <w:spacing w:after="0"/>
              <w:rPr>
                <w:sz w:val="20"/>
                <w:szCs w:val="20"/>
                <w:color w:val="auto"/>
              </w:rPr>
            </w:pPr>
            <w:r>
              <w:rPr>
                <w:rFonts w:ascii="Arial" w:cs="Arial" w:eastAsia="Arial" w:hAnsi="Arial"/>
                <w:sz w:val="18"/>
                <w:szCs w:val="18"/>
                <w:b w:val="1"/>
                <w:bCs w:val="1"/>
                <w:color w:val="auto"/>
              </w:rPr>
              <w:t>2020</w:t>
            </w:r>
          </w:p>
        </w:tc>
        <w:tc>
          <w:tcPr>
            <w:tcW w:w="12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7"/>
        </w:trPr>
        <w:tc>
          <w:tcPr>
            <w:tcW w:w="6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color w:val="auto"/>
              </w:rPr>
              <w:t>Millions</w:t>
            </w:r>
          </w:p>
        </w:tc>
        <w:tc>
          <w:tcPr>
            <w:tcW w:w="39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3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$57.5</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$51.5</w:t>
            </w:r>
          </w:p>
        </w:tc>
      </w:tr>
      <w:tr>
        <w:trPr>
          <w:trHeight w:val="216"/>
        </w:trPr>
        <w:tc>
          <w:tcPr>
            <w:tcW w:w="6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0"/>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ALLETE Clean Energy</w:t>
            </w:r>
          </w:p>
        </w:tc>
        <w:tc>
          <w:tcPr>
            <w:tcW w:w="39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11.7</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5.8</w:t>
            </w: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U.S. Water Services</w:t>
            </w:r>
          </w:p>
        </w:tc>
        <w:tc>
          <w:tcPr>
            <w:tcW w:w="39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(1.1)</w:t>
            </w:r>
          </w:p>
        </w:tc>
      </w:tr>
      <w:tr>
        <w:trPr>
          <w:trHeight w:val="27"/>
        </w:trPr>
        <w:tc>
          <w:tcPr>
            <w:tcW w:w="6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Corporate and Other</w:t>
            </w:r>
          </w:p>
        </w:tc>
        <w:tc>
          <w:tcPr>
            <w:tcW w:w="3920" w:type="dxa"/>
            <w:vAlign w:val="bottom"/>
          </w:tcPr>
          <w:p>
            <w:pPr>
              <w:jc w:val="right"/>
              <w:ind w:right="750"/>
              <w:spacing w:after="0"/>
              <w:rPr>
                <w:sz w:val="20"/>
                <w:szCs w:val="20"/>
                <w:color w:val="auto"/>
              </w:rPr>
            </w:pPr>
            <w:r>
              <w:rPr>
                <w:rFonts w:ascii="Arial" w:cs="Arial" w:eastAsia="Arial" w:hAnsi="Arial"/>
                <w:sz w:val="18"/>
                <w:szCs w:val="18"/>
                <w:color w:val="auto"/>
              </w:rPr>
              <w:t>(2.9)</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14.3</w:t>
            </w:r>
          </w:p>
        </w:tc>
      </w:tr>
      <w:tr>
        <w:trPr>
          <w:trHeight w:val="27"/>
        </w:trPr>
        <w:tc>
          <w:tcPr>
            <w:tcW w:w="6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3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$66.3</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$70.5</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3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$1.28</w:t>
            </w:r>
          </w:p>
        </w:tc>
        <w:tc>
          <w:tcPr>
            <w:tcW w:w="12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$1.37</w:t>
            </w:r>
          </w:p>
        </w:tc>
      </w:tr>
      <w:tr>
        <w:trPr>
          <w:trHeight w:val="27"/>
        </w:trPr>
        <w:tc>
          <w:tcPr>
            <w:tcW w:w="6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588"/>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Statistical Data</w:t>
            </w:r>
          </w:p>
        </w:tc>
        <w:tc>
          <w:tcPr>
            <w:tcW w:w="39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6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9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39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600"/>
              <w:spacing w:after="0"/>
              <w:rPr>
                <w:sz w:val="20"/>
                <w:szCs w:val="20"/>
                <w:color w:val="auto"/>
              </w:rPr>
            </w:pPr>
            <w:r>
              <w:rPr>
                <w:rFonts w:ascii="Arial" w:cs="Arial" w:eastAsia="Arial" w:hAnsi="Arial"/>
                <w:sz w:val="18"/>
                <w:szCs w:val="18"/>
                <w:color w:val="auto"/>
              </w:rPr>
              <w:t>High</w:t>
            </w:r>
          </w:p>
        </w:tc>
        <w:tc>
          <w:tcPr>
            <w:tcW w:w="3920" w:type="dxa"/>
            <w:vAlign w:val="bottom"/>
          </w:tcPr>
          <w:p>
            <w:pPr>
              <w:jc w:val="right"/>
              <w:ind w:right="550"/>
              <w:spacing w:after="0"/>
              <w:rPr>
                <w:sz w:val="20"/>
                <w:szCs w:val="20"/>
                <w:color w:val="auto"/>
              </w:rPr>
            </w:pPr>
            <w:r>
              <w:rPr>
                <w:rFonts w:ascii="Arial" w:cs="Arial" w:eastAsia="Arial" w:hAnsi="Arial"/>
                <w:sz w:val="18"/>
                <w:szCs w:val="18"/>
                <w:color w:val="auto"/>
              </w:rPr>
              <w:t>$84.71</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$84.26</w:t>
            </w:r>
          </w:p>
        </w:tc>
      </w:tr>
      <w:tr>
        <w:trPr>
          <w:trHeight w:val="27"/>
        </w:trPr>
        <w:tc>
          <w:tcPr>
            <w:tcW w:w="6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39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$50.01</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$72.50</w:t>
            </w:r>
          </w:p>
        </w:tc>
      </w:tr>
      <w:tr>
        <w:trPr>
          <w:trHeight w:val="243"/>
        </w:trPr>
        <w:tc>
          <w:tcPr>
            <w:tcW w:w="6120" w:type="dxa"/>
            <w:vAlign w:val="bottom"/>
          </w:tcPr>
          <w:p>
            <w:pPr>
              <w:ind w:left="600"/>
              <w:spacing w:after="0"/>
              <w:rPr>
                <w:sz w:val="20"/>
                <w:szCs w:val="20"/>
                <w:color w:val="auto"/>
              </w:rPr>
            </w:pPr>
            <w:r>
              <w:rPr>
                <w:rFonts w:ascii="Arial" w:cs="Arial" w:eastAsia="Arial" w:hAnsi="Arial"/>
                <w:sz w:val="18"/>
                <w:szCs w:val="18"/>
                <w:color w:val="auto"/>
              </w:rPr>
              <w:t>Close</w:t>
            </w:r>
          </w:p>
        </w:tc>
        <w:tc>
          <w:tcPr>
            <w:tcW w:w="3920" w:type="dxa"/>
            <w:vAlign w:val="bottom"/>
          </w:tcPr>
          <w:p>
            <w:pPr>
              <w:jc w:val="right"/>
              <w:ind w:right="550"/>
              <w:spacing w:after="0"/>
              <w:rPr>
                <w:sz w:val="20"/>
                <w:szCs w:val="20"/>
                <w:color w:val="auto"/>
              </w:rPr>
            </w:pPr>
            <w:r>
              <w:rPr>
                <w:rFonts w:ascii="Arial" w:cs="Arial" w:eastAsia="Arial" w:hAnsi="Arial"/>
                <w:sz w:val="18"/>
                <w:szCs w:val="18"/>
                <w:color w:val="auto"/>
              </w:rPr>
              <w:t>$60.68</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$82.23</w:t>
            </w:r>
          </w:p>
        </w:tc>
      </w:tr>
      <w:tr>
        <w:trPr>
          <w:trHeight w:val="27"/>
        </w:trPr>
        <w:tc>
          <w:tcPr>
            <w:tcW w:w="6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39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$43.85</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$42.59</w:t>
            </w:r>
          </w:p>
        </w:tc>
      </w:tr>
      <w:tr>
        <w:trPr>
          <w:trHeight w:val="58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Kilowatt-hours Sold</w:t>
            </w:r>
          </w:p>
        </w:tc>
        <w:tc>
          <w:tcPr>
            <w:tcW w:w="39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
        </w:trPr>
        <w:tc>
          <w:tcPr>
            <w:tcW w:w="6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color w:val="auto"/>
              </w:rPr>
              <w:t>Millions</w:t>
            </w:r>
          </w:p>
        </w:tc>
        <w:tc>
          <w:tcPr>
            <w:tcW w:w="39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39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39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39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321</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349</w:t>
            </w:r>
          </w:p>
        </w:tc>
      </w:tr>
      <w:tr>
        <w:trPr>
          <w:trHeight w:val="243"/>
        </w:trPr>
        <w:tc>
          <w:tcPr>
            <w:tcW w:w="612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3920" w:type="dxa"/>
            <w:vAlign w:val="bottom"/>
          </w:tcPr>
          <w:p>
            <w:pPr>
              <w:jc w:val="right"/>
              <w:ind w:right="550"/>
              <w:spacing w:after="0"/>
              <w:rPr>
                <w:sz w:val="20"/>
                <w:szCs w:val="20"/>
                <w:color w:val="auto"/>
              </w:rPr>
            </w:pPr>
            <w:r>
              <w:rPr>
                <w:rFonts w:ascii="Arial" w:cs="Arial" w:eastAsia="Arial" w:hAnsi="Arial"/>
                <w:sz w:val="18"/>
                <w:szCs w:val="18"/>
                <w:color w:val="auto"/>
              </w:rPr>
              <w:t>352</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366</w:t>
            </w:r>
          </w:p>
        </w:tc>
      </w:tr>
      <w:tr>
        <w:trPr>
          <w:trHeight w:val="27"/>
        </w:trPr>
        <w:tc>
          <w:tcPr>
            <w:tcW w:w="6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Industrial</w:t>
            </w:r>
          </w:p>
        </w:tc>
        <w:tc>
          <w:tcPr>
            <w:tcW w:w="39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1,902</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1,814</w:t>
            </w:r>
          </w:p>
        </w:tc>
      </w:tr>
      <w:tr>
        <w:trPr>
          <w:trHeight w:val="243"/>
        </w:trPr>
        <w:tc>
          <w:tcPr>
            <w:tcW w:w="6120" w:type="dxa"/>
            <w:vAlign w:val="bottom"/>
          </w:tcPr>
          <w:p>
            <w:pPr>
              <w:ind w:left="1040"/>
              <w:spacing w:after="0"/>
              <w:rPr>
                <w:sz w:val="20"/>
                <w:szCs w:val="20"/>
                <w:color w:val="auto"/>
              </w:rPr>
            </w:pPr>
            <w:r>
              <w:rPr>
                <w:rFonts w:ascii="Arial" w:cs="Arial" w:eastAsia="Arial" w:hAnsi="Arial"/>
                <w:sz w:val="18"/>
                <w:szCs w:val="18"/>
                <w:color w:val="auto"/>
              </w:rPr>
              <w:t>Municipal</w:t>
            </w:r>
          </w:p>
        </w:tc>
        <w:tc>
          <w:tcPr>
            <w:tcW w:w="3920" w:type="dxa"/>
            <w:vAlign w:val="bottom"/>
          </w:tcPr>
          <w:p>
            <w:pPr>
              <w:jc w:val="right"/>
              <w:ind w:right="550"/>
              <w:spacing w:after="0"/>
              <w:rPr>
                <w:sz w:val="20"/>
                <w:szCs w:val="20"/>
                <w:color w:val="auto"/>
              </w:rPr>
            </w:pPr>
            <w:r>
              <w:rPr>
                <w:rFonts w:ascii="Arial" w:cs="Arial" w:eastAsia="Arial" w:hAnsi="Arial"/>
                <w:sz w:val="18"/>
                <w:szCs w:val="18"/>
                <w:color w:val="auto"/>
              </w:rPr>
              <w:t>156</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203</w:t>
            </w:r>
          </w:p>
        </w:tc>
      </w:tr>
      <w:tr>
        <w:trPr>
          <w:trHeight w:val="27"/>
        </w:trPr>
        <w:tc>
          <w:tcPr>
            <w:tcW w:w="6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39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2,731</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2,732</w:t>
            </w:r>
          </w:p>
        </w:tc>
      </w:tr>
      <w:tr>
        <w:trPr>
          <w:trHeight w:val="243"/>
        </w:trPr>
        <w:tc>
          <w:tcPr>
            <w:tcW w:w="612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3920" w:type="dxa"/>
            <w:vAlign w:val="bottom"/>
          </w:tcPr>
          <w:p>
            <w:pPr>
              <w:jc w:val="right"/>
              <w:ind w:right="550"/>
              <w:spacing w:after="0"/>
              <w:rPr>
                <w:sz w:val="20"/>
                <w:szCs w:val="20"/>
                <w:color w:val="auto"/>
              </w:rPr>
            </w:pPr>
            <w:r>
              <w:rPr>
                <w:rFonts w:ascii="Arial" w:cs="Arial" w:eastAsia="Arial" w:hAnsi="Arial"/>
                <w:sz w:val="18"/>
                <w:szCs w:val="18"/>
                <w:color w:val="auto"/>
              </w:rPr>
              <w:t>822</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822</w:t>
            </w:r>
          </w:p>
        </w:tc>
      </w:tr>
      <w:tr>
        <w:trPr>
          <w:trHeight w:val="27"/>
        </w:trPr>
        <w:tc>
          <w:tcPr>
            <w:tcW w:w="6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 Kilowatt-hours Sold</w:t>
            </w:r>
          </w:p>
        </w:tc>
        <w:tc>
          <w:tcPr>
            <w:tcW w:w="39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3,553</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3,554</w:t>
            </w:r>
          </w:p>
        </w:tc>
      </w:tr>
      <w:tr>
        <w:trPr>
          <w:trHeight w:val="588"/>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39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
        </w:trPr>
        <w:tc>
          <w:tcPr>
            <w:tcW w:w="6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color w:val="auto"/>
              </w:rPr>
              <w:t>Millions</w:t>
            </w:r>
          </w:p>
        </w:tc>
        <w:tc>
          <w:tcPr>
            <w:tcW w:w="39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39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600"/>
              <w:spacing w:after="0"/>
              <w:rPr>
                <w:sz w:val="20"/>
                <w:szCs w:val="20"/>
                <w:color w:val="auto"/>
              </w:rPr>
            </w:pPr>
            <w:r>
              <w:rPr>
                <w:rFonts w:ascii="Arial" w:cs="Arial" w:eastAsia="Arial" w:hAnsi="Arial"/>
                <w:sz w:val="18"/>
                <w:szCs w:val="18"/>
                <w:color w:val="auto"/>
              </w:rPr>
              <w:t>Retail and Municipal Electric Revenue</w:t>
            </w:r>
          </w:p>
        </w:tc>
        <w:tc>
          <w:tcPr>
            <w:tcW w:w="39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39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$36.4</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$39.7</w:t>
            </w:r>
          </w:p>
        </w:tc>
      </w:tr>
      <w:tr>
        <w:trPr>
          <w:trHeight w:val="243"/>
        </w:trPr>
        <w:tc>
          <w:tcPr>
            <w:tcW w:w="612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3920" w:type="dxa"/>
            <w:vAlign w:val="bottom"/>
          </w:tcPr>
          <w:p>
            <w:pPr>
              <w:jc w:val="right"/>
              <w:ind w:right="550"/>
              <w:spacing w:after="0"/>
              <w:rPr>
                <w:sz w:val="20"/>
                <w:szCs w:val="20"/>
                <w:color w:val="auto"/>
              </w:rPr>
            </w:pPr>
            <w:r>
              <w:rPr>
                <w:rFonts w:ascii="Arial" w:cs="Arial" w:eastAsia="Arial" w:hAnsi="Arial"/>
                <w:sz w:val="18"/>
                <w:szCs w:val="18"/>
                <w:color w:val="auto"/>
              </w:rPr>
              <w:t>35.3</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36.5</w:t>
            </w:r>
          </w:p>
        </w:tc>
      </w:tr>
      <w:tr>
        <w:trPr>
          <w:trHeight w:val="27"/>
        </w:trPr>
        <w:tc>
          <w:tcPr>
            <w:tcW w:w="6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Industrial</w:t>
            </w:r>
          </w:p>
        </w:tc>
        <w:tc>
          <w:tcPr>
            <w:tcW w:w="39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118.0</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120.6</w:t>
            </w:r>
          </w:p>
        </w:tc>
      </w:tr>
      <w:tr>
        <w:trPr>
          <w:trHeight w:val="243"/>
        </w:trPr>
        <w:tc>
          <w:tcPr>
            <w:tcW w:w="6120" w:type="dxa"/>
            <w:vAlign w:val="bottom"/>
          </w:tcPr>
          <w:p>
            <w:pPr>
              <w:ind w:left="1040"/>
              <w:spacing w:after="0"/>
              <w:rPr>
                <w:sz w:val="20"/>
                <w:szCs w:val="20"/>
                <w:color w:val="auto"/>
              </w:rPr>
            </w:pPr>
            <w:r>
              <w:rPr>
                <w:rFonts w:ascii="Arial" w:cs="Arial" w:eastAsia="Arial" w:hAnsi="Arial"/>
                <w:sz w:val="18"/>
                <w:szCs w:val="18"/>
                <w:color w:val="auto"/>
              </w:rPr>
              <w:t>Municipal</w:t>
            </w:r>
          </w:p>
        </w:tc>
        <w:tc>
          <w:tcPr>
            <w:tcW w:w="3920" w:type="dxa"/>
            <w:vAlign w:val="bottom"/>
          </w:tcPr>
          <w:p>
            <w:pPr>
              <w:jc w:val="right"/>
              <w:ind w:right="550"/>
              <w:spacing w:after="0"/>
              <w:rPr>
                <w:sz w:val="20"/>
                <w:szCs w:val="20"/>
                <w:color w:val="auto"/>
              </w:rPr>
            </w:pPr>
            <w:r>
              <w:rPr>
                <w:rFonts w:ascii="Arial" w:cs="Arial" w:eastAsia="Arial" w:hAnsi="Arial"/>
                <w:sz w:val="18"/>
                <w:szCs w:val="18"/>
                <w:color w:val="auto"/>
              </w:rPr>
              <w:t>10.3</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15.4</w:t>
            </w:r>
          </w:p>
        </w:tc>
      </w:tr>
      <w:tr>
        <w:trPr>
          <w:trHeight w:val="27"/>
        </w:trPr>
        <w:tc>
          <w:tcPr>
            <w:tcW w:w="6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 Electric Revenue</w:t>
            </w:r>
          </w:p>
        </w:tc>
        <w:tc>
          <w:tcPr>
            <w:tcW w:w="39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200.0</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212.2</w:t>
            </w:r>
          </w:p>
        </w:tc>
      </w:tr>
      <w:tr>
        <w:trPr>
          <w:trHeight w:val="243"/>
        </w:trPr>
        <w:tc>
          <w:tcPr>
            <w:tcW w:w="612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3920" w:type="dxa"/>
            <w:vAlign w:val="bottom"/>
          </w:tcPr>
          <w:p>
            <w:pPr>
              <w:jc w:val="right"/>
              <w:ind w:right="550"/>
              <w:spacing w:after="0"/>
              <w:rPr>
                <w:sz w:val="20"/>
                <w:szCs w:val="20"/>
                <w:color w:val="auto"/>
              </w:rPr>
            </w:pPr>
            <w:r>
              <w:rPr>
                <w:rFonts w:ascii="Arial" w:cs="Arial" w:eastAsia="Arial" w:hAnsi="Arial"/>
                <w:sz w:val="18"/>
                <w:szCs w:val="18"/>
                <w:color w:val="auto"/>
              </w:rPr>
              <w:t>38.3</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39.4</w:t>
            </w:r>
          </w:p>
        </w:tc>
      </w:tr>
      <w:tr>
        <w:trPr>
          <w:trHeight w:val="27"/>
        </w:trPr>
        <w:tc>
          <w:tcPr>
            <w:tcW w:w="61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6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(Includes Water and Gas Revenue)</w:t>
            </w:r>
          </w:p>
        </w:tc>
        <w:tc>
          <w:tcPr>
            <w:tcW w:w="39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27.0</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30.6</w:t>
            </w:r>
          </w:p>
        </w:tc>
      </w:tr>
      <w:tr>
        <w:trPr>
          <w:trHeight w:val="236"/>
        </w:trPr>
        <w:tc>
          <w:tcPr>
            <w:tcW w:w="61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392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$265.3</w:t>
            </w:r>
          </w:p>
        </w:tc>
        <w:tc>
          <w:tcPr>
            <w:tcW w:w="12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$282.2</w:t>
            </w:r>
          </w:p>
        </w:tc>
      </w:tr>
      <w:tr>
        <w:trPr>
          <w:trHeight w:val="27"/>
        </w:trPr>
        <w:tc>
          <w:tcPr>
            <w:tcW w:w="6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ind w:right="160"/>
        <w:spacing w:after="0" w:line="348"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1)"/>
      <w:numFmt w:val="lowerLetter"/>
      <w:start w:val="1"/>
    </w:lvl>
  </w:abstractNum>
  <w:abstractNum w:abstractNumId="4">
    <w:nsid w:val="5F5E7FD0"/>
    <w:multiLevelType w:val="hybridMultilevel"/>
    <w:lvl w:ilvl="0">
      <w:lvlJc w:val="left"/>
      <w:lvlText w:val="(%1)"/>
      <w:numFmt w:val="lowerLetter"/>
      <w:start w:val="1"/>
    </w:lvl>
  </w:abstractNum>
  <w:abstractNum w:abstractNumId="5">
    <w:nsid w:val="98A3148"/>
    <w:multiLevelType w:val="hybridMultilevel"/>
    <w:lvl w:ilvl="0">
      <w:lvlJc w:val="left"/>
      <w:lvlText w:val="(%1)"/>
      <w:numFmt w:val="lowerLetter"/>
      <w:start w:val="1"/>
    </w:lvl>
  </w:abstractNum>
  <w:abstractNum w:abstractNumId="6">
    <w:nsid w:val="799D0247"/>
    <w:multiLevelType w:val="hybridMultilevel"/>
    <w:lvl w:ilvl="0">
      <w:lvlJc w:val="left"/>
      <w:lvlText w:val="(%1)"/>
      <w:numFmt w:val="lowerLetter"/>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1)"/>
      <w:numFmt w:val="lowerLetter"/>
      <w:start w:val="1"/>
    </w:lvl>
  </w:abstractNum>
  <w:abstractNum w:abstractNumId="9">
    <w:nsid w:val="168E121F"/>
    <w:multiLevelType w:val="hybridMultilevel"/>
    <w:lvl w:ilvl="0">
      <w:lvlJc w:val="left"/>
      <w:lvlText w:val="(%1)"/>
      <w:numFmt w:val="lowerLetter"/>
      <w:start w:val="1"/>
    </w:lvl>
  </w:abstractNum>
  <w:abstractNum w:abstractNumId="10">
    <w:nsid w:val="1EBA5D23"/>
    <w:multiLevelType w:val="hybridMultilevel"/>
    <w:lvl w:ilvl="0">
      <w:lvlJc w:val="left"/>
      <w:lvlText w:val="(%1)"/>
      <w:numFmt w:val="lowerLetter"/>
      <w:start w:val="1"/>
    </w:lvl>
  </w:abstractNum>
  <w:abstractNum w:abstractNumId="11">
    <w:nsid w:val="661E3F1E"/>
    <w:multiLevelType w:val="hybridMultilevel"/>
    <w:lvl w:ilvl="0">
      <w:lvlJc w:val="left"/>
      <w:lvlText w:val="3"/>
      <w:numFmt w:val="bullet"/>
      <w:start w:val="1"/>
    </w:lvl>
  </w:abstractNum>
  <w:abstractNum w:abstractNumId="12">
    <w:nsid w:val="5DC79EA8"/>
    <w:multiLevelType w:val="hybridMultilevel"/>
    <w:lvl w:ilvl="0">
      <w:lvlJc w:val="left"/>
      <w:lvlText w:val="4"/>
      <w:numFmt w:val="bullet"/>
      <w:start w:val="1"/>
    </w:lvl>
  </w:abstractNum>
  <w:abstractNum w:abstractNumId="13">
    <w:nsid w:val="540A471C"/>
    <w:multiLevelType w:val="hybridMultilevel"/>
    <w:lvl w:ilvl="0">
      <w:lvlJc w:val="left"/>
      <w:lvlText w:val="%1"/>
      <w:numFmt w:val="decimal"/>
      <w:start w:val="32"/>
    </w:lvl>
  </w:abstractNum>
  <w:abstractNum w:abstractNumId="14">
    <w:nsid w:val="7BD3EE7B"/>
    <w:multiLevelType w:val="hybridMultilevel"/>
    <w:lvl w:ilvl="0">
      <w:lvlJc w:val="left"/>
      <w:lvlText w:val="%1"/>
      <w:numFmt w:val="decimal"/>
      <w:start w:val="99"/>
    </w:lvl>
  </w:abstractNum>
  <w:abstractNum w:abstractNumId="15">
    <w:nsid w:val="51D9C564"/>
    <w:multiLevelType w:val="hybridMultilevel"/>
    <w:lvl w:ilvl="0">
      <w:lvlJc w:val="left"/>
      <w:lvlText w:val="(%1)"/>
      <w:numFmt w:val="lowerLetter"/>
      <w:start w:val="1"/>
    </w:lvl>
  </w:abstractNum>
  <w:abstractNum w:abstractNumId="16">
    <w:nsid w:val="613EFDC5"/>
    <w:multiLevelType w:val="hybridMultilevel"/>
    <w:lvl w:ilvl="0">
      <w:lvlJc w:val="left"/>
      <w:lvlText w:val="(%1)"/>
      <w:numFmt w:val="lowerRoman"/>
      <w:start w:val="1"/>
    </w:lvl>
  </w:abstractNum>
  <w:abstractNum w:abstractNumId="17">
    <w:nsid w:val="BF72B14"/>
    <w:multiLevelType w:val="hybridMultilevel"/>
    <w:lvl w:ilvl="0">
      <w:lvlJc w:val="left"/>
      <w:lvlText w:val="(%1)"/>
      <w:numFmt w:val="lowerLetter"/>
      <w:start w:val="2"/>
    </w:lvl>
    <w:lvl w:ilvl="1">
      <w:lvlJc w:val="left"/>
      <w:lvlText w:val="(%2)"/>
      <w:numFmt w:val="lowerRoman"/>
      <w:start w:val="1"/>
    </w:lvl>
  </w:abstractNum>
  <w:abstractNum w:abstractNumId="18">
    <w:nsid w:val="11447B73"/>
    <w:multiLevelType w:val="hybridMultilevel"/>
    <w:lvl w:ilvl="0">
      <w:lvlJc w:val="left"/>
      <w:lvlText w:val="(%1)"/>
      <w:numFmt w:val="lowerRoman"/>
      <w:start w:val="1"/>
    </w:lvl>
  </w:abstractNum>
  <w:abstractNum w:abstractNumId="19">
    <w:nsid w:val="42963E5A"/>
    <w:multiLevelType w:val="hybridMultilevel"/>
    <w:lvl w:ilvl="0">
      <w:lvlJc w:val="left"/>
      <w:lvlText w:val="(%1)"/>
      <w:numFmt w:val="lowerLetter"/>
      <w:start w:val="9"/>
    </w:lvl>
  </w:abstractNum>
  <w:abstractNum w:abstractNumId="20">
    <w:nsid w:val="A0382C5"/>
    <w:multiLevelType w:val="hybridMultilevel"/>
    <w:lvl w:ilvl="0">
      <w:lvlJc w:val="left"/>
      <w:lvlText w:val="(%1)"/>
      <w:numFmt w:val="lowerLetter"/>
      <w:start w:val="2"/>
    </w:lvl>
  </w:abstractNum>
  <w:abstractNum w:abstractNumId="21">
    <w:nsid w:val="8F2B15E"/>
    <w:multiLevelType w:val="hybridMultilevel"/>
    <w:lvl w:ilvl="0">
      <w:lvlJc w:val="left"/>
      <w:lvlText w:val="(%1)"/>
      <w:numFmt w:val="lowerRoman"/>
      <w:start w:val="1"/>
    </w:lvl>
  </w:abstractNum>
  <w:abstractNum w:abstractNumId="22">
    <w:nsid w:val="1A32234B"/>
    <w:multiLevelType w:val="hybridMultilevel"/>
    <w:lvl w:ilvl="0">
      <w:lvlJc w:val="left"/>
      <w:lvlText w:val="(%1)"/>
      <w:numFmt w:val="lowerLetter"/>
      <w:start w:val="1"/>
    </w:lvl>
  </w:abstractNum>
  <w:abstractNum w:abstractNumId="23">
    <w:nsid w:val="3B0FD379"/>
    <w:multiLevelType w:val="hybridMultilevel"/>
    <w:lvl w:ilvl="0">
      <w:lvlJc w:val="left"/>
      <w:lvlText w:val="(%1)"/>
      <w:numFmt w:val="lowerLetter"/>
      <w:start w:val="7"/>
    </w:lvl>
  </w:abstractNum>
  <w:abstractNum w:abstractNumId="24">
    <w:nsid w:val="68EB2F63"/>
    <w:multiLevelType w:val="hybridMultilevel"/>
    <w:lvl w:ilvl="0">
      <w:lvlJc w:val="left"/>
      <w:lvlText w:val="(%1)"/>
      <w:numFmt w:val="lowerLetter"/>
      <w:start w:val="18"/>
    </w:lvl>
  </w:abstractNum>
  <w:abstractNum w:abstractNumId="25">
    <w:nsid w:val="4962813B"/>
    <w:multiLevelType w:val="hybridMultilevel"/>
    <w:lvl w:ilvl="0">
      <w:lvlJc w:val="left"/>
      <w:lvlText w:val="(%1)"/>
      <w:numFmt w:val="lowerLetter"/>
      <w:start w:val="1"/>
    </w:lvl>
  </w:abstractNum>
  <w:abstractNum w:abstractNumId="26">
    <w:nsid w:val="60B6DF70"/>
    <w:multiLevelType w:val="hybridMultilevel"/>
    <w:lvl w:ilvl="0">
      <w:lvlJc w:val="left"/>
      <w:lvlText w:val="(%1)"/>
      <w:numFmt w:val="lowerLetter"/>
      <w:start w:val="1"/>
    </w:lvl>
  </w:abstractNum>
  <w:abstractNum w:abstractNumId="27">
    <w:nsid w:val="6A5EE64"/>
    <w:multiLevelType w:val="hybridMultilevel"/>
    <w:lvl w:ilvl="0">
      <w:lvlJc w:val="left"/>
      <w:lvlText w:val="(%1)"/>
      <w:numFmt w:val="lowerLetter"/>
      <w:start w:val="1"/>
    </w:lvl>
  </w:abstractNum>
  <w:abstractNum w:abstractNumId="28">
    <w:nsid w:val="14330624"/>
    <w:multiLevelType w:val="hybridMultilevel"/>
    <w:lvl w:ilvl="0">
      <w:lvlJc w:val="left"/>
      <w:lvlText w:val="(%1)"/>
      <w:numFmt w:val="lowerLetter"/>
      <w:start w:val="4"/>
    </w:lvl>
  </w:abstractNum>
  <w:abstractNum w:abstractNumId="29">
    <w:nsid w:val="7FFFCA11"/>
    <w:multiLevelType w:val="hybridMultilevel"/>
    <w:lvl w:ilvl="0">
      <w:lvlJc w:val="left"/>
      <w:lvlText w:val="(%1)"/>
      <w:numFmt w:val="lowerLetter"/>
      <w:start w:val="1"/>
    </w:lvl>
    <w:lvl w:ilvl="1">
      <w:lvlJc w:val="left"/>
      <w:lvlText w:val="(%2)"/>
      <w:numFmt w:val="lowerRoman"/>
      <w:start w:val="1"/>
    </w:lvl>
  </w:abstractNum>
  <w:abstractNum w:abstractNumId="30">
    <w:nsid w:val="1A27709E"/>
    <w:multiLevelType w:val="hybridMultilevel"/>
    <w:lvl w:ilvl="0">
      <w:lvlJc w:val="left"/>
      <w:lvlText w:val="(%1)"/>
      <w:numFmt w:val="lowerLetter"/>
      <w:start w:val="1"/>
    </w:lvl>
  </w:abstractNum>
  <w:abstractNum w:abstractNumId="31">
    <w:nsid w:val="71EA1109"/>
    <w:multiLevelType w:val="hybridMultilevel"/>
    <w:lvl w:ilvl="0">
      <w:lvlJc w:val="left"/>
      <w:lvlText w:val="%1"/>
      <w:numFmt w:val="lowerLetter"/>
      <w:start w:val="1"/>
    </w:lvl>
    <w:lvl w:ilvl="1">
      <w:lvlJc w:val="left"/>
      <w:lvlText w:val="(%2)"/>
      <w:numFmt w:val="lowerLetter"/>
      <w:start w:val="1"/>
    </w:lvl>
  </w:abstractNum>
  <w:abstractNum w:abstractNumId="32">
    <w:nsid w:val="100F59DC"/>
    <w:multiLevelType w:val="hybridMultilevel"/>
    <w:lvl w:ilvl="0">
      <w:lvlJc w:val="left"/>
      <w:lvlText w:val="(%1)"/>
      <w:numFmt w:val="lowerLetter"/>
      <w:start w:val="9"/>
    </w:lvl>
    <w:lvl w:ilvl="1">
      <w:lvlJc w:val="left"/>
      <w:lvlText w:val="(%2)"/>
      <w:numFmt w:val="lowerLetter"/>
      <w:start w:val="3"/>
    </w:lvl>
  </w:abstractNum>
  <w:abstractNum w:abstractNumId="33">
    <w:nsid w:val="7FB7E0AA"/>
    <w:multiLevelType w:val="hybridMultilevel"/>
    <w:lvl w:ilvl="0">
      <w:lvlJc w:val="left"/>
      <w:lvlText w:val="(%1)"/>
      <w:numFmt w:val="lowerLetter"/>
      <w:start w:val="1"/>
    </w:lvl>
  </w:abstractNum>
  <w:abstractNum w:abstractNumId="34">
    <w:nsid w:val="6EB5BD4"/>
    <w:multiLevelType w:val="hybridMultilevel"/>
    <w:lvl w:ilvl="0">
      <w:lvlJc w:val="left"/>
      <w:lvlText w:val="(%1)"/>
      <w:numFmt w:val="lowerLetter"/>
      <w:start w:val="4"/>
    </w:lvl>
  </w:abstractNum>
  <w:abstractNum w:abstractNumId="35">
    <w:nsid w:val="6F6DD9AC"/>
    <w:multiLevelType w:val="hybridMultilevel"/>
    <w:lvl w:ilvl="0">
      <w:lvlJc w:val="left"/>
      <w:lvlText w:val="(%1)"/>
      <w:numFmt w:val="lowerLetter"/>
      <w:start w:val="1"/>
    </w:lvl>
  </w:abstractNum>
  <w:abstractNum w:abstractNumId="36">
    <w:nsid w:val="94211F2"/>
    <w:multiLevelType w:val="hybridMultilevel"/>
    <w:lvl w:ilvl="0">
      <w:lvlJc w:val="left"/>
      <w:lvlText w:val="(%1)"/>
      <w:numFmt w:val="lowerLetter"/>
      <w:start w:val="1"/>
    </w:lvl>
  </w:abstractNum>
  <w:abstractNum w:abstractNumId="37">
    <w:nsid w:val="885E1B"/>
    <w:multiLevelType w:val="hybridMultilevel"/>
    <w:lvl w:ilvl="0">
      <w:lvlJc w:val="left"/>
      <w:lvlText w:val="(%1)"/>
      <w:numFmt w:val="lowerLetter"/>
      <w:start w:val="2"/>
    </w:lvl>
  </w:abstractNum>
  <w:abstractNum w:abstractNumId="38">
    <w:nsid w:val="76272110"/>
    <w:multiLevelType w:val="hybridMultilevel"/>
    <w:lvl w:ilvl="0">
      <w:lvlJc w:val="left"/>
      <w:lvlText w:val="(%1)"/>
      <w:numFmt w:val="lowerLetter"/>
      <w:start w:val="5"/>
    </w:lvl>
  </w:abstractNum>
  <w:abstractNum w:abstractNumId="39">
    <w:nsid w:val="4C04A8AF"/>
    <w:multiLevelType w:val="hybridMultilevel"/>
    <w:lvl w:ilvl="0">
      <w:lvlJc w:val="left"/>
      <w:lvlText w:val="%1"/>
      <w:numFmt w:val="lowerLetter"/>
      <w:start w:val="1"/>
    </w:lvl>
    <w:lvl w:ilvl="1">
      <w:lvlJc w:val="left"/>
      <w:lvlText w:val="(%2)"/>
      <w:numFmt w:val="lowerLetter"/>
      <w:start w:val="1"/>
    </w:lvl>
  </w:abstractNum>
  <w:abstractNum w:abstractNumId="40">
    <w:nsid w:val="1716703B"/>
    <w:multiLevelType w:val="hybridMultilevel"/>
    <w:lvl w:ilvl="0">
      <w:lvlJc w:val="left"/>
      <w:lvlText w:val="(%1)"/>
      <w:numFmt w:val="lowerLetter"/>
      <w:start w:val="35"/>
    </w:lvl>
    <w:lvl w:ilvl="1">
      <w:lvlJc w:val="left"/>
      <w:lvlText w:val="%2"/>
      <w:numFmt w:val="lowerLetter"/>
      <w:start w:val="1"/>
    </w:lvl>
  </w:abstractNum>
  <w:abstractNum w:abstractNumId="41">
    <w:nsid w:val="14E17E33"/>
    <w:multiLevelType w:val="hybridMultilevel"/>
    <w:lvl w:ilvl="0">
      <w:lvlJc w:val="left"/>
      <w:lvlText w:val="(%1)"/>
      <w:numFmt w:val="lowerLetter"/>
      <w:start w:val="1"/>
    </w:lvl>
  </w:abstractNum>
  <w:abstractNum w:abstractNumId="42">
    <w:nsid w:val="3222E7CD"/>
    <w:multiLevelType w:val="hybridMultilevel"/>
    <w:lvl w:ilvl="0">
      <w:lvlJc w:val="left"/>
      <w:lvlText w:val="(%1)"/>
      <w:numFmt w:val="lowerLetter"/>
      <w:start w:val="3"/>
    </w:lvl>
    <w:lvl w:ilvl="1">
      <w:lvlJc w:val="left"/>
      <w:lvlText w:val="(%2)"/>
      <w:numFmt w:val="lowerRoman"/>
      <w:start w:val="1"/>
    </w:lvl>
  </w:abstractNum>
  <w:abstractNum w:abstractNumId="43">
    <w:nsid w:val="74DE0EE3"/>
    <w:multiLevelType w:val="hybridMultilevel"/>
    <w:lvl w:ilvl="0">
      <w:lvlJc w:val="left"/>
      <w:lvlText w:val="(%1)"/>
      <w:numFmt w:val="lowerLetter"/>
      <w:start w:val="5"/>
    </w:lvl>
    <w:lvl w:ilvl="1">
      <w:lvlJc w:val="left"/>
      <w:lvlText w:val="(%2)"/>
      <w:numFmt w:val="lowerRoman"/>
      <w:start w:val="1"/>
    </w:lvl>
  </w:abstractNum>
  <w:abstractNum w:abstractNumId="44">
    <w:nsid w:val="68EBC550"/>
    <w:multiLevelType w:val="hybridMultilevel"/>
    <w:lvl w:ilvl="0">
      <w:lvlJc w:val="left"/>
      <w:lvlText w:val="%1"/>
      <w:numFmt w:val="decimal"/>
      <w:start w:val="1"/>
    </w:lvl>
    <w:lvl w:ilvl="1">
      <w:lvlJc w:val="left"/>
      <w:lvlText w:val="(%2)"/>
      <w:numFmt w:val="lowerLetter"/>
      <w:start w:val="1"/>
    </w:lvl>
  </w:abstractNum>
  <w:abstractNum w:abstractNumId="45">
    <w:nsid w:val="2DF6D648"/>
    <w:multiLevelType w:val="hybridMultilevel"/>
    <w:lvl w:ilvl="0">
      <w:lvlJc w:val="left"/>
      <w:lvlText w:val="(%1)"/>
      <w:numFmt w:val="decimal"/>
      <w:start w:val="3"/>
    </w:lvl>
    <w:lvl w:ilvl="1">
      <w:lvlJc w:val="left"/>
      <w:lvlText w:val="(%2)"/>
      <w:numFmt w:val="lowerLetter"/>
      <w:start w:val="4"/>
    </w:lvl>
  </w:abstractNum>
  <w:abstractNum w:abstractNumId="46">
    <w:nsid w:val="46B7D447"/>
    <w:multiLevelType w:val="hybridMultilevel"/>
    <w:lvl w:ilvl="0">
      <w:lvlJc w:val="left"/>
      <w:lvlText w:val="(%1)"/>
      <w:numFmt w:val="lowerLetter"/>
      <w:start w:val="1"/>
    </w:lvl>
  </w:abstractNum>
  <w:abstractNum w:abstractNumId="47">
    <w:nsid w:val="4A2AC315"/>
    <w:multiLevelType w:val="hybridMultilevel"/>
    <w:lvl w:ilvl="0">
      <w:lvlJc w:val="left"/>
      <w:lvlText w:val="(%1)"/>
      <w:numFmt w:val="lowerLetter"/>
      <w:start w:val="2"/>
    </w:lvl>
    <w:lvl w:ilvl="1">
      <w:lvlJc w:val="left"/>
      <w:lvlText w:val="(%2)"/>
      <w:numFmt w:val="lowerRoman"/>
      <w:start w:val="1"/>
    </w:lvl>
  </w:abstractNum>
  <w:abstractNum w:abstractNumId="48">
    <w:nsid w:val="39EE015C"/>
    <w:multiLevelType w:val="hybridMultilevel"/>
    <w:lvl w:ilvl="0">
      <w:lvlJc w:val="left"/>
      <w:lvlText w:val="(%1)"/>
      <w:numFmt w:val="lowerLetter"/>
      <w:start w:val="4"/>
    </w:lvl>
  </w:abstractNum>
  <w:abstractNum w:abstractNumId="49">
    <w:nsid w:val="57FC4FBB"/>
    <w:multiLevelType w:val="hybridMultilevel"/>
    <w:lvl w:ilvl="0">
      <w:lvlJc w:val="left"/>
      <w:lvlText w:val="(%1)"/>
      <w:numFmt w:val="lowerLetter"/>
      <w:start w:val="1"/>
    </w:lvl>
  </w:abstractNum>
  <w:abstractNum w:abstractNumId="50">
    <w:nsid w:val="CC1016F"/>
    <w:multiLevelType w:val="hybridMultilevel"/>
    <w:lvl w:ilvl="0">
      <w:lvlJc w:val="left"/>
      <w:lvlText w:val="(%1)"/>
      <w:numFmt w:val="lowerLetter"/>
      <w:start w:val="2"/>
    </w:lvl>
  </w:abstractNum>
  <w:abstractNum w:abstractNumId="51">
    <w:nsid w:val="43F18422"/>
    <w:multiLevelType w:val="hybridMultilevel"/>
    <w:lvl w:ilvl="0">
      <w:lvlJc w:val="left"/>
      <w:lvlText w:val="(%1)"/>
      <w:numFmt w:val="lowerLetter"/>
      <w:start w:val="1"/>
    </w:lvl>
    <w:lvl w:ilvl="1">
      <w:lvlJc w:val="left"/>
      <w:lvlText w:val="(%2)"/>
      <w:numFmt w:val="lowerRoman"/>
      <w:start w:val="1"/>
    </w:lvl>
  </w:abstractNum>
  <w:abstractNum w:abstractNumId="52">
    <w:nsid w:val="60EF0119"/>
    <w:multiLevelType w:val="hybridMultilevel"/>
    <w:lvl w:ilvl="0">
      <w:lvlJc w:val="left"/>
      <w:lvlText w:val="(%1)"/>
      <w:numFmt w:val="lowerLetter"/>
      <w:start w:val="2"/>
    </w:lvl>
    <w:lvl w:ilvl="1">
      <w:lvlJc w:val="left"/>
      <w:lvlText w:val="(%2)"/>
      <w:numFmt w:val="lowerLetter"/>
      <w:start w:val="9"/>
    </w:lvl>
  </w:abstractNum>
  <w:abstractNum w:abstractNumId="53">
    <w:nsid w:val="26F324BA"/>
    <w:multiLevelType w:val="hybridMultilevel"/>
    <w:lvl w:ilvl="0">
      <w:lvlJc w:val="left"/>
      <w:lvlText w:val="(%1)"/>
      <w:numFmt w:val="lowerRoman"/>
      <w:start w:val="2"/>
    </w:lvl>
  </w:abstractNum>
  <w:abstractNum w:abstractNumId="54">
    <w:nsid w:val="7F01579B"/>
    <w:multiLevelType w:val="hybridMultilevel"/>
    <w:lvl w:ilvl="0">
      <w:lvlJc w:val="left"/>
      <w:lvlText w:val="(%1)"/>
      <w:numFmt w:val="decimal"/>
      <w:start w:val="3"/>
    </w:lvl>
    <w:lvl w:ilvl="1">
      <w:lvlJc w:val="left"/>
      <w:lvlText w:val="(%2)"/>
      <w:numFmt w:val="lowerLetter"/>
      <w:start w:val="3"/>
    </w:lvl>
  </w:abstractNum>
  <w:abstractNum w:abstractNumId="55">
    <w:nsid w:val="49DA307D"/>
    <w:multiLevelType w:val="hybridMultilevel"/>
    <w:lvl w:ilvl="0">
      <w:lvlJc w:val="left"/>
      <w:lvlText w:val="(%1)"/>
      <w:numFmt w:val="lowerLetter"/>
      <w:start w:val="1"/>
    </w:lvl>
    <w:lvl w:ilvl="1">
      <w:lvlJc w:val="left"/>
      <w:lvlText w:val="(%2)"/>
      <w:numFmt w:val="lowerRoman"/>
      <w:start w:val="1"/>
    </w:lvl>
  </w:abstractNum>
  <w:abstractNum w:abstractNumId="56">
    <w:nsid w:val="7055A5F5"/>
    <w:multiLevelType w:val="hybridMultilevel"/>
    <w:lvl w:ilvl="0">
      <w:lvlJc w:val="left"/>
      <w:lvlText w:val="(%1)"/>
      <w:numFmt w:val="lowerLetter"/>
      <w:start w:val="2"/>
    </w:lvl>
    <w:lvl w:ilvl="1">
      <w:lvlJc w:val="left"/>
      <w:lvlText w:val="(%2)"/>
      <w:numFmt w:val="lowerRoman"/>
      <w:start w:val="1"/>
    </w:lvl>
  </w:abstractNum>
  <w:abstractNum w:abstractNumId="57">
    <w:nsid w:val="5FB8370B"/>
    <w:multiLevelType w:val="hybridMultilevel"/>
    <w:lvl w:ilvl="0">
      <w:lvlJc w:val="left"/>
      <w:lvlText w:val="(%1)"/>
      <w:numFmt w:val="decimal"/>
      <w:start w:val="3"/>
    </w:lvl>
  </w:abstractNum>
  <w:abstractNum w:abstractNumId="58">
    <w:nsid w:val="50801EE1"/>
    <w:multiLevelType w:val="hybridMultilevel"/>
    <w:lvl w:ilvl="0">
      <w:lvlJc w:val="left"/>
      <w:lvlText w:val="(%1)"/>
      <w:numFmt w:val="lowerLetter"/>
      <w:start w:val="1"/>
    </w:lvl>
  </w:abstractNum>
  <w:abstractNum w:abstractNumId="59">
    <w:nsid w:val="488AC1A"/>
    <w:multiLevelType w:val="hybridMultilevel"/>
    <w:lvl w:ilvl="0">
      <w:lvlJc w:val="left"/>
      <w:lvlText w:val="(%1)"/>
      <w:numFmt w:val="lowerLetter"/>
      <w:start w:val="3"/>
    </w:lvl>
    <w:lvl w:ilvl="1">
      <w:lvlJc w:val="left"/>
      <w:lvlText w:val="(%2)"/>
      <w:numFmt w:val="lowerLetter"/>
      <w:start w:val="9"/>
    </w:lvl>
  </w:abstractNum>
  <w:abstractNum w:abstractNumId="60">
    <w:nsid w:val="5FB8011C"/>
    <w:multiLevelType w:val="hybridMultilevel"/>
    <w:lvl w:ilvl="0">
      <w:lvlJc w:val="left"/>
      <w:lvlText w:val="(%1)"/>
      <w:numFmt w:val="upperLetter"/>
      <w:start w:val="1"/>
    </w:lvl>
    <w:lvl w:ilvl="1">
      <w:lvlJc w:val="left"/>
      <w:lvlText w:val="%2."/>
      <w:numFmt w:val="decimal"/>
      <w:start w:val="1"/>
    </w:lvl>
  </w:abstractNum>
  <w:abstractNum w:abstractNumId="61">
    <w:nsid w:val="6AA78F7F"/>
    <w:multiLevelType w:val="hybridMultilevel"/>
    <w:lvl w:ilvl="0">
      <w:lvlJc w:val="left"/>
      <w:lvlText w:val="(%1)"/>
      <w:numFmt w:val="upperLetter"/>
      <w:start w:val="3"/>
    </w:lvl>
  </w:abstractNum>
  <w:abstractNum w:abstractNumId="62">
    <w:nsid w:val="7672BD23"/>
    <w:multiLevelType w:val="hybridMultilevel"/>
    <w:lvl w:ilvl="0">
      <w:lvlJc w:val="left"/>
      <w:lvlText w:val="(%1)"/>
      <w:numFmt w:val="lowerLetter"/>
      <w:start w:val="7"/>
    </w:lvl>
  </w:abstractNum>
  <w:abstractNum w:abstractNumId="63">
    <w:nsid w:val="6FC75AF8"/>
    <w:multiLevelType w:val="hybridMultilevel"/>
    <w:lvl w:ilvl="0">
      <w:lvlJc w:val="left"/>
      <w:lvlText w:val="(%1)"/>
      <w:numFmt w:val="lowerLetter"/>
      <w:start w:val="8"/>
    </w:lvl>
  </w:abstractNum>
  <w:abstractNum w:abstractNumId="64">
    <w:nsid w:val="6A5F7029"/>
    <w:multiLevelType w:val="hybridMultilevel"/>
    <w:lvl w:ilvl="0">
      <w:lvlJc w:val="left"/>
      <w:lvlText w:val="(%1)"/>
      <w:numFmt w:val="lowerLetter"/>
      <w:start w:val="1"/>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lowerLetter"/>
      <w:start w:val="1"/>
    </w:lvl>
  </w:abstractNum>
  <w:abstractNum w:abstractNumId="67">
    <w:nsid w:val="73A1821B"/>
    <w:multiLevelType w:val="hybridMultilevel"/>
    <w:lvl w:ilvl="0">
      <w:lvlJc w:val="left"/>
      <w:lvlText w:val="(%1)"/>
      <w:numFmt w:val="lowerLetter"/>
      <w:start w:val="1"/>
    </w:lvl>
  </w:abstractNum>
  <w:abstractNum w:abstractNumId="68">
    <w:nsid w:val="7DE67713"/>
    <w:multiLevelType w:val="hybridMultilevel"/>
    <w:lvl w:ilvl="0">
      <w:lvlJc w:val="left"/>
      <w:lvlText w:val="(%1)"/>
      <w:numFmt w:val="lowerLetter"/>
      <w:start w:val="2"/>
    </w:lvl>
  </w:abstractNum>
  <w:abstractNum w:abstractNumId="69">
    <w:nsid w:val="555C55B5"/>
    <w:multiLevelType w:val="hybridMultilevel"/>
    <w:lvl w:ilvl="0">
      <w:lvlJc w:val="left"/>
      <w:lvlText w:val="(%1)"/>
      <w:numFmt w:val="lowerLetter"/>
      <w:start w:val="1"/>
    </w:lvl>
  </w:abstractNum>
  <w:abstractNum w:abstractNumId="70">
    <w:nsid w:val="3FA62ACA"/>
    <w:multiLevelType w:val="hybridMultilevel"/>
    <w:lvl w:ilvl="0">
      <w:lvlJc w:val="left"/>
      <w:lvlText w:val="(%1)"/>
      <w:numFmt w:val="lowerLetter"/>
      <w:start w:val="1"/>
    </w:lvl>
  </w:abstractNum>
  <w:abstractNum w:abstractNumId="71">
    <w:nsid w:val="14FCE74E"/>
    <w:multiLevelType w:val="hybridMultilevel"/>
    <w:lvl w:ilvl="0">
      <w:lvlJc w:val="left"/>
      <w:lvlText w:val="(%1)"/>
      <w:numFmt w:val="lowerLetter"/>
      <w:start w:val="5"/>
    </w:lvl>
  </w:abstractNum>
  <w:abstractNum w:abstractNumId="72">
    <w:nsid w:val="6A3DD3E8"/>
    <w:multiLevelType w:val="hybridMultilevel"/>
    <w:lvl w:ilvl="0">
      <w:lvlJc w:val="left"/>
      <w:lvlText w:val="(%1)"/>
      <w:numFmt w:val="lowerLetter"/>
      <w:start w:val="1"/>
    </w:lvl>
  </w:abstractNum>
  <w:abstractNum w:abstractNumId="73">
    <w:nsid w:val="71C91298"/>
    <w:multiLevelType w:val="hybridMultilevel"/>
    <w:lvl w:ilvl="0">
      <w:lvlJc w:val="left"/>
      <w:lvlText w:val="(%1)"/>
      <w:numFmt w:val="lowerLetter"/>
      <w:start w:val="2"/>
    </w:lvl>
  </w:abstractNum>
  <w:abstractNum w:abstractNumId="74">
    <w:nsid w:val="9DAF632"/>
    <w:multiLevelType w:val="hybridMultilevel"/>
    <w:lvl w:ilvl="0">
      <w:lvlJc w:val="left"/>
      <w:lvlText w:val="(%1)"/>
      <w:numFmt w:val="lowerLetter"/>
      <w:start w:val="1"/>
    </w:lvl>
  </w:abstractNum>
  <w:abstractNum w:abstractNumId="75">
    <w:nsid w:val="53299938"/>
    <w:multiLevelType w:val="hybridMultilevel"/>
    <w:lvl w:ilvl="0">
      <w:lvlJc w:val="left"/>
      <w:lvlText w:val="(%1)"/>
      <w:numFmt w:val="lowerLetter"/>
      <w:start w:val="4"/>
    </w:lvl>
  </w:abstractNum>
  <w:abstractNum w:abstractNumId="76">
    <w:nsid w:val="1FBFE8E0"/>
    <w:multiLevelType w:val="hybridMultilevel"/>
    <w:lvl w:ilvl="0">
      <w:lvlJc w:val="left"/>
      <w:lvlText w:val="(%1)"/>
      <w:numFmt w:val="lowerLetter"/>
      <w:start w:val="1"/>
    </w:lvl>
  </w:abstractNum>
  <w:abstractNum w:abstractNumId="77">
    <w:nsid w:val="5092CA79"/>
    <w:multiLevelType w:val="hybridMultilevel"/>
    <w:lvl w:ilvl="0">
      <w:lvlJc w:val="left"/>
      <w:lvlText w:val="(%1)"/>
      <w:numFmt w:val="lowerLetter"/>
      <w:start w:val="1"/>
    </w:lvl>
  </w:abstractNum>
  <w:abstractNum w:abstractNumId="78">
    <w:nsid w:val="1D545C4D"/>
    <w:multiLevelType w:val="hybridMultilevel"/>
    <w:lvl w:ilvl="0">
      <w:lvlJc w:val="left"/>
      <w:lvlText w:val="(%1)"/>
      <w:numFmt w:val="lowerLetter"/>
      <w:start w:val="4"/>
    </w:lvl>
  </w:abstractNum>
  <w:abstractNum w:abstractNumId="79">
    <w:nsid w:val="59ADEA3D"/>
    <w:multiLevelType w:val="hybridMultilevel"/>
    <w:lvl w:ilvl="0">
      <w:lvlJc w:val="left"/>
      <w:lvlText w:val="(%1)"/>
      <w:numFmt w:val="lowerLetter"/>
      <w:start w:val="11"/>
    </w:lvl>
  </w:abstractNum>
  <w:abstractNum w:abstractNumId="80">
    <w:nsid w:val="288F1A34"/>
    <w:multiLevelType w:val="hybridMultilevel"/>
    <w:lvl w:ilvl="0">
      <w:lvlJc w:val="left"/>
      <w:lvlText w:val="(%1)"/>
      <w:numFmt w:val="lowerLetter"/>
      <w:start w:val="1"/>
    </w:lvl>
  </w:abstractNum>
  <w:abstractNum w:abstractNumId="81">
    <w:nsid w:val="2A155DBC"/>
    <w:multiLevelType w:val="hybridMultilevel"/>
    <w:lvl w:ilvl="0">
      <w:lvlJc w:val="left"/>
      <w:lvlText w:val="(%1)"/>
      <w:numFmt w:val="lowerLetter"/>
      <w:start w:val="1"/>
    </w:lvl>
  </w:abstractNum>
  <w:abstractNum w:abstractNumId="82">
    <w:nsid w:val="1D9F6E5F"/>
    <w:multiLevelType w:val="hybridMultilevel"/>
    <w:lvl w:ilvl="0">
      <w:lvlJc w:val="left"/>
      <w:lvlText w:val="(%1)"/>
      <w:numFmt w:val="lowerLetter"/>
      <w:start w:val="3"/>
    </w:lvl>
  </w:abstractNum>
  <w:abstractNum w:abstractNumId="83">
    <w:nsid w:val="97E1B4E"/>
    <w:multiLevelType w:val="hybridMultilevel"/>
    <w:lvl w:ilvl="0">
      <w:lvlJc w:val="left"/>
      <w:lvlText w:val="(%1)"/>
      <w:numFmt w:val="lowerLetter"/>
      <w:start w:val="10"/>
    </w:lvl>
  </w:abstractNum>
  <w:abstractNum w:abstractNumId="84">
    <w:nsid w:val="51088277"/>
    <w:multiLevelType w:val="hybridMultilevel"/>
    <w:lvl w:ilvl="0">
      <w:lvlJc w:val="left"/>
      <w:lvlText w:val="(%1)"/>
      <w:numFmt w:val="lowerLetter"/>
      <w:start w:val="1"/>
    </w:lvl>
    <w:lvl w:ilvl="1">
      <w:lvlJc w:val="left"/>
      <w:lvlText w:val="(%2)"/>
      <w:numFmt w:val="lowerRoman"/>
      <w:start w:val="1"/>
    </w:lvl>
  </w:abstractNum>
  <w:abstractNum w:abstractNumId="85">
    <w:nsid w:val="1CA0C5F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86">
    <w:nsid w:val="53584BC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87">
    <w:nsid w:val="415E286C"/>
    <w:multiLevelType w:val="hybridMultilevel"/>
    <w:lvl w:ilvl="0">
      <w:lvlJc w:val="left"/>
      <w:lvlText w:val="(%1)"/>
      <w:numFmt w:val="lowerLetter"/>
      <w:start w:val="22"/>
    </w:lvl>
    <w:lvl w:ilvl="1">
      <w:lvlJc w:val="left"/>
      <w:lvlText w:val="%2"/>
      <w:numFmt w:val="lowerLetter"/>
      <w:start w:val="1"/>
    </w:lvl>
    <w:lvl w:ilvl="2">
      <w:lvlJc w:val="left"/>
      <w:lvlText w:val="%3"/>
      <w:numFmt w:val="lowerLetter"/>
      <w:start w:val="1"/>
    </w:lvl>
  </w:abstractNum>
  <w:abstractNum w:abstractNumId="88">
    <w:nsid w:val="7C58FD05"/>
    <w:multiLevelType w:val="hybridMultilevel"/>
    <w:lvl w:ilvl="0">
      <w:lvlJc w:val="left"/>
      <w:lvlText w:val="%1"/>
      <w:numFmt w:val="lowerLetter"/>
      <w:start w:val="1"/>
    </w:lvl>
    <w:lvl w:ilvl="1">
      <w:lvlJc w:val="left"/>
      <w:lvlText w:val="(%2)"/>
      <w:numFmt w:val="lowerLetter"/>
      <w:start w:val="1"/>
    </w:lvl>
  </w:abstractNum>
  <w:abstractNum w:abstractNumId="89">
    <w:nsid w:val="23D86AAC"/>
    <w:multiLevelType w:val="hybridMultilevel"/>
    <w:lvl w:ilvl="0">
      <w:lvlJc w:val="left"/>
      <w:lvlText w:val="(%1)"/>
      <w:numFmt w:val="lowerLetter"/>
      <w:start w:val="35"/>
    </w:lvl>
    <w:lvl w:ilvl="1">
      <w:lvlJc w:val="left"/>
      <w:lvlText w:val="%2"/>
      <w:numFmt w:val="lowerLetter"/>
      <w:start w:val="1"/>
    </w:lvl>
  </w:abstractNum>
  <w:abstractNum w:abstractNumId="90">
    <w:nsid w:val="45E6D486"/>
    <w:multiLevelType w:val="hybridMultilevel"/>
    <w:lvl w:ilvl="0">
      <w:lvlJc w:val="left"/>
      <w:lvlText w:val="(%1)"/>
      <w:numFmt w:val="lowerLetter"/>
      <w:start w:val="1"/>
    </w:lvl>
  </w:abstractNum>
  <w:abstractNum w:abstractNumId="91">
    <w:nsid w:val="5C10FE21"/>
    <w:multiLevelType w:val="hybridMultilevel"/>
    <w:lvl w:ilvl="0">
      <w:lvlJc w:val="left"/>
      <w:lvlText w:val="(%1)"/>
      <w:numFmt w:val="lowerLetter"/>
      <w:start w:val="1"/>
    </w:lvl>
    <w:lvl w:ilvl="1">
      <w:lvlJc w:val="left"/>
      <w:lvlText w:val="(%2)"/>
      <w:numFmt w:val="lowerLetter"/>
      <w:start w:val="9"/>
    </w:lvl>
  </w:abstractNum>
  <w:abstractNum w:abstractNumId="92">
    <w:nsid w:val="E7FFA2B"/>
    <w:multiLevelType w:val="hybridMultilevel"/>
    <w:lvl w:ilvl="0">
      <w:lvlJc w:val="left"/>
      <w:lvlText w:val="%1"/>
      <w:numFmt w:val="lowerLetter"/>
      <w:start w:val="1"/>
    </w:lvl>
    <w:lvl w:ilvl="1">
      <w:lvlJc w:val="left"/>
      <w:lvlText w:val="(%2)"/>
      <w:numFmt w:val="lowerRoman"/>
      <w:start w:val="2"/>
    </w:lvl>
  </w:abstractNum>
  <w:abstractNum w:abstractNumId="93">
    <w:nsid w:val="3C5991AA"/>
    <w:multiLevelType w:val="hybridMultilevel"/>
    <w:lvl w:ilvl="0">
      <w:lvlJc w:val="left"/>
      <w:lvlText w:val="(%1)"/>
      <w:numFmt w:val="lowerLetter"/>
      <w:start w:val="2"/>
    </w:lvl>
    <w:lvl w:ilvl="1">
      <w:lvlJc w:val="left"/>
      <w:lvlText w:val="%2"/>
      <w:numFmt w:val="lowerRoman"/>
      <w:start w:val="1"/>
    </w:lvl>
  </w:abstractNum>
  <w:abstractNum w:abstractNumId="94">
    <w:nsid w:val="4BD8591A"/>
    <w:multiLevelType w:val="hybridMultilevel"/>
    <w:lvl w:ilvl="0">
      <w:lvlJc w:val="left"/>
      <w:lvlText w:val="(%1)"/>
      <w:numFmt w:val="lowerLetter"/>
      <w:start w:val="1"/>
    </w:lvl>
  </w:abstractNum>
  <w:abstractNum w:abstractNumId="95">
    <w:nsid w:val="78DF6A55"/>
    <w:multiLevelType w:val="hybridMultilevel"/>
    <w:lvl w:ilvl="0">
      <w:lvlJc w:val="left"/>
      <w:lvlText w:val="(%1)"/>
      <w:numFmt w:val="lowerRoman"/>
      <w:start w:val="1"/>
    </w:lvl>
  </w:abstractNum>
  <w:abstractNum w:abstractNumId="96">
    <w:nsid w:val="39B7AAA2"/>
    <w:multiLevelType w:val="hybridMultilevel"/>
    <w:lvl w:ilvl="0">
      <w:lvlJc w:val="left"/>
      <w:lvlText w:val="(%1)"/>
      <w:numFmt w:val="lowerLetter"/>
      <w:start w:val="2"/>
    </w:lvl>
  </w:abstractNum>
  <w:abstractNum w:abstractNumId="97">
    <w:nsid w:val="2B0D8DBE"/>
    <w:multiLevelType w:val="hybridMultilevel"/>
    <w:lvl w:ilvl="0">
      <w:lvlJc w:val="left"/>
      <w:lvlText w:val="(%1)"/>
      <w:numFmt w:val="lowerLetter"/>
      <w:start w:val="3"/>
    </w:lvl>
  </w:abstractNum>
  <w:abstractNum w:abstractNumId="98">
    <w:nsid w:val="6C80EC70"/>
    <w:multiLevelType w:val="hybridMultilevel"/>
    <w:lvl w:ilvl="0">
      <w:lvlJc w:val="left"/>
      <w:lvlText w:val="%1"/>
      <w:numFmt w:val="decimal"/>
      <w:start w:val="1"/>
    </w:lvl>
    <w:lvl w:ilvl="1">
      <w:lvlJc w:val="left"/>
      <w:lvlText w:val="(%2)"/>
      <w:numFmt w:val="lowerLetter"/>
      <w:start w:val="1"/>
    </w:lvl>
  </w:abstractNum>
  <w:abstractNum w:abstractNumId="99">
    <w:nsid w:val="379E21B5"/>
    <w:multiLevelType w:val="hybridMultilevel"/>
    <w:lvl w:ilvl="0">
      <w:lvlJc w:val="left"/>
      <w:lvlText w:val="(%1)"/>
      <w:numFmt w:val="decimal"/>
      <w:start w:val="10"/>
    </w:lvl>
    <w:lvl w:ilvl="1">
      <w:lvlJc w:val="left"/>
      <w:lvlText w:val="(%2)"/>
      <w:numFmt w:val="lowerLetter"/>
      <w:start w:val="3"/>
    </w:lvl>
  </w:abstractNum>
  <w:abstractNum w:abstractNumId="100">
    <w:nsid w:val="69E373"/>
    <w:multiLevelType w:val="hybridMultilevel"/>
    <w:lvl w:ilvl="0">
      <w:lvlJc w:val="left"/>
      <w:lvlText w:val="(%1)"/>
      <w:numFmt w:val="lowerLetter"/>
      <w:start w:val="4"/>
    </w:lvl>
  </w:abstractNum>
  <w:abstractNum w:abstractNumId="101">
    <w:nsid w:val="2C27173B"/>
    <w:multiLevelType w:val="hybridMultilevel"/>
    <w:lvl w:ilvl="0">
      <w:lvlJc w:val="left"/>
      <w:lvlText w:val="(%1)"/>
      <w:numFmt w:val="lowerLetter"/>
      <w:start w:val="1"/>
    </w:lvl>
  </w:abstractNum>
  <w:abstractNum w:abstractNumId="102">
    <w:nsid w:val="4C9B0904"/>
    <w:multiLevelType w:val="hybridMultilevel"/>
    <w:lvl w:ilvl="0">
      <w:lvlJc w:val="left"/>
      <w:lvlText w:val="(%1)"/>
      <w:numFmt w:val="lowerLetter"/>
      <w:start w:val="4"/>
    </w:lvl>
  </w:abstractNum>
  <w:abstractNum w:abstractNumId="103">
    <w:nsid w:val="6AA7B75C"/>
    <w:multiLevelType w:val="hybridMultilevel"/>
    <w:lvl w:ilvl="0">
      <w:lvlJc w:val="left"/>
      <w:lvlText w:val="(%1)"/>
      <w:numFmt w:val="lowerLetter"/>
      <w:start w:val="1"/>
    </w:lvl>
    <w:lvl w:ilvl="1">
      <w:lvlJc w:val="left"/>
      <w:lvlText w:val="(%2)"/>
      <w:numFmt w:val="lowerLetter"/>
      <w:start w:val="9"/>
    </w:lvl>
  </w:abstractNum>
  <w:abstractNum w:abstractNumId="104">
    <w:nsid w:val="1DF029D3"/>
    <w:multiLevelType w:val="hybridMultilevel"/>
    <w:lvl w:ilvl="0">
      <w:lvlJc w:val="left"/>
      <w:lvlText w:val="(%1)"/>
      <w:numFmt w:val="upperLetter"/>
      <w:start w:val="1"/>
    </w:lvl>
  </w:abstractNum>
  <w:abstractNum w:abstractNumId="105">
    <w:nsid w:val="5675FF36"/>
    <w:multiLevelType w:val="hybridMultilevel"/>
    <w:lvl w:ilvl="0">
      <w:lvlJc w:val="left"/>
      <w:lvlText w:val="(%1)"/>
      <w:numFmt w:val="lowerRoman"/>
      <w:start w:val="2"/>
    </w:lvl>
  </w:abstractNum>
  <w:abstractNum w:abstractNumId="106">
    <w:nsid w:val="3DD15094"/>
    <w:multiLevelType w:val="hybridMultilevel"/>
    <w:lvl w:ilvl="0">
      <w:lvlJc w:val="left"/>
      <w:lvlText w:val="(%1)"/>
      <w:numFmt w:val="upperLetter"/>
      <w:start w:val="1"/>
    </w:lvl>
  </w:abstractNum>
  <w:abstractNum w:abstractNumId="107">
    <w:nsid w:val="3DB012B3"/>
    <w:multiLevelType w:val="hybridMultilevel"/>
    <w:lvl w:ilvl="0">
      <w:lvlJc w:val="left"/>
      <w:lvlText w:val="(%1)"/>
      <w:numFmt w:val="lowerRoman"/>
      <w:start w:val="4"/>
    </w:lvl>
  </w:abstractNum>
  <w:abstractNum w:abstractNumId="108">
    <w:nsid w:val="2708C9AF"/>
    <w:multiLevelType w:val="hybridMultilevel"/>
    <w:lvl w:ilvl="0">
      <w:lvlJc w:val="left"/>
      <w:lvlText w:val="(%1)"/>
      <w:numFmt w:val="lowerLetter"/>
      <w:start w:val="3"/>
    </w:lvl>
  </w:abstractNum>
  <w:abstractNum w:abstractNumId="109">
    <w:nsid w:val="5B25ACE2"/>
    <w:multiLevelType w:val="hybridMultilevel"/>
    <w:lvl w:ilvl="0">
      <w:lvlJc w:val="left"/>
      <w:lvlText w:val="%1"/>
      <w:numFmt w:val="lowerLetter"/>
      <w:start w:val="1"/>
    </w:lvl>
    <w:lvl w:ilvl="1">
      <w:lvlJc w:val="left"/>
      <w:lvlText w:val="(%2)"/>
      <w:numFmt w:val="lowerRoman"/>
      <w:start w:val="1"/>
    </w:lvl>
  </w:abstractNum>
  <w:abstractNum w:abstractNumId="110">
    <w:nsid w:val="175DFCF0"/>
    <w:multiLevelType w:val="hybridMultilevel"/>
    <w:lvl w:ilvl="0">
      <w:lvlJc w:val="left"/>
      <w:lvlText w:val="(%1)"/>
      <w:numFmt w:val="lowerLetter"/>
      <w:start w:val="4"/>
    </w:lvl>
    <w:lvl w:ilvl="1">
      <w:lvlJc w:val="left"/>
      <w:lvlText w:val="%2"/>
      <w:numFmt w:val="lowerRoman"/>
      <w:start w:val="1"/>
    </w:lvl>
  </w:abstractNum>
  <w:abstractNum w:abstractNumId="111">
    <w:nsid w:val="4F97E3E4"/>
    <w:multiLevelType w:val="hybridMultilevel"/>
    <w:lvl w:ilvl="0">
      <w:lvlJc w:val="left"/>
      <w:lvlText w:val="(%1)"/>
      <w:numFmt w:val="lowerLetter"/>
      <w:start w:val="5"/>
    </w:lvl>
  </w:abstractNum>
  <w:abstractNum w:abstractNumId="112">
    <w:nsid w:val="53B0A9E"/>
    <w:multiLevelType w:val="hybridMultilevel"/>
    <w:lvl w:ilvl="0">
      <w:lvlJc w:val="left"/>
      <w:lvlText w:val="(%1)"/>
      <w:numFmt w:val="lowerLetter"/>
      <w:start w:val="1"/>
    </w:lvl>
  </w:abstractNum>
  <w:abstractNum w:abstractNumId="113">
    <w:nsid w:val="34FD6B4F"/>
    <w:multiLevelType w:val="hybridMultilevel"/>
    <w:lvl w:ilvl="0">
      <w:lvlJc w:val="left"/>
      <w:lvlText w:val="(%1)"/>
      <w:numFmt w:val="lowerLetter"/>
      <w:start w:val="1"/>
    </w:lvl>
  </w:abstractNum>
  <w:abstractNum w:abstractNumId="114">
    <w:nsid w:val="5915FF32"/>
    <w:multiLevelType w:val="hybridMultilevel"/>
    <w:lvl w:ilvl="0">
      <w:lvlJc w:val="left"/>
      <w:lvlText w:val="(%1)"/>
      <w:numFmt w:val="lowerLetter"/>
      <w:start w:val="4"/>
    </w:lvl>
  </w:abstractNum>
  <w:abstractNum w:abstractNumId="115">
    <w:nsid w:val="56438D15"/>
    <w:multiLevelType w:val="hybridMultilevel"/>
    <w:lvl w:ilvl="0">
      <w:lvlJc w:val="left"/>
      <w:lvlText w:val="(%1)"/>
      <w:numFmt w:val="lowerLetter"/>
      <w:start w:val="2"/>
    </w:lvl>
  </w:abstractNum>
  <w:abstractNum w:abstractNumId="116">
    <w:nsid w:val="519E3149"/>
    <w:multiLevelType w:val="hybridMultilevel"/>
    <w:lvl w:ilvl="0">
      <w:lvlJc w:val="left"/>
      <w:lvlText w:val="(%1)"/>
      <w:numFmt w:val="lowerLetter"/>
      <w:start w:val="1"/>
    </w:lvl>
  </w:abstractNum>
  <w:abstractNum w:abstractNumId="117">
    <w:nsid w:val="2C6E4AFD"/>
    <w:multiLevelType w:val="hybridMultilevel"/>
    <w:lvl w:ilvl="0">
      <w:lvlJc w:val="left"/>
      <w:lvlText w:val="(%1)"/>
      <w:numFmt w:val="lowerLetter"/>
      <w:start w:val="1"/>
    </w:lvl>
    <w:lvl w:ilvl="1">
      <w:lvlJc w:val="left"/>
      <w:lvlText w:val="(%2)"/>
      <w:numFmt w:val="lowerRoman"/>
      <w:start w:val="1"/>
    </w:lvl>
  </w:abstractNum>
  <w:abstractNum w:abstractNumId="118">
    <w:nsid w:val="17A1B582"/>
    <w:multiLevelType w:val="hybridMultilevel"/>
    <w:lvl w:ilvl="0">
      <w:lvlJc w:val="left"/>
      <w:lvlText w:val="1"/>
      <w:numFmt w:val="bullet"/>
      <w:start w:val="1"/>
    </w:lvl>
  </w:abstractNum>
  <w:abstractNum w:abstractNumId="119">
    <w:nsid w:val="4DF72E4E"/>
    <w:multiLevelType w:val="hybridMultilevel"/>
    <w:lvl w:ilvl="0">
      <w:lvlJc w:val="left"/>
      <w:lvlText w:val="4"/>
      <w:numFmt w:val="bullet"/>
      <w:start w:val="1"/>
    </w:lvl>
  </w:abstractNum>
  <w:abstractNum w:abstractNumId="120">
    <w:nsid w:val="5046B5A9"/>
    <w:multiLevelType w:val="hybridMultilevel"/>
    <w:lvl w:ilvl="0">
      <w:lvlJc w:val="left"/>
      <w:lvlText w:val="%1."/>
      <w:numFmt w:val="decimal"/>
      <w:start w:val="1"/>
    </w:lvl>
  </w:abstractNum>
  <w:abstractNum w:abstractNumId="121">
    <w:nsid w:val="5D888A08"/>
    <w:multiLevelType w:val="hybridMultilevel"/>
    <w:lvl w:ilvl="0">
      <w:lvlJc w:val="left"/>
      <w:lvlText w:val="%1."/>
      <w:numFmt w:val="decimal"/>
      <w:start w:val="3"/>
    </w:lvl>
  </w:abstractNum>
  <w:abstractNum w:abstractNumId="122">
    <w:nsid w:val="2A082C70"/>
    <w:multiLevelType w:val="hybridMultilevel"/>
    <w:lvl w:ilvl="0">
      <w:lvlJc w:val="left"/>
      <w:lvlText w:val="%1."/>
      <w:numFmt w:val="decimal"/>
      <w:start w:val="7"/>
    </w:lvl>
  </w:abstractNum>
  <w:abstractNum w:abstractNumId="123">
    <w:nsid w:val="5EC6AFD4"/>
    <w:multiLevelType w:val="hybridMultilevel"/>
    <w:lvl w:ilvl="0">
      <w:lvlJc w:val="left"/>
      <w:lvlText w:val="%1."/>
      <w:numFmt w:val="decimal"/>
      <w:start w:val="1"/>
    </w:lvl>
  </w:abstractNum>
  <w:abstractNum w:abstractNumId="124">
    <w:nsid w:val="19E21BB2"/>
    <w:multiLevelType w:val="hybridMultilevel"/>
    <w:lvl w:ilvl="0">
      <w:lvlJc w:val="left"/>
      <w:lvlText w:val="(%1)"/>
      <w:numFmt w:val="lowerRoman"/>
      <w:start w:val="2"/>
    </w:lvl>
  </w:abstractNum>
  <w:abstractNum w:abstractNumId="125">
    <w:nsid w:val="75E0858A"/>
    <w:multiLevelType w:val="hybridMultilevel"/>
    <w:lvl w:ilvl="0">
      <w:lvlJc w:val="left"/>
      <w:lvlText w:val="%1."/>
      <w:numFmt w:val="decimal"/>
      <w:start w:val="2"/>
    </w:lvl>
  </w:abstractNum>
  <w:abstractNum w:abstractNumId="126">
    <w:nsid w:val="57A61A29"/>
    <w:multiLevelType w:val="hybridMultilevel"/>
    <w:lvl w:ilvl="0">
      <w:lvlJc w:val="left"/>
      <w:lvlText w:val="%1."/>
      <w:numFmt w:val="decimal"/>
      <w:start w:val="1"/>
    </w:lvl>
  </w:abstractNum>
  <w:abstractNum w:abstractNumId="127">
    <w:nsid w:val="5399C654"/>
    <w:multiLevelType w:val="hybridMultilevel"/>
    <w:lvl w:ilvl="0">
      <w:lvlJc w:val="left"/>
      <w:lvlText w:val="%1."/>
      <w:numFmt w:val="decimal"/>
      <w:start w:val="2"/>
    </w:lvl>
  </w:abstractNum>
  <w:abstractNum w:abstractNumId="128">
    <w:nsid w:val="20EE1348"/>
    <w:multiLevelType w:val="hybridMultilevel"/>
    <w:lvl w:ilvl="0">
      <w:lvlJc w:val="left"/>
      <w:lvlText w:val="%1."/>
      <w:numFmt w:val="decimal"/>
      <w:start w:val="1"/>
    </w:lvl>
  </w:abstractNum>
  <w:abstractNum w:abstractNumId="129">
    <w:nsid w:val="4427069A"/>
    <w:multiLevelType w:val="hybridMultilevel"/>
    <w:lvl w:ilvl="0">
      <w:lvlJc w:val="left"/>
      <w:lvlText w:val="%1."/>
      <w:numFmt w:val="decimal"/>
      <w:start w:val="2"/>
    </w:lvl>
  </w:abstractNum>
  <w:abstractNum w:abstractNumId="130">
    <w:nsid w:val="B37E80A"/>
    <w:multiLevelType w:val="hybridMultilevel"/>
    <w:lvl w:ilvl="0">
      <w:lvlJc w:val="left"/>
      <w:lvlText w:val="%1."/>
      <w:numFmt w:val="decimal"/>
      <w:start w:val="3"/>
    </w:lvl>
  </w:abstractNum>
  <w:abstractNum w:abstractNumId="131">
    <w:nsid w:val="2157F6BC"/>
    <w:multiLevelType w:val="hybridMultilevel"/>
    <w:lvl w:ilvl="0">
      <w:lvlJc w:val="left"/>
      <w:lvlText w:val="(%1)"/>
      <w:numFmt w:val="decimal"/>
      <w:start w:val="2"/>
    </w:lvl>
  </w:abstractNum>
  <w:abstractNum w:abstractNumId="132">
    <w:nsid w:val="704E1DD5"/>
    <w:multiLevelType w:val="hybridMultilevel"/>
    <w:lvl w:ilvl="0">
      <w:lvlJc w:val="left"/>
      <w:lvlText w:val="%1."/>
      <w:numFmt w:val="decimal"/>
      <w:start w:val="1"/>
    </w:lvl>
    <w:lvl w:ilvl="1">
      <w:lvlJc w:val="left"/>
      <w:lvlText w:val="%2."/>
      <w:numFmt w:val="lowerLetter"/>
      <w:start w:val="1"/>
    </w:lvl>
  </w:abstractNum>
  <w:abstractNum w:abstractNumId="133">
    <w:nsid w:val="57D2F10E"/>
    <w:multiLevelType w:val="hybridMultilevel"/>
    <w:lvl w:ilvl="0">
      <w:lvlJc w:val="left"/>
      <w:lvlText w:val="%1."/>
      <w:numFmt w:val="decimal"/>
      <w:start w:val="1"/>
    </w:lvl>
    <w:lvl w:ilvl="1">
      <w:lvlJc w:val="left"/>
      <w:lvlText w:val="%2."/>
      <w:numFmt w:val="lowerLetter"/>
      <w:start w:val="1"/>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jpeg"/><Relationship Id="rId11" Type="http://schemas.openxmlformats.org/officeDocument/2006/relationships/hyperlink" Target="http://www.sec.gov/Archives/edgar/data/66756/000006675620000039/ex-3bylawsx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2020-05-06T05:11:43Z</dcterms:created>
  <dcterms:modified xsi:type="dcterms:W3CDTF">2020-05-06T05:11:43Z</dcterms:modified>
</cp:coreProperties>
</file>