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2013</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229"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29"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229"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229"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229"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no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40,127,405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June 30, 2013</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0" w:type="dxa"/>
            <w:vAlign w:val="bottom"/>
            <w:gridSpan w:val="3"/>
          </w:tcPr>
          <w:p>
            <w:pPr>
              <w:ind w:left="100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Definitions</w:t>
              </w:r>
            </w:hyperlink>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gridSpan w:val="2"/>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420" w:type="dxa"/>
            <w:vAlign w:val="bottom"/>
            <w:gridSpan w:val="10"/>
            <w:shd w:val="clear" w:color="auto" w:fill="CCEEFF"/>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Forward-Looking Statements</w:t>
              </w:r>
            </w:hyperlink>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4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3520" w:type="dxa"/>
            <w:vAlign w:val="bottom"/>
            <w:gridSpan w:val="6"/>
            <w:shd w:val="clear" w:color="auto" w:fill="CCEEFF"/>
          </w:tcPr>
          <w:p>
            <w:pPr>
              <w:ind w:left="6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6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2"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w:t>
              </w:r>
            </w:hyperlink>
          </w:p>
        </w:tc>
        <w:tc>
          <w:tcPr>
            <w:tcW w:w="54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line="202"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Financial Statements (Unaudited)</w:t>
              </w:r>
            </w:hyperlink>
          </w:p>
        </w:tc>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900" w:type="dxa"/>
            <w:vAlign w:val="bottom"/>
            <w:tcBorders>
              <w:top w:val="single" w:sz="8" w:color="0000FF"/>
            </w:tcBorders>
            <w:shd w:val="clear" w:color="auto" w:fill="CCEEFF"/>
          </w:tcPr>
          <w:p>
            <w:pPr>
              <w:spacing w:after="0"/>
              <w:rPr>
                <w:sz w:val="4"/>
                <w:szCs w:val="4"/>
                <w:color w:val="auto"/>
              </w:rPr>
            </w:pPr>
          </w:p>
        </w:tc>
        <w:tc>
          <w:tcPr>
            <w:tcW w:w="6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9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rPr>
                <w:sz w:val="20"/>
                <w:szCs w:val="20"/>
                <w:color w:val="auto"/>
              </w:rPr>
            </w:pPr>
            <w:r>
              <w:rPr>
                <w:rFonts w:ascii="Arial" w:cs="Arial" w:eastAsia="Arial" w:hAnsi="Arial"/>
                <w:sz w:val="18"/>
                <w:szCs w:val="18"/>
                <w:color w:val="auto"/>
              </w:rPr>
              <w:t>June 30, 2013 and December 31, 2012</w:t>
            </w:r>
          </w:p>
        </w:tc>
        <w:tc>
          <w:tcPr>
            <w:tcW w:w="200" w:type="dxa"/>
            <w:vAlign w:val="bottom"/>
            <w:gridSpan w:val="3"/>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Quarter and Six Months Ended June 30, 2013 and 2012</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Comprehensive Income -</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line="202" w:lineRule="exact"/>
              <w:rPr>
                <w:sz w:val="20"/>
                <w:szCs w:val="20"/>
                <w:color w:val="auto"/>
              </w:rPr>
            </w:pPr>
            <w:r>
              <w:rPr>
                <w:rFonts w:ascii="Arial" w:cs="Arial" w:eastAsia="Arial" w:hAnsi="Arial"/>
                <w:sz w:val="18"/>
                <w:szCs w:val="18"/>
                <w:color w:val="auto"/>
              </w:rPr>
              <w:t>Quarter and Six Months Ended June 30, 2013 and 2012</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Six Months Ended June 30, 2013 and 2012</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w:anchor="page33">
              <w:r>
                <w:rPr>
                  <w:rFonts w:ascii="Arial" w:cs="Arial" w:eastAsia="Arial" w:hAnsi="Arial"/>
                  <w:sz w:val="18"/>
                  <w:szCs w:val="18"/>
                  <w:color w:val="0000FF"/>
                </w:rPr>
                <w:t>and Results of Operations</w:t>
              </w:r>
            </w:hyperlink>
          </w:p>
        </w:tc>
        <w:tc>
          <w:tcPr>
            <w:tcW w:w="46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49</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50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Part II.</w:t>
              </w:r>
            </w:hyperlink>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1.</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1A.</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Item 5.</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Item 6.</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w w:val="95"/>
              </w:rPr>
            </w:pPr>
            <w:hyperlink w:anchor="page51">
              <w:r>
                <w:rPr>
                  <w:rFonts w:ascii="Arial" w:cs="Arial" w:eastAsia="Arial" w:hAnsi="Arial"/>
                  <w:sz w:val="18"/>
                  <w:szCs w:val="18"/>
                  <w:color w:val="0000FF"/>
                  <w:w w:val="95"/>
                </w:rPr>
                <w:t>Signatures</w:t>
              </w:r>
            </w:hyperlink>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52</w:t>
              </w:r>
            </w:hyperlink>
          </w:p>
        </w:tc>
      </w:tr>
      <w:tr>
        <w:trPr>
          <w:trHeight w:val="404"/>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900" w:type="dxa"/>
            <w:vAlign w:val="bottom"/>
            <w:tcBorders>
              <w:top w:val="single" w:sz="8" w:color="CCEEFF"/>
            </w:tcBorders>
            <w:gridSpan w:val="5"/>
          </w:tcPr>
          <w:p>
            <w:pPr>
              <w:ind w:left="160"/>
              <w:spacing w:after="0"/>
              <w:rPr>
                <w:sz w:val="20"/>
                <w:szCs w:val="20"/>
                <w:color w:val="auto"/>
              </w:rPr>
            </w:pPr>
            <w:r>
              <w:rPr>
                <w:rFonts w:ascii="Arial" w:cs="Arial" w:eastAsia="Arial" w:hAnsi="Arial"/>
                <w:sz w:val="14"/>
                <w:szCs w:val="14"/>
                <w:color w:val="auto"/>
              </w:rPr>
              <w:t>ALLETE Second Quarter 2013 Form 10-Q</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113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Alternating Current</w:t>
            </w:r>
          </w:p>
        </w:tc>
      </w:tr>
      <w:tr>
        <w:trPr>
          <w:trHeight w:val="229"/>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AFUDC</w:t>
            </w:r>
          </w:p>
        </w:tc>
        <w:tc>
          <w:tcPr>
            <w:tcW w:w="8760" w:type="dxa"/>
            <w:vAlign w:val="bottom"/>
            <w:gridSpan w:val="2"/>
          </w:tcPr>
          <w:p>
            <w:pPr>
              <w:spacing w:after="0"/>
              <w:rPr>
                <w:sz w:val="20"/>
                <w:szCs w:val="20"/>
                <w:color w:val="auto"/>
              </w:rPr>
            </w:pPr>
            <w:r>
              <w:rPr>
                <w:rFonts w:ascii="Arial" w:cs="Arial" w:eastAsia="Arial" w:hAnsi="Arial"/>
                <w:sz w:val="18"/>
                <w:szCs w:val="18"/>
                <w:color w:val="auto"/>
                <w:w w:val="95"/>
              </w:rPr>
              <w:t>Allowance for Funds Used During Construction – the cost of both debt and equity funds used to finance utility plant</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additions during construction periods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 Clean Energy</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Clean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ArcelorMittal</w:t>
            </w:r>
          </w:p>
        </w:tc>
        <w:tc>
          <w:tcPr>
            <w:tcW w:w="8760" w:type="dxa"/>
            <w:vAlign w:val="bottom"/>
            <w:gridSpan w:val="2"/>
          </w:tcPr>
          <w:p>
            <w:pPr>
              <w:spacing w:after="0"/>
              <w:rPr>
                <w:sz w:val="20"/>
                <w:szCs w:val="20"/>
                <w:color w:val="auto"/>
              </w:rPr>
            </w:pPr>
            <w:r>
              <w:rPr>
                <w:rFonts w:ascii="Arial" w:cs="Arial" w:eastAsia="Arial" w:hAnsi="Arial"/>
                <w:sz w:val="18"/>
                <w:szCs w:val="18"/>
                <w:color w:val="auto"/>
              </w:rPr>
              <w:t>ArcelorMittal USA,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Coal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Coal, Ltd.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76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CAIR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Clean Air Interstate Rule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76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760" w:type="dxa"/>
            <w:vAlign w:val="bottom"/>
            <w:gridSpan w:val="2"/>
          </w:tcPr>
          <w:p>
            <w:pPr>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76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76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Laskin</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LIBOR</w:t>
            </w:r>
          </w:p>
        </w:tc>
        <w:tc>
          <w:tcPr>
            <w:tcW w:w="8760" w:type="dxa"/>
            <w:vAlign w:val="bottom"/>
            <w:gridSpan w:val="2"/>
          </w:tcPr>
          <w:p>
            <w:pPr>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Maximum Achievable Control Technology</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Manitoba Hydro</w:t>
            </w:r>
          </w:p>
        </w:tc>
        <w:tc>
          <w:tcPr>
            <w:tcW w:w="876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Medicare Part D</w:t>
            </w:r>
          </w:p>
        </w:tc>
        <w:tc>
          <w:tcPr>
            <w:tcW w:w="8760" w:type="dxa"/>
            <w:vAlign w:val="bottom"/>
            <w:gridSpan w:val="2"/>
          </w:tcPr>
          <w:p>
            <w:pPr>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43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400"/>
              <w:spacing w:after="0"/>
              <w:rPr>
                <w:sz w:val="20"/>
                <w:szCs w:val="20"/>
                <w:color w:val="auto"/>
              </w:rPr>
            </w:pPr>
            <w:r>
              <w:rPr>
                <w:rFonts w:ascii="Arial" w:cs="Arial" w:eastAsia="Arial" w:hAnsi="Arial"/>
                <w:sz w:val="14"/>
                <w:szCs w:val="14"/>
                <w:color w:val="auto"/>
              </w:rPr>
              <w:t>ALLETE Second Quarter 2013 Form 10-Q</w:t>
            </w:r>
          </w:p>
        </w:tc>
      </w:tr>
    </w:tbl>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340" w:type="dxa"/>
            <w:vAlign w:val="bottom"/>
          </w:tcPr>
          <w:p>
            <w:pPr>
              <w:jc w:val="center"/>
              <w:ind w:right="2999"/>
              <w:spacing w:after="0"/>
              <w:rPr>
                <w:sz w:val="20"/>
                <w:szCs w:val="20"/>
                <w:color w:val="auto"/>
              </w:rPr>
            </w:pPr>
            <w:r>
              <w:rPr>
                <w:rFonts w:ascii="Arial" w:cs="Arial" w:eastAsia="Arial" w:hAnsi="Arial"/>
                <w:sz w:val="18"/>
                <w:szCs w:val="18"/>
                <w:b w:val="1"/>
                <w:bCs w:val="1"/>
                <w:color w:val="auto"/>
                <w:w w:val="91"/>
              </w:rPr>
              <w:t>Definitions (Continued)</w:t>
            </w:r>
          </w:p>
        </w:tc>
      </w:tr>
      <w:tr>
        <w:trPr>
          <w:trHeight w:val="446"/>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76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76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76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Palm Coast Park</w:t>
            </w:r>
          </w:p>
        </w:tc>
        <w:tc>
          <w:tcPr>
            <w:tcW w:w="8760" w:type="dxa"/>
            <w:vAlign w:val="bottom"/>
            <w:gridSpan w:val="2"/>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760" w:type="dxa"/>
            <w:vAlign w:val="bottom"/>
            <w:gridSpan w:val="2"/>
          </w:tcPr>
          <w:p>
            <w:pPr>
              <w:spacing w:after="0"/>
              <w:rPr>
                <w:sz w:val="20"/>
                <w:szCs w:val="20"/>
                <w:color w:val="auto"/>
              </w:rPr>
            </w:pPr>
            <w:r>
              <w:rPr>
                <w:rFonts w:ascii="Arial" w:cs="Arial" w:eastAsia="Arial" w:hAnsi="Arial"/>
                <w:sz w:val="18"/>
                <w:szCs w:val="18"/>
                <w:color w:val="auto"/>
              </w:rPr>
              <w:t>PolyMet Mining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76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Rainy River Energy</w:t>
            </w:r>
          </w:p>
        </w:tc>
        <w:tc>
          <w:tcPr>
            <w:tcW w:w="8760" w:type="dxa"/>
            <w:vAlign w:val="bottom"/>
            <w:gridSpan w:val="2"/>
          </w:tcPr>
          <w:p>
            <w:pPr>
              <w:spacing w:after="0"/>
              <w:rPr>
                <w:sz w:val="20"/>
                <w:szCs w:val="20"/>
                <w:color w:val="auto"/>
              </w:rPr>
            </w:pPr>
            <w:r>
              <w:rPr>
                <w:rFonts w:ascii="Arial" w:cs="Arial" w:eastAsia="Arial" w:hAnsi="Arial"/>
                <w:sz w:val="18"/>
                <w:szCs w:val="18"/>
                <w:color w:val="auto"/>
              </w:rPr>
              <w:t>Rainy River Energy Corporation -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SIP</w:t>
            </w:r>
          </w:p>
        </w:tc>
        <w:tc>
          <w:tcPr>
            <w:tcW w:w="8760" w:type="dxa"/>
            <w:vAlign w:val="bottom"/>
            <w:gridSpan w:val="2"/>
          </w:tcPr>
          <w:p>
            <w:pPr>
              <w:spacing w:after="0"/>
              <w:rPr>
                <w:sz w:val="20"/>
                <w:szCs w:val="20"/>
                <w:color w:val="auto"/>
              </w:rPr>
            </w:pPr>
            <w:r>
              <w:rPr>
                <w:rFonts w:ascii="Arial" w:cs="Arial" w:eastAsia="Arial" w:hAnsi="Arial"/>
                <w:sz w:val="18"/>
                <w:szCs w:val="18"/>
                <w:color w:val="auto"/>
              </w:rPr>
              <w:t>State Implementation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Square Butte</w:t>
            </w:r>
          </w:p>
        </w:tc>
        <w:tc>
          <w:tcPr>
            <w:tcW w:w="8760" w:type="dxa"/>
            <w:vAlign w:val="bottom"/>
            <w:gridSpan w:val="2"/>
          </w:tcPr>
          <w:p>
            <w:pPr>
              <w:spacing w:after="0"/>
              <w:rPr>
                <w:sz w:val="20"/>
                <w:szCs w:val="20"/>
                <w:color w:val="auto"/>
              </w:rPr>
            </w:pPr>
            <w:r>
              <w:rPr>
                <w:rFonts w:ascii="Arial" w:cs="Arial" w:eastAsia="Arial" w:hAnsi="Arial"/>
                <w:sz w:val="18"/>
                <w:szCs w:val="18"/>
                <w:color w:val="auto"/>
              </w:rPr>
              <w:t>Square Butte Electric Cooperative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76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Ridge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Ridge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Town Center</w:t>
            </w:r>
          </w:p>
        </w:tc>
        <w:tc>
          <w:tcPr>
            <w:tcW w:w="8760" w:type="dxa"/>
            <w:vAlign w:val="bottom"/>
            <w:gridSpan w:val="2"/>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U.S.</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USS Corporation</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WDNR</w:t>
            </w:r>
          </w:p>
        </w:tc>
        <w:tc>
          <w:tcPr>
            <w:tcW w:w="8760" w:type="dxa"/>
            <w:vAlign w:val="bottom"/>
            <w:gridSpan w:val="2"/>
          </w:tcPr>
          <w:p>
            <w:pPr>
              <w:spacing w:after="0"/>
              <w:rPr>
                <w:sz w:val="20"/>
                <w:szCs w:val="20"/>
                <w:color w:val="auto"/>
              </w:rPr>
            </w:pPr>
            <w:r>
              <w:rPr>
                <w:rFonts w:ascii="Arial" w:cs="Arial" w:eastAsia="Arial" w:hAnsi="Arial"/>
                <w:sz w:val="18"/>
                <w:szCs w:val="18"/>
                <w:color w:val="auto"/>
              </w:rPr>
              <w:t>Wisconsin Department of Natural Resources</w:t>
            </w:r>
          </w:p>
        </w:tc>
      </w:tr>
      <w:tr>
        <w:trPr>
          <w:trHeight w:val="647"/>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jc w:val="center"/>
              <w:ind w:right="2979"/>
              <w:spacing w:after="0"/>
              <w:rPr>
                <w:sz w:val="20"/>
                <w:szCs w:val="20"/>
                <w:color w:val="auto"/>
              </w:rPr>
            </w:pPr>
            <w:r>
              <w:rPr>
                <w:rFonts w:ascii="Arial" w:cs="Arial" w:eastAsia="Arial" w:hAnsi="Arial"/>
                <w:sz w:val="14"/>
                <w:szCs w:val="14"/>
                <w:color w:val="auto"/>
                <w:w w:val="94"/>
              </w:rPr>
              <w:t>ALLETE Second Quarter 2013 Form 10-Q</w:t>
            </w:r>
          </w:p>
        </w:tc>
      </w:tr>
    </w:tbl>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regulatory or legislative actions, including those of the United States Congress, state legislatures, the FERC, the MPUC, the PSCW, the NDPSC, the EPA and various state, local and county regulators, and city administrators, that impact our allowed rates of return, capital structure, ability to secure financing, industry and rate structure, acquisition and disposal of assets and facilities, operation and construction of plant facilities, recovery of purchased power, capital investments and other expenses, including present or prospective wholesale and retail competition and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Item 1A under the heading “Risk Factors” beginning on page 27 of our 2012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identify the risks and uncertainties that may affect our business.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$145.0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$1.1 and $1.0)</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78.7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89.0</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26.2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33.6</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320.9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2,397.2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2,347.6</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337.5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111.2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107.3</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140.2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43.9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41.5</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$3,350.9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$3,253.4</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26.4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30.2</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37.9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84.5</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r>
      <w:tr>
        <w:trPr>
          <w:trHeight w:val="237"/>
        </w:trPr>
        <w:tc>
          <w:tcPr>
            <w:tcW w:w="83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193.1</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283.4</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1,064.7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435.5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423.8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63.1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216.2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228.2</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129.3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r>
      <w:tr>
        <w:trPr>
          <w:trHeight w:val="237"/>
        </w:trPr>
        <w:tc>
          <w:tcPr>
            <w:tcW w:w="83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2,101.9</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2,052.4</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14)</w:t>
            </w:r>
          </w:p>
        </w:tc>
        <w:tc>
          <w:tcPr>
            <w:tcW w:w="15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1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40.1 and 39.4 Shares Outstanding</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819.3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784.7</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(17.2)</w:t>
            </w:r>
          </w:p>
        </w:tc>
        <w:tc>
          <w:tcPr>
            <w:tcW w:w="15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467.9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459.6</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1,249.0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1,201.0</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$3,350.9</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$3,253.4</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ind w:left="338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90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Quarter Ended</w:t>
            </w:r>
          </w:p>
        </w:tc>
        <w:tc>
          <w:tcPr>
            <w:tcW w:w="20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460" w:type="dxa"/>
            <w:vAlign w:val="bottom"/>
          </w:tcPr>
          <w:p>
            <w:pPr>
              <w:spacing w:after="0"/>
              <w:rPr>
                <w:sz w:val="23"/>
                <w:szCs w:val="23"/>
                <w:color w:val="auto"/>
              </w:rPr>
            </w:pP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3"/>
                <w:szCs w:val="23"/>
                <w:color w:val="auto"/>
              </w:rPr>
            </w:pPr>
          </w:p>
        </w:tc>
        <w:tc>
          <w:tcPr>
            <w:tcW w:w="20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5460" w:type="dxa"/>
            <w:vAlign w:val="bottom"/>
          </w:tcPr>
          <w:p>
            <w:pPr>
              <w:spacing w:after="0"/>
              <w:rPr>
                <w:sz w:val="23"/>
                <w:szCs w:val="23"/>
                <w:color w:val="auto"/>
              </w:rPr>
            </w:pPr>
          </w:p>
        </w:tc>
        <w:tc>
          <w:tcPr>
            <w:tcW w:w="29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2012</w:t>
            </w: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54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4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$235.6</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$216.4</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$499.4</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$456.4</w:t>
            </w:r>
          </w:p>
        </w:tc>
      </w:tr>
      <w:tr>
        <w:trPr>
          <w:trHeight w:val="237"/>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9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78.7</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72.1</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165.2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900" w:type="dxa"/>
            <w:vAlign w:val="bottom"/>
          </w:tcPr>
          <w:p>
            <w:pPr>
              <w:jc w:val="right"/>
              <w:ind w:right="370"/>
              <w:spacing w:after="0"/>
              <w:rPr>
                <w:sz w:val="20"/>
                <w:szCs w:val="20"/>
                <w:color w:val="auto"/>
              </w:rPr>
            </w:pPr>
            <w:r>
              <w:rPr>
                <w:rFonts w:ascii="Arial" w:cs="Arial" w:eastAsia="Arial" w:hAnsi="Arial"/>
                <w:sz w:val="18"/>
                <w:szCs w:val="18"/>
                <w:color w:val="auto"/>
              </w:rPr>
              <w:t>103.8</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96.2</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208.5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196.1</w:t>
            </w:r>
          </w:p>
        </w:tc>
      </w:tr>
      <w:tr>
        <w:trPr>
          <w:trHeight w:val="27"/>
        </w:trPr>
        <w:tc>
          <w:tcPr>
            <w:tcW w:w="5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28.7</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24.8</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37"/>
        </w:trPr>
        <w:tc>
          <w:tcPr>
            <w:tcW w:w="5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9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211.2</w:t>
            </w: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193.1</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430.6</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394.7</w:t>
            </w:r>
          </w:p>
        </w:tc>
      </w:tr>
      <w:tr>
        <w:trPr>
          <w:trHeight w:val="27"/>
        </w:trPr>
        <w:tc>
          <w:tcPr>
            <w:tcW w:w="5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24.4</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23.3</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68.8</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37"/>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9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(12.8)</w:t>
            </w:r>
          </w:p>
        </w:tc>
        <w:tc>
          <w:tcPr>
            <w:tcW w:w="1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(10.1)</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2900" w:type="dxa"/>
            <w:vAlign w:val="bottom"/>
          </w:tcPr>
          <w:p>
            <w:pPr>
              <w:jc w:val="right"/>
              <w:ind w:right="370"/>
              <w:spacing w:after="0"/>
              <w:rPr>
                <w:sz w:val="20"/>
                <w:szCs w:val="20"/>
                <w:color w:val="auto"/>
              </w:rPr>
            </w:pPr>
            <w:r>
              <w:rPr>
                <w:rFonts w:ascii="Arial" w:cs="Arial" w:eastAsia="Arial" w:hAnsi="Arial"/>
                <w:sz w:val="18"/>
                <w:szCs w:val="18"/>
                <w:color w:val="auto"/>
              </w:rPr>
              <w:t>5.0</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4.8</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5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5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2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(6.3)</w:t>
            </w:r>
          </w:p>
        </w:tc>
        <w:tc>
          <w:tcPr>
            <w:tcW w:w="1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(4.1)</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(10.7)</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4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18.1</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19.2</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58.1</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900" w:type="dxa"/>
            <w:vAlign w:val="bottom"/>
          </w:tcPr>
          <w:p>
            <w:pPr>
              <w:jc w:val="right"/>
              <w:ind w:right="370"/>
              <w:spacing w:after="0"/>
              <w:rPr>
                <w:sz w:val="20"/>
                <w:szCs w:val="20"/>
                <w:color w:val="auto"/>
              </w:rPr>
            </w:pPr>
            <w:r>
              <w:rPr>
                <w:rFonts w:ascii="Arial" w:cs="Arial" w:eastAsia="Arial" w:hAnsi="Arial"/>
                <w:sz w:val="18"/>
                <w:szCs w:val="18"/>
                <w:color w:val="auto"/>
              </w:rPr>
              <w:t>4.1</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4.8</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11.6</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54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$14.0</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$14.4</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37"/>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9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39.4</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37.3</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39.2</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900" w:type="dxa"/>
            <w:vAlign w:val="bottom"/>
          </w:tcPr>
          <w:p>
            <w:pPr>
              <w:jc w:val="right"/>
              <w:ind w:right="370"/>
              <w:spacing w:after="0"/>
              <w:rPr>
                <w:sz w:val="20"/>
                <w:szCs w:val="20"/>
                <w:color w:val="auto"/>
              </w:rPr>
            </w:pPr>
            <w:r>
              <w:rPr>
                <w:rFonts w:ascii="Arial" w:cs="Arial" w:eastAsia="Arial" w:hAnsi="Arial"/>
                <w:sz w:val="18"/>
                <w:szCs w:val="18"/>
                <w:color w:val="auto"/>
              </w:rPr>
              <w:t>39.6</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37.4</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39.3</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37.1</w:t>
            </w:r>
          </w:p>
        </w:tc>
      </w:tr>
      <w:tr>
        <w:trPr>
          <w:trHeight w:val="27"/>
        </w:trPr>
        <w:tc>
          <w:tcPr>
            <w:tcW w:w="54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$0.36</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$0.39</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$1.19</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900" w:type="dxa"/>
            <w:vAlign w:val="bottom"/>
          </w:tcPr>
          <w:p>
            <w:pPr>
              <w:jc w:val="right"/>
              <w:ind w:right="370"/>
              <w:spacing w:after="0"/>
              <w:rPr>
                <w:sz w:val="20"/>
                <w:szCs w:val="20"/>
                <w:color w:val="auto"/>
              </w:rPr>
            </w:pPr>
            <w:r>
              <w:rPr>
                <w:rFonts w:ascii="Arial" w:cs="Arial" w:eastAsia="Arial" w:hAnsi="Arial"/>
                <w:sz w:val="18"/>
                <w:szCs w:val="18"/>
                <w:color w:val="auto"/>
              </w:rPr>
              <w:t>$0.35</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$0.39</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5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$0.475</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$0.46</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r>
      <w:tr>
        <w:trPr>
          <w:trHeight w:val="264"/>
        </w:trPr>
        <w:tc>
          <w:tcPr>
            <w:tcW w:w="8360" w:type="dxa"/>
            <w:vAlign w:val="bottom"/>
            <w:tcBorders>
              <w:top w:val="single" w:sz="8" w:color="auto"/>
            </w:tcBorders>
            <w:gridSpan w:val="2"/>
          </w:tcPr>
          <w:p>
            <w:pPr>
              <w:ind w:left="3380"/>
              <w:spacing w:after="0"/>
              <w:rPr>
                <w:sz w:val="20"/>
                <w:szCs w:val="20"/>
                <w:color w:val="auto"/>
              </w:rPr>
            </w:pPr>
            <w:r>
              <w:rPr>
                <w:rFonts w:ascii="Arial" w:cs="Arial" w:eastAsia="Arial" w:hAnsi="Arial"/>
                <w:sz w:val="18"/>
                <w:szCs w:val="18"/>
                <w:color w:val="auto"/>
                <w:w w:val="94"/>
              </w:rPr>
              <w:t>The accompanying notes are an integral part of these statements.</w:t>
            </w:r>
          </w:p>
        </w:tc>
        <w:tc>
          <w:tcPr>
            <w:tcW w:w="10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3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70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4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2012</w:t>
            </w:r>
          </w:p>
        </w:tc>
        <w:tc>
          <w:tcPr>
            <w:tcW w:w="13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7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4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$14.0</w:t>
            </w:r>
          </w:p>
        </w:tc>
        <w:tc>
          <w:tcPr>
            <w:tcW w:w="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$14.4</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$46.5</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1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7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Taxes of $0.1, $(0.5), $0.1 and $0.2</w:t>
            </w:r>
          </w:p>
        </w:tc>
        <w:tc>
          <w:tcPr>
            <w:tcW w:w="14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Unrealized Gain (Loss) on Derivatives</w:t>
            </w:r>
          </w:p>
        </w:tc>
        <w:tc>
          <w:tcPr>
            <w:tcW w:w="1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7080" w:type="dxa"/>
            <w:vAlign w:val="bottom"/>
          </w:tcPr>
          <w:p>
            <w:pPr>
              <w:ind w:left="380"/>
              <w:spacing w:after="0"/>
              <w:rPr>
                <w:sz w:val="20"/>
                <w:szCs w:val="20"/>
                <w:color w:val="auto"/>
              </w:rPr>
            </w:pPr>
            <w:r>
              <w:rPr>
                <w:rFonts w:ascii="Arial" w:cs="Arial" w:eastAsia="Arial" w:hAnsi="Arial"/>
                <w:sz w:val="18"/>
                <w:szCs w:val="18"/>
                <w:color w:val="auto"/>
              </w:rPr>
              <w:t>Net of Income Taxes of $0.1, $–, $0.1 and $(0.1)</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302"/>
        </w:trPr>
        <w:tc>
          <w:tcPr>
            <w:tcW w:w="7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of Income Taxes of $0.3, $0.4, $0.5 and $0.7</w:t>
            </w:r>
          </w:p>
        </w:tc>
        <w:tc>
          <w:tcPr>
            <w:tcW w:w="14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0.5</w:t>
            </w:r>
          </w:p>
        </w:tc>
        <w:tc>
          <w:tcPr>
            <w:tcW w:w="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0.5</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0.8</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70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4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0.6</w:t>
            </w: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3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1.0</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7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4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$14.6</w:t>
            </w:r>
          </w:p>
        </w:tc>
        <w:tc>
          <w:tcPr>
            <w:tcW w:w="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$14.3</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$47.5</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0"/>
        </w:trPr>
        <w:tc>
          <w:tcPr>
            <w:tcW w:w="70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6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85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3"/>
                <w:szCs w:val="23"/>
                <w:color w:val="auto"/>
              </w:rPr>
            </w:pPr>
          </w:p>
        </w:tc>
      </w:tr>
      <w:tr>
        <w:trPr>
          <w:trHeight w:val="270"/>
        </w:trPr>
        <w:tc>
          <w:tcPr>
            <w:tcW w:w="8580" w:type="dxa"/>
            <w:vAlign w:val="bottom"/>
          </w:tcPr>
          <w:p>
            <w:pPr>
              <w:spacing w:after="0"/>
              <w:rPr>
                <w:sz w:val="23"/>
                <w:szCs w:val="23"/>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b w:val="1"/>
                <w:bCs w:val="1"/>
                <w:color w:val="auto"/>
              </w:rPr>
              <w:t>2013</w:t>
            </w: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2012</w:t>
            </w:r>
          </w:p>
        </w:tc>
      </w:tr>
      <w:tr>
        <w:trPr>
          <w:trHeight w:val="27"/>
        </w:trPr>
        <w:tc>
          <w:tcPr>
            <w:tcW w:w="8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$46.5</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$38.8</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Funds Used During Construction – Equity</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from Equity Investments, Net of Dividends</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(2.3)</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Assets</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Gain on Sale of Investments</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(0.8)</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56.9</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0.5</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Expense</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11.6</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1.3</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ESOP Compensation Expense</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4.0</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Defined Benefit Pension and Postretirement Benefit Expense</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11.2</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13.8</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0.4</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8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9.9</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Prepayments and Other</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7.4</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(5.8)</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Cash Contributions to Defined Benefit Pension and Other Postretirement Benefit Plans</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(10.8)</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2.6</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6.9</w:t>
            </w:r>
          </w:p>
        </w:tc>
      </w:tr>
      <w:tr>
        <w:trPr>
          <w:trHeight w:val="27"/>
        </w:trPr>
        <w:tc>
          <w:tcPr>
            <w:tcW w:w="8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from Operating Activities</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111.1</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128.1</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8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8.1</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(1.4)</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ATC</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to Other Investments</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(128.6)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Sale of Assets</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0.9</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for Investing Activities</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(125.2)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33.3</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150.0</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15.6</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Notes Payable</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Long-Term Debt</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(65.5)</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18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(38.2)</w:t>
            </w:r>
          </w:p>
        </w:tc>
        <w:tc>
          <w:tcPr>
            <w:tcW w:w="80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8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from Financing Activities</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78.3</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18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64.2</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r>
      <w:tr>
        <w:trPr>
          <w:trHeight w:val="27"/>
        </w:trPr>
        <w:tc>
          <w:tcPr>
            <w:tcW w:w="8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8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80.8</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r>
      <w:tr>
        <w:trPr>
          <w:trHeight w:val="237"/>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8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$145.0</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r>
      <w:tr>
        <w:trPr>
          <w:trHeight w:val="27"/>
        </w:trPr>
        <w:tc>
          <w:tcPr>
            <w:tcW w:w="8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4"/>
        </w:trPr>
        <w:tc>
          <w:tcPr>
            <w:tcW w:w="8580" w:type="dxa"/>
            <w:vAlign w:val="bottom"/>
          </w:tcPr>
          <w:p>
            <w:pPr>
              <w:ind w:left="3260"/>
              <w:spacing w:after="0"/>
              <w:rPr>
                <w:sz w:val="20"/>
                <w:szCs w:val="20"/>
                <w:color w:val="auto"/>
              </w:rPr>
            </w:pPr>
            <w:r>
              <w:rPr>
                <w:rFonts w:ascii="Arial" w:cs="Arial" w:eastAsia="Arial" w:hAnsi="Arial"/>
                <w:sz w:val="18"/>
                <w:szCs w:val="18"/>
                <w:color w:val="auto"/>
              </w:rPr>
              <w:t>The accompanying notes are an integral part of these statements.</w:t>
            </w:r>
          </w:p>
        </w:tc>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ALLETE Second Quarter 2013 Form 10-Q</w:t>
      </w:r>
    </w:p>
    <w:p>
      <w:pPr>
        <w:sectPr>
          <w:pgSz w:w="11900" w:h="16838" w:orient="portrait"/>
          <w:cols w:equalWidth="0" w:num="1">
            <w:col w:w="11300"/>
          </w:cols>
          <w:pgMar w:left="360" w:top="580" w:right="239" w:bottom="1440" w:gutter="0" w:footer="0" w:header="0"/>
        </w:sectPr>
      </w:pPr>
    </w:p>
    <w:p>
      <w:pPr>
        <w:spacing w:after="0" w:line="19" w:lineRule="exact"/>
        <w:rPr>
          <w:sz w:val="20"/>
          <w:szCs w:val="20"/>
          <w:color w:val="auto"/>
        </w:rPr>
      </w:pPr>
    </w:p>
    <w:p>
      <w:pPr>
        <w:ind w:left="112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00"/>
          </w:cols>
          <w:pgMar w:left="36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2012, Consolidated Balance Sheet was derived from audited financial statements but does not include all disclosures required by GAAP. All adjustments are of a normal, recurring nature, except as otherwise disclosed. Operating results for the period ended June 30, 2013, are not necessarily indicative of results that may be expected for any other interim period or for the year ending December 31, 2013. For further information, refer to the consolidated financial statements and notes included in our 2012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460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6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3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4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600" w:type="dxa"/>
            <w:vAlign w:val="bottom"/>
          </w:tcPr>
          <w:p>
            <w:pPr>
              <w:jc w:val="right"/>
              <w:ind w:right="150"/>
              <w:spacing w:after="0"/>
              <w:rPr>
                <w:sz w:val="20"/>
                <w:szCs w:val="20"/>
                <w:color w:val="auto"/>
              </w:rPr>
            </w:pPr>
            <w:r>
              <w:rPr>
                <w:rFonts w:ascii="Arial" w:cs="Arial" w:eastAsia="Arial" w:hAnsi="Arial"/>
                <w:sz w:val="18"/>
                <w:szCs w:val="18"/>
                <w:color w:val="auto"/>
              </w:rPr>
              <w:t>45.7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53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4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r>
      <w:tr>
        <w:trPr>
          <w:trHeight w:val="20"/>
        </w:trPr>
        <w:tc>
          <w:tcPr>
            <w:tcW w:w="536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38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1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3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Other</w:t>
            </w:r>
          </w:p>
        </w:tc>
        <w:tc>
          <w:tcPr>
            <w:tcW w:w="3820" w:type="dxa"/>
            <w:vAlign w:val="bottom"/>
          </w:tcPr>
          <w:p>
            <w:pPr>
              <w:jc w:val="right"/>
              <w:ind w:right="150"/>
              <w:spacing w:after="0"/>
              <w:rPr>
                <w:sz w:val="20"/>
                <w:szCs w:val="20"/>
                <w:color w:val="auto"/>
              </w:rPr>
            </w:pPr>
            <w:r>
              <w:rPr>
                <w:rFonts w:ascii="Arial" w:cs="Arial" w:eastAsia="Arial" w:hAnsi="Arial"/>
                <w:sz w:val="18"/>
                <w:szCs w:val="18"/>
                <w:color w:val="auto"/>
              </w:rPr>
              <w:t>7.9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61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3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0"/>
        </w:trPr>
        <w:tc>
          <w:tcPr>
            <w:tcW w:w="614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43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6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4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Other</w:t>
            </w:r>
          </w:p>
        </w:tc>
        <w:tc>
          <w:tcPr>
            <w:tcW w:w="4320" w:type="dxa"/>
            <w:vAlign w:val="bottom"/>
          </w:tcPr>
          <w:p>
            <w:pPr>
              <w:jc w:val="right"/>
              <w:ind w:right="150"/>
              <w:spacing w:after="0"/>
              <w:rPr>
                <w:sz w:val="20"/>
                <w:szCs w:val="20"/>
                <w:color w:val="auto"/>
              </w:rPr>
            </w:pPr>
            <w:r>
              <w:rPr>
                <w:rFonts w:ascii="Arial" w:cs="Arial" w:eastAsia="Arial" w:hAnsi="Arial"/>
                <w:sz w:val="18"/>
                <w:szCs w:val="18"/>
                <w:color w:val="auto"/>
              </w:rPr>
              <w:t>31.7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56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4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20"/>
        </w:trPr>
        <w:tc>
          <w:tcPr>
            <w:tcW w:w="5640" w:type="dxa"/>
            <w:vAlign w:val="bottom"/>
            <w:shd w:val="clear" w:color="auto" w:fill="000000"/>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414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47.7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58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$129.3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r>
      <w:tr>
        <w:trPr>
          <w:trHeight w:val="20"/>
        </w:trPr>
        <w:tc>
          <w:tcPr>
            <w:tcW w:w="582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Statement of Cash Flows Information.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24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80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$22.8</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Cash Paid During the Period for Income Taxes</w:t>
            </w:r>
          </w:p>
        </w:tc>
        <w:tc>
          <w:tcPr>
            <w:tcW w:w="2420" w:type="dxa"/>
            <w:vAlign w:val="bottom"/>
          </w:tcPr>
          <w:p>
            <w:pPr>
              <w:jc w:val="right"/>
              <w:ind w:right="330"/>
              <w:spacing w:after="0"/>
              <w:rPr>
                <w:sz w:val="20"/>
                <w:szCs w:val="20"/>
                <w:color w:val="auto"/>
              </w:rPr>
            </w:pPr>
            <w:r>
              <w:rPr>
                <w:rFonts w:ascii="Arial" w:cs="Arial" w:eastAsia="Arial" w:hAnsi="Arial"/>
                <w:sz w:val="18"/>
                <w:szCs w:val="18"/>
                <w:color w:val="auto"/>
              </w:rPr>
              <w:t>$0.6</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20" w:type="dxa"/>
            <w:vAlign w:val="bottom"/>
          </w:tcPr>
          <w:p>
            <w:pPr>
              <w:jc w:val="right"/>
              <w:ind w:right="330"/>
              <w:spacing w:after="0"/>
              <w:rPr>
                <w:sz w:val="20"/>
                <w:szCs w:val="20"/>
                <w:color w:val="auto"/>
              </w:rPr>
            </w:pPr>
            <w:r>
              <w:rPr>
                <w:rFonts w:ascii="Arial" w:cs="Arial" w:eastAsia="Arial" w:hAnsi="Arial"/>
                <w:sz w:val="18"/>
                <w:szCs w:val="18"/>
                <w:color w:val="auto"/>
              </w:rPr>
              <w:t>$28.2</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8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4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AFUDC – Equity</w:t>
            </w:r>
          </w:p>
        </w:tc>
        <w:tc>
          <w:tcPr>
            <w:tcW w:w="242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0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Amounts Reclassified Out of Accumulated Other Comprehensive Income. </w:t>
      </w:r>
      <w:r>
        <w:rPr>
          <w:rFonts w:ascii="Arial" w:cs="Arial" w:eastAsia="Arial" w:hAnsi="Arial"/>
          <w:sz w:val="17"/>
          <w:szCs w:val="17"/>
          <w:color w:val="auto"/>
        </w:rPr>
        <w:t>In February 2013, the FASB issued an accounting standard update on disclosure of</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reclassified out of accumulated other comprehensive income. This update requires entities to provide information about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guidance was adopted beginning with the quarter ended March 31, 2013, and required additional disclosures but did not have an impact on our consolidated financial position, results of operations, or cash flows. (See Note 11. Reclassifications Out of Accumulated Other Comprehensive Income (Loss).)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Regulated Operations includes our regulated utilities, Minnesota Power and SWL&amp;P, as well as our investment in ATC, a Wisconsin-based regulated utility that owns and maintains electric transmission assets in parts of Wisconsin, Michigan, Minnesota and Illinois. Investments and Other is comprised primarily of BNI Coal, our coal mining operations in North Dakota, ALLETE Properties, our Florida real estate investment, and ALLETE Clean Energy, our business aimed at developing or acquiring capital projects that create energy solutions via wind, solar, biomass, midstream gas and oil infrastructure, among other energy-related projects. This segment also includes other business development and corporate expenditures, a small amount of non-rate base generation, approximately 6,000 acres of land in Minnesota, and earnings on cash and investments.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Investments and</w:t>
            </w:r>
          </w:p>
        </w:tc>
      </w:tr>
      <w:tr>
        <w:trPr>
          <w:trHeight w:val="234"/>
        </w:trPr>
        <w:tc>
          <w:tcPr>
            <w:tcW w:w="4920" w:type="dxa"/>
            <w:vAlign w:val="bottom"/>
          </w:tcPr>
          <w:p>
            <w:pPr>
              <w:spacing w:after="0"/>
              <w:rPr>
                <w:sz w:val="20"/>
                <w:szCs w:val="20"/>
                <w:color w:val="auto"/>
              </w:rPr>
            </w:pPr>
          </w:p>
        </w:tc>
        <w:tc>
          <w:tcPr>
            <w:tcW w:w="348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r>
      <w:tr>
        <w:trPr>
          <w:trHeight w:val="27"/>
        </w:trPr>
        <w:tc>
          <w:tcPr>
            <w:tcW w:w="49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 2013</w:t>
            </w:r>
          </w:p>
        </w:tc>
        <w:tc>
          <w:tcPr>
            <w:tcW w:w="3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
        </w:trPr>
        <w:tc>
          <w:tcPr>
            <w:tcW w:w="49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$235.6</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$215.8</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78.7</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78.7</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103.8</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82.8</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28.7</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27.1</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9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24.4</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8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9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49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18.1</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9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$14.0</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92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Investments and</w:t>
            </w:r>
          </w:p>
        </w:tc>
      </w:tr>
      <w:tr>
        <w:trPr>
          <w:trHeight w:val="234"/>
        </w:trPr>
        <w:tc>
          <w:tcPr>
            <w:tcW w:w="4920" w:type="dxa"/>
            <w:vAlign w:val="bottom"/>
          </w:tcPr>
          <w:p>
            <w:pPr>
              <w:spacing w:after="0"/>
              <w:rPr>
                <w:sz w:val="20"/>
                <w:szCs w:val="20"/>
                <w:color w:val="auto"/>
              </w:rPr>
            </w:pPr>
          </w:p>
        </w:tc>
        <w:tc>
          <w:tcPr>
            <w:tcW w:w="348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r>
      <w:tr>
        <w:trPr>
          <w:trHeight w:val="27"/>
        </w:trPr>
        <w:tc>
          <w:tcPr>
            <w:tcW w:w="49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 2012</w:t>
            </w:r>
          </w:p>
        </w:tc>
        <w:tc>
          <w:tcPr>
            <w:tcW w:w="3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
        </w:trPr>
        <w:tc>
          <w:tcPr>
            <w:tcW w:w="49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$216.4</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$197.0</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72.1</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72.1</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96.2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76.1</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24.8</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23.4</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9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23.3</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8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9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4.8</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9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$14.4</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3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576"/>
        </w:trPr>
        <w:tc>
          <w:tcPr>
            <w:tcW w:w="5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Investments and</w:t>
            </w:r>
          </w:p>
        </w:tc>
      </w:tr>
      <w:tr>
        <w:trPr>
          <w:trHeight w:val="234"/>
        </w:trPr>
        <w:tc>
          <w:tcPr>
            <w:tcW w:w="5320" w:type="dxa"/>
            <w:vAlign w:val="bottom"/>
          </w:tcPr>
          <w:p>
            <w:pPr>
              <w:spacing w:after="0"/>
              <w:rPr>
                <w:sz w:val="20"/>
                <w:szCs w:val="20"/>
                <w:color w:val="auto"/>
              </w:rPr>
            </w:pPr>
          </w:p>
        </w:tc>
        <w:tc>
          <w:tcPr>
            <w:tcW w:w="308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2013</w:t>
            </w:r>
          </w:p>
        </w:tc>
        <w:tc>
          <w:tcPr>
            <w:tcW w:w="3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
        </w:trPr>
        <w:tc>
          <w:tcPr>
            <w:tcW w:w="5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$499.4</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$457.2</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3080" w:type="dxa"/>
            <w:vAlign w:val="bottom"/>
          </w:tcPr>
          <w:p>
            <w:pPr>
              <w:jc w:val="right"/>
              <w:ind w:right="170"/>
              <w:spacing w:after="0"/>
              <w:rPr>
                <w:sz w:val="20"/>
                <w:szCs w:val="20"/>
                <w:color w:val="auto"/>
              </w:rPr>
            </w:pPr>
            <w:r>
              <w:rPr>
                <w:rFonts w:ascii="Arial" w:cs="Arial" w:eastAsia="Arial" w:hAnsi="Arial"/>
                <w:sz w:val="18"/>
                <w:szCs w:val="18"/>
                <w:color w:val="auto"/>
              </w:rPr>
              <w:t>165.2</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165.2</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3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208.5</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165.0</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3080" w:type="dxa"/>
            <w:vAlign w:val="bottom"/>
          </w:tcPr>
          <w:p>
            <w:pPr>
              <w:jc w:val="right"/>
              <w:ind w:right="170"/>
              <w:spacing w:after="0"/>
              <w:rPr>
                <w:sz w:val="20"/>
                <w:szCs w:val="20"/>
                <w:color w:val="auto"/>
              </w:rPr>
            </w:pPr>
            <w:r>
              <w:rPr>
                <w:rFonts w:ascii="Arial" w:cs="Arial" w:eastAsia="Arial" w:hAnsi="Arial"/>
                <w:sz w:val="18"/>
                <w:szCs w:val="18"/>
                <w:color w:val="auto"/>
              </w:rPr>
              <w:t>56.9</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53.9</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68.8</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80" w:type="dxa"/>
            <w:vAlign w:val="bottom"/>
          </w:tcPr>
          <w:p>
            <w:pPr>
              <w:jc w:val="right"/>
              <w:ind w:right="110"/>
              <w:spacing w:after="0"/>
              <w:rPr>
                <w:sz w:val="20"/>
                <w:szCs w:val="20"/>
                <w:color w:val="auto"/>
              </w:rPr>
            </w:pPr>
            <w:r>
              <w:rPr>
                <w:rFonts w:ascii="Arial" w:cs="Arial" w:eastAsia="Arial" w:hAnsi="Arial"/>
                <w:sz w:val="18"/>
                <w:szCs w:val="18"/>
                <w:color w:val="auto"/>
              </w:rPr>
              <w:t>(25.1)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3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080" w:type="dxa"/>
            <w:vAlign w:val="bottom"/>
          </w:tcPr>
          <w:p>
            <w:pPr>
              <w:jc w:val="right"/>
              <w:ind w:right="170"/>
              <w:spacing w:after="0"/>
              <w:rPr>
                <w:sz w:val="20"/>
                <w:szCs w:val="20"/>
                <w:color w:val="auto"/>
              </w:rPr>
            </w:pPr>
            <w:r>
              <w:rPr>
                <w:rFonts w:ascii="Arial" w:cs="Arial" w:eastAsia="Arial" w:hAnsi="Arial"/>
                <w:sz w:val="18"/>
                <w:szCs w:val="18"/>
                <w:color w:val="auto"/>
              </w:rPr>
              <w:t>4.2</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58.1</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80" w:type="dxa"/>
            <w:vAlign w:val="bottom"/>
          </w:tcPr>
          <w:p>
            <w:pPr>
              <w:jc w:val="right"/>
              <w:ind w:right="170"/>
              <w:spacing w:after="0"/>
              <w:rPr>
                <w:sz w:val="20"/>
                <w:szCs w:val="20"/>
                <w:color w:val="auto"/>
              </w:rPr>
            </w:pPr>
            <w:r>
              <w:rPr>
                <w:rFonts w:ascii="Arial" w:cs="Arial" w:eastAsia="Arial" w:hAnsi="Arial"/>
                <w:sz w:val="18"/>
                <w:szCs w:val="18"/>
                <w:color w:val="auto"/>
              </w:rPr>
              <w:t>11.6</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16.0</w:t>
            </w:r>
          </w:p>
        </w:tc>
        <w:tc>
          <w:tcPr>
            <w:tcW w:w="1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3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3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$46.5</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534"/>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June 30, 2013</w:t>
            </w:r>
          </w:p>
        </w:tc>
        <w:tc>
          <w:tcPr>
            <w:tcW w:w="30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
        </w:trPr>
        <w:tc>
          <w:tcPr>
            <w:tcW w:w="5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$3,350.9</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$2,997.0</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$353.9</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080" w:type="dxa"/>
            <w:vAlign w:val="bottom"/>
          </w:tcPr>
          <w:p>
            <w:pPr>
              <w:jc w:val="right"/>
              <w:ind w:right="170"/>
              <w:spacing w:after="0"/>
              <w:rPr>
                <w:sz w:val="20"/>
                <w:szCs w:val="20"/>
                <w:color w:val="auto"/>
              </w:rPr>
            </w:pPr>
            <w:r>
              <w:rPr>
                <w:rFonts w:ascii="Arial" w:cs="Arial" w:eastAsia="Arial" w:hAnsi="Arial"/>
                <w:sz w:val="18"/>
                <w:szCs w:val="18"/>
                <w:color w:val="auto"/>
              </w:rPr>
              <w:t>$2,397.2</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$2,329.6</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$67.6</w:t>
            </w:r>
          </w:p>
        </w:tc>
      </w:tr>
      <w:tr>
        <w:trPr>
          <w:trHeight w:val="27"/>
        </w:trPr>
        <w:tc>
          <w:tcPr>
            <w:tcW w:w="5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$1,202.8</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$1,143.2</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3080" w:type="dxa"/>
            <w:vAlign w:val="bottom"/>
          </w:tcPr>
          <w:p>
            <w:pPr>
              <w:jc w:val="right"/>
              <w:ind w:right="170"/>
              <w:spacing w:after="0"/>
              <w:rPr>
                <w:sz w:val="20"/>
                <w:szCs w:val="20"/>
                <w:color w:val="auto"/>
              </w:rPr>
            </w:pPr>
            <w:r>
              <w:rPr>
                <w:rFonts w:ascii="Arial" w:cs="Arial" w:eastAsia="Arial" w:hAnsi="Arial"/>
                <w:sz w:val="18"/>
                <w:szCs w:val="18"/>
                <w:color w:val="auto"/>
              </w:rPr>
              <w:t>$100.2</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$97.2</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$3.0</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5080" w:type="dxa"/>
            <w:vAlign w:val="bottom"/>
          </w:tcPr>
          <w:p>
            <w:pPr>
              <w:spacing w:after="0"/>
              <w:rPr>
                <w:sz w:val="20"/>
                <w:szCs w:val="20"/>
                <w:color w:val="auto"/>
              </w:rPr>
            </w:pPr>
          </w:p>
        </w:tc>
        <w:tc>
          <w:tcPr>
            <w:tcW w:w="336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50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2012</w:t>
            </w:r>
          </w:p>
        </w:tc>
        <w:tc>
          <w:tcPr>
            <w:tcW w:w="3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0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$456.4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$415.6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3360" w:type="dxa"/>
            <w:vAlign w:val="bottom"/>
          </w:tcPr>
          <w:p>
            <w:pPr>
              <w:jc w:val="right"/>
              <w:ind w:right="230"/>
              <w:spacing w:after="0"/>
              <w:rPr>
                <w:sz w:val="20"/>
                <w:szCs w:val="20"/>
                <w:color w:val="auto"/>
              </w:rPr>
            </w:pPr>
            <w:r>
              <w:rPr>
                <w:rFonts w:ascii="Arial" w:cs="Arial" w:eastAsia="Arial" w:hAnsi="Arial"/>
                <w:sz w:val="18"/>
                <w:szCs w:val="18"/>
                <w:color w:val="auto"/>
              </w:rPr>
              <w:t>149.2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149.2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3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196.1</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154.2</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3360" w:type="dxa"/>
            <w:vAlign w:val="bottom"/>
          </w:tcPr>
          <w:p>
            <w:pPr>
              <w:jc w:val="right"/>
              <w:ind w:right="230"/>
              <w:spacing w:after="0"/>
              <w:rPr>
                <w:sz w:val="20"/>
                <w:szCs w:val="20"/>
                <w:color w:val="auto"/>
              </w:rPr>
            </w:pPr>
            <w:r>
              <w:rPr>
                <w:rFonts w:ascii="Arial" w:cs="Arial" w:eastAsia="Arial" w:hAnsi="Arial"/>
                <w:sz w:val="18"/>
                <w:szCs w:val="18"/>
                <w:color w:val="auto"/>
              </w:rPr>
              <w:t>49.4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46.6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50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61.7</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360" w:type="dxa"/>
            <w:vAlign w:val="bottom"/>
          </w:tcPr>
          <w:p>
            <w:pPr>
              <w:jc w:val="right"/>
              <w:ind w:right="170"/>
              <w:spacing w:after="0"/>
              <w:rPr>
                <w:sz w:val="20"/>
                <w:szCs w:val="20"/>
                <w:color w:val="auto"/>
              </w:rPr>
            </w:pPr>
            <w:r>
              <w:rPr>
                <w:rFonts w:ascii="Arial" w:cs="Arial" w:eastAsia="Arial" w:hAnsi="Arial"/>
                <w:sz w:val="18"/>
                <w:szCs w:val="18"/>
                <w:color w:val="auto"/>
              </w:rPr>
              <w:t>(21.1)</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(19.5)</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0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3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9.4</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36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0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3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51.9</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360" w:type="dxa"/>
            <w:vAlign w:val="bottom"/>
          </w:tcPr>
          <w:p>
            <w:pPr>
              <w:jc w:val="right"/>
              <w:ind w:right="230"/>
              <w:spacing w:after="0"/>
              <w:rPr>
                <w:sz w:val="20"/>
                <w:szCs w:val="20"/>
                <w:color w:val="auto"/>
              </w:rPr>
            </w:pPr>
            <w:r>
              <w:rPr>
                <w:rFonts w:ascii="Arial" w:cs="Arial" w:eastAsia="Arial" w:hAnsi="Arial"/>
                <w:sz w:val="18"/>
                <w:szCs w:val="18"/>
                <w:color w:val="auto"/>
              </w:rPr>
              <w:t>13.1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18.7</w:t>
            </w: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0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$38.8</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534"/>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June 30, 2012</w:t>
            </w:r>
          </w:p>
        </w:tc>
        <w:tc>
          <w:tcPr>
            <w:tcW w:w="33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7"/>
        </w:trPr>
        <w:tc>
          <w:tcPr>
            <w:tcW w:w="50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$2,962.2</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$2,755.4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360" w:type="dxa"/>
            <w:vAlign w:val="bottom"/>
          </w:tcPr>
          <w:p>
            <w:pPr>
              <w:jc w:val="right"/>
              <w:ind w:right="230"/>
              <w:spacing w:after="0"/>
              <w:rPr>
                <w:sz w:val="20"/>
                <w:szCs w:val="20"/>
                <w:color w:val="auto"/>
              </w:rPr>
            </w:pPr>
            <w:r>
              <w:rPr>
                <w:rFonts w:ascii="Arial" w:cs="Arial" w:eastAsia="Arial" w:hAnsi="Arial"/>
                <w:sz w:val="18"/>
                <w:szCs w:val="18"/>
                <w:color w:val="auto"/>
              </w:rPr>
              <w:t>$2,177.5</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$2,119.9</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$57.6</w:t>
            </w:r>
          </w:p>
        </w:tc>
      </w:tr>
      <w:tr>
        <w:trPr>
          <w:trHeight w:val="27"/>
        </w:trPr>
        <w:tc>
          <w:tcPr>
            <w:tcW w:w="50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$1,124.5</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$1,070.1</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3360" w:type="dxa"/>
            <w:vAlign w:val="bottom"/>
          </w:tcPr>
          <w:p>
            <w:pPr>
              <w:jc w:val="right"/>
              <w:ind w:right="230"/>
              <w:spacing w:after="0"/>
              <w:rPr>
                <w:sz w:val="20"/>
                <w:szCs w:val="20"/>
                <w:color w:val="auto"/>
              </w:rPr>
            </w:pPr>
            <w:r>
              <w:rPr>
                <w:rFonts w:ascii="Arial" w:cs="Arial" w:eastAsia="Arial" w:hAnsi="Arial"/>
                <w:sz w:val="18"/>
                <w:szCs w:val="18"/>
                <w:color w:val="auto"/>
              </w:rPr>
              <w:t>$235.1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$232.3</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6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Our long-term investment portfolio includes the real estate assets of ALLETE Properties, debt and equity securities consisting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in other postretirement plans to fund employee benefits, the cash equivalents within these plans, and other assets consisting primarily of land in Minnesota.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428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6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8"/>
                <w:szCs w:val="18"/>
                <w:i w:val="1"/>
                <w:iCs w:val="1"/>
                <w:color w:val="auto"/>
              </w:rPr>
              <w:t>(a)</w:t>
            </w:r>
          </w:p>
        </w:tc>
        <w:tc>
          <w:tcPr>
            <w:tcW w:w="4280" w:type="dxa"/>
            <w:vAlign w:val="bottom"/>
          </w:tcPr>
          <w:p>
            <w:pPr>
              <w:jc w:val="right"/>
              <w:ind w:right="210"/>
              <w:spacing w:after="0"/>
              <w:rPr>
                <w:sz w:val="20"/>
                <w:szCs w:val="20"/>
                <w:color w:val="auto"/>
              </w:rPr>
            </w:pPr>
            <w:r>
              <w:rPr>
                <w:rFonts w:ascii="Arial" w:cs="Arial" w:eastAsia="Arial" w:hAnsi="Arial"/>
                <w:sz w:val="18"/>
                <w:szCs w:val="18"/>
                <w:color w:val="auto"/>
              </w:rPr>
              <w:t>20.4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5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Other</w:t>
            </w:r>
          </w:p>
        </w:tc>
        <w:tc>
          <w:tcPr>
            <w:tcW w:w="428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6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2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$140.2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r>
      <w:tr>
        <w:trPr>
          <w:trHeight w:val="20"/>
        </w:trPr>
        <w:tc>
          <w:tcPr>
            <w:tcW w:w="5640" w:type="dxa"/>
            <w:vAlign w:val="bottom"/>
            <w:shd w:val="clear" w:color="auto" w:fill="000000"/>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As of June 30, 2013, the aggregate amount of available-for-sale corporate debt securities maturing in one year or less was $1.2 million, in one year to less than three years was $5.1 million, in three years to less than five years was $1.3 million, and in five or more years was $0.9 million.</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94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2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w:t>
            </w:r>
          </w:p>
        </w:tc>
        <w:tc>
          <w:tcPr>
            <w:tcW w:w="2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$86.5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Deeds to Collateralized Property</w:t>
            </w:r>
          </w:p>
        </w:tc>
        <w:tc>
          <w:tcPr>
            <w:tcW w:w="29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9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w:t>
            </w:r>
          </w:p>
        </w:tc>
        <w:tc>
          <w:tcPr>
            <w:tcW w:w="2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Capitalized Improvements and Other</w:t>
            </w:r>
          </w:p>
        </w:tc>
        <w:tc>
          <w:tcPr>
            <w:tcW w:w="29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Ending Balance</w:t>
            </w:r>
          </w:p>
        </w:tc>
        <w:tc>
          <w:tcPr>
            <w:tcW w:w="2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86.6</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294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9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Real Estate Assets</w:t>
            </w:r>
          </w:p>
        </w:tc>
        <w:tc>
          <w:tcPr>
            <w:tcW w:w="2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$91.1</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w:t>
            </w:r>
          </w:p>
        </w:tc>
      </w:tr>
      <w:tr>
        <w:trPr>
          <w:trHeight w:val="27"/>
        </w:trPr>
        <w:tc>
          <w:tcPr>
            <w:tcW w:w="69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impairment on a quarterly basis and no impairments were recorded for the six months ended June 30, 2013 (none for the year ended December 31, 2012).</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Long-Term Finance Receivables. </w:t>
      </w:r>
      <w:r>
        <w:rPr>
          <w:rFonts w:ascii="Arial" w:cs="Arial" w:eastAsia="Arial" w:hAnsi="Arial"/>
          <w:sz w:val="17"/>
          <w:szCs w:val="17"/>
          <w:color w:val="auto"/>
        </w:rPr>
        <w:t>As of June 30, 2013, long-term finance receivables were $1.4 million net of allowance ($1.4 million net of allowance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2012). Long-term finance receivables are collateralized by property sold, accrue interest at market-based rates and are net of an allowance for doubtful accounts. As of June 30, 2013, we had an allowance for doubtful accounts of $0.6 million ($0.6 million as of December 31, 2012).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DERIVATIVES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third quarter of 2011, we entered into a variable-to-fixed interest rate swap (Swap), designated as a cash flow hedge, in order to manage the interest rate risk associated with a $75.0 million Term Loan. The Term Loan has a variable interest rate equal to the one-month LIBOR plus 1.00 percent, has a maturity of August 25, 2014, and represents approximately 7 percent of the Company’s outstanding long-term debt as of June 30, 2013. (See Note 8. Short-Term and Long-Term Debt.) The Swap agreement has a notional amount equal to the underlying debt principal and matures on August 25, 2014. The Swap agreement involves the receipt of variable rate amounts in exchange for fixed rate interest payments over the life of the agreement without an exchange of the underlying notional amount. The variable rate of the Swap is equal to the one-month LIBOR and the fixed rate is equal to 0.825 percent. Cash flows from the interest rate swap are expected to be highly effective in offsetting the variable interest expense of the debt attributable to fluctuations in the one-month LIBOR interest rate over the life of the Swap. If it is determined that a derivative is not or has ceased to be effective as a hedge, the Company prospectively discontinues hedge accounting with respect to that derivative. The shortcut method is used to assess hedge effectiveness. At inception, all shortcut method requirements were satisfied; thus changes in the value of the Swap are deemed 100 percent effective. As a result, there was no ineffectiveness recorded for the quarter and six months ended June 30, 2013. The mark-to-market fluctuation on the cash flow hedge was recorded in accumulated other comprehensive income on the Consolidated Balance Sheet. As of June 30, 2013, the fair value of the Swap was a $0.5 million liability (a $0.7 million liability as of December 31, 2012) and is included in other non-current liabilities on the Consolidated Balance Sheet. Cash flows from derivative activities are presented in the same category as the item being hedged on the Consolidated Statement of Cash Flows. Amounts recorded in other comprehensive income related to cash flow hedges will be recognized in earnings when the hedged transactions occur or when it is probable that the hedged transactions will not occur. Gains or losses on interest rate hedging transactions are reflected as a component of interest expense on the Consolidated Statement of Income.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2012 Form 10-K.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FAIR VALUE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tables set forth by level within the fair value hierarchy our assets and liabilities that were accounted for at fair value on a recurring basis as of June 30, 2013 and December 31, 2012. Each asset and liability is classified based on the lowest level of input that is significant to the fair value measurement. Our assessment of the significance of a particular input to the fair value measurement requires judgment and may affect the valuation of these assets and liabilities and their placement within the fair value hierarchy levels. The estimated fair value of cash and cash equivalents listed on the Consolidated Balance Sheet approximates the carrying amount and therefore are excluded from the recurring fair value measures in the tables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5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Fair Value as of June 30, 2013</w:t>
            </w:r>
          </w:p>
        </w:tc>
        <w:tc>
          <w:tcPr>
            <w:tcW w:w="88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54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$8.5</w:t>
            </w:r>
          </w:p>
        </w:tc>
        <w:tc>
          <w:tcPr>
            <w:tcW w:w="1220" w:type="dxa"/>
            <w:vAlign w:val="bottom"/>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w:t>
            </w:r>
          </w:p>
        </w:tc>
      </w:tr>
      <w:tr>
        <w:trPr>
          <w:trHeight w:val="27"/>
        </w:trPr>
        <w:tc>
          <w:tcPr>
            <w:tcW w:w="5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r>
      <w:tr>
        <w:trPr>
          <w:trHeight w:val="237"/>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3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$8.5</w:t>
            </w:r>
          </w:p>
        </w:tc>
        <w:tc>
          <w:tcPr>
            <w:tcW w:w="12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$44.8</w:t>
            </w:r>
          </w:p>
        </w:tc>
      </w:tr>
      <w:tr>
        <w:trPr>
          <w:trHeight w:val="27"/>
        </w:trPr>
        <w:tc>
          <w:tcPr>
            <w:tcW w:w="54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542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$15.7</w:t>
            </w:r>
          </w:p>
        </w:tc>
        <w:tc>
          <w:tcPr>
            <w:tcW w:w="1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Derivatives – Interest Rate Swap</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1220" w:type="dxa"/>
            <w:vAlign w:val="bottom"/>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54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$16.2</w:t>
            </w:r>
          </w:p>
        </w:tc>
        <w:tc>
          <w:tcPr>
            <w:tcW w:w="1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r>
      <w:tr>
        <w:trPr>
          <w:trHeight w:val="277"/>
        </w:trPr>
        <w:tc>
          <w:tcPr>
            <w:tcW w:w="5420" w:type="dxa"/>
            <w:vAlign w:val="bottom"/>
            <w:tcBorders>
              <w:top w:val="single" w:sz="8" w:color="auto"/>
              <w:bottom w:val="single" w:sz="8" w:color="auto"/>
            </w:tcBorders>
          </w:tcPr>
          <w:p>
            <w:pPr>
              <w:spacing w:after="0"/>
              <w:rPr>
                <w:sz w:val="24"/>
                <w:szCs w:val="24"/>
                <w:color w:val="auto"/>
              </w:rPr>
            </w:pPr>
          </w:p>
        </w:tc>
        <w:tc>
          <w:tcPr>
            <w:tcW w:w="25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1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r>
      <w:tr>
        <w:trPr>
          <w:trHeight w:val="20"/>
        </w:trPr>
        <w:tc>
          <w:tcPr>
            <w:tcW w:w="542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900" w:type="dxa"/>
            <w:vAlign w:val="bottom"/>
            <w:gridSpan w:val="3"/>
          </w:tcPr>
          <w:p>
            <w:pPr>
              <w:ind w:left="1120"/>
              <w:spacing w:after="0"/>
              <w:rPr>
                <w:sz w:val="20"/>
                <w:szCs w:val="20"/>
                <w:color w:val="auto"/>
              </w:rPr>
            </w:pPr>
            <w:r>
              <w:rPr>
                <w:rFonts w:ascii="Arial" w:cs="Arial" w:eastAsia="Arial" w:hAnsi="Arial"/>
                <w:sz w:val="18"/>
                <w:szCs w:val="18"/>
                <w:b w:val="1"/>
                <w:bCs w:val="1"/>
                <w:color w:val="auto"/>
                <w:w w:val="91"/>
              </w:rPr>
              <w:t>Fair Value as of December 31, 2012</w:t>
            </w:r>
          </w:p>
        </w:tc>
        <w:tc>
          <w:tcPr>
            <w:tcW w:w="780" w:type="dxa"/>
            <w:vAlign w:val="bottom"/>
          </w:tcPr>
          <w:p>
            <w:pPr>
              <w:spacing w:after="0"/>
              <w:rPr>
                <w:sz w:val="20"/>
                <w:szCs w:val="20"/>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6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$18.0</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$8.8</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8.8</w:t>
            </w:r>
          </w:p>
        </w:tc>
      </w:tr>
      <w:tr>
        <w:trPr>
          <w:trHeight w:val="27"/>
        </w:trPr>
        <w:tc>
          <w:tcPr>
            <w:tcW w:w="6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20.7</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$38.7</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$8.8</w:t>
            </w:r>
          </w:p>
        </w:tc>
        <w:tc>
          <w:tcPr>
            <w:tcW w:w="13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w:t>
            </w:r>
          </w:p>
        </w:tc>
      </w:tr>
      <w:tr>
        <w:trPr>
          <w:trHeight w:val="27"/>
        </w:trPr>
        <w:tc>
          <w:tcPr>
            <w:tcW w:w="6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$14.0</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Derivatives – Interest Rate Swap</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6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$14.7</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r>
      <w:tr>
        <w:trPr>
          <w:trHeight w:val="277"/>
        </w:trPr>
        <w:tc>
          <w:tcPr>
            <w:tcW w:w="672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r>
        <w:trPr>
          <w:trHeight w:val="26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$38.7</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r>
      <w:tr>
        <w:trPr>
          <w:trHeight w:val="426"/>
        </w:trPr>
        <w:tc>
          <w:tcPr>
            <w:tcW w:w="6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There was no activity in Level 3 during the six months ended June 30, 2013 and 2012.</w:t>
            </w:r>
          </w:p>
        </w:tc>
        <w:tc>
          <w:tcPr>
            <w:tcW w:w="14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policy is to recognize transfers in and transfers out of a given level as of the actual date of the event or of the change in circumstances that caused the transfer. For the six months ended June 30, 2013 and 2012 , there were no transfers in or out of Levels 1, 2 or 3.</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FAIR VALUE (Continued)</w:t>
      </w:r>
    </w:p>
    <w:p>
      <w:pPr>
        <w:spacing w:after="0" w:line="22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June 30, 2013</w:t>
            </w:r>
          </w:p>
        </w:tc>
        <w:tc>
          <w:tcPr>
            <w:tcW w:w="4100" w:type="dxa"/>
            <w:vAlign w:val="bottom"/>
          </w:tcPr>
          <w:p>
            <w:pPr>
              <w:jc w:val="right"/>
              <w:ind w:right="470"/>
              <w:spacing w:after="0"/>
              <w:rPr>
                <w:sz w:val="20"/>
                <w:szCs w:val="20"/>
                <w:color w:val="auto"/>
              </w:rPr>
            </w:pPr>
            <w:r>
              <w:rPr>
                <w:rFonts w:ascii="Arial" w:cs="Arial" w:eastAsia="Arial" w:hAnsi="Arial"/>
                <w:sz w:val="18"/>
                <w:szCs w:val="18"/>
                <w:color w:val="auto"/>
              </w:rPr>
              <w:t>$1,102.6</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$1,160.2</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2012</w:t>
            </w:r>
          </w:p>
        </w:tc>
        <w:tc>
          <w:tcPr>
            <w:tcW w:w="4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$1,018.1</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$1,143.7</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2011, Minnesota Power appealed the MPUC’s interim rate decision in the Company’s 2010 rate case to the Minnesota Court of Appeals. The Company appealed the MPUC’s finding of exigent circumstances in the interim rate decision with the primary arguments being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In January 2012, the Company filed a petition for review at the Minnesota Supreme Court (Court). In February 2012, the Court granted the petition for review and oral arguments were held before the Court in October 2012. A decision is expected in the third quarter of 2013. We cannot predict the outcome at this time.</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and 1 private utility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cost-based formula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and on December 31, 2011, this wholesale customer submitted a cancellation notice with termination effective on December 31, 2013. The 17MW of average monthly demand currently provided to this wholesale customer is expected to be used, upon termination, to supply power for prospective additional retail and municipal load.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2013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 The new rates reflect an average overall increase of 2.4 percent for retail customers (a 13.8 percent increase in water rates, a 1.2 percent increase in electric rates, and a 0.2 percent decrease in natural gas rates). On an annualized basis, the rate increase will generate approximately $1.7 million in additional revenue.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Transmission Cost Recovery Riders. </w:t>
      </w:r>
      <w:r>
        <w:rPr>
          <w:rFonts w:ascii="Arial" w:cs="Arial" w:eastAsia="Arial" w:hAnsi="Arial"/>
          <w:sz w:val="17"/>
          <w:szCs w:val="17"/>
          <w:color w:val="auto"/>
        </w:rPr>
        <w:t>Minnesota Power has an approved cost recovery rider in place for certain transmission investments and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continued use of the 2009 billing factor was approved by the MPUC in May 2011, which allows Minnesota Power to charge retail customers on a current basis for the costs of constructing certain transmission facilities plus a return on the capital invested. In June 2011, Minnesota Power filed an updated billing factor that includes additional transmission expenditures, which is expected to be approved in the second half of 2013.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Renewable Cost Recovery Riders. </w:t>
      </w:r>
      <w:r>
        <w:rPr>
          <w:rFonts w:ascii="Arial" w:cs="Arial" w:eastAsia="Arial" w:hAnsi="Arial"/>
          <w:sz w:val="17"/>
          <w:szCs w:val="17"/>
          <w:color w:val="auto"/>
        </w:rPr>
        <w:t>The Bison Wind Energy Center in North Dakota consists of 292 MW of nameplate capacity and was completed in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phases through 2012. Customer billing rates for Bison were approved by the MPUC in a November 2011 order and are based on investments and expenditures through that period. Minnesota Power filed a cost recovery petition with the MPUC on May 31, 2013, to update customer billing rates for subsequent investments and expenditures since 2011, which is expected to be approved in the second half of 2013.</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Rapids Energy Center. </w:t>
      </w:r>
      <w:r>
        <w:rPr>
          <w:rFonts w:ascii="Arial" w:cs="Arial" w:eastAsia="Arial" w:hAnsi="Arial"/>
          <w:sz w:val="18"/>
          <w:szCs w:val="18"/>
          <w:color w:val="auto"/>
        </w:rPr>
        <w:t>In December 2012, Minnesota Power filed with the MPUC for approval to transfer the assets of Rapids Energy Center from non-rate</w:t>
      </w:r>
      <w:r>
        <w:rPr>
          <w:rFonts w:ascii="Arial" w:cs="Arial" w:eastAsia="Arial" w:hAnsi="Arial"/>
          <w:sz w:val="18"/>
          <w:szCs w:val="18"/>
          <w:b w:val="1"/>
          <w:bCs w:val="1"/>
          <w:color w:val="auto"/>
        </w:rPr>
        <w:t xml:space="preserve"> </w:t>
      </w:r>
      <w:r>
        <w:rPr>
          <w:rFonts w:ascii="Arial" w:cs="Arial" w:eastAsia="Arial" w:hAnsi="Arial"/>
          <w:sz w:val="18"/>
          <w:szCs w:val="18"/>
          <w:color w:val="auto"/>
        </w:rPr>
        <w:t>base generation to Minnesota Power’s Regulated Operations. Rapids Energy Center is a generation facility that is located at the UPM, Blandin Paper Mill (Blandin). Minnesota Power and Blandin entered into a new electric service agreement in September 2012 which is also subject to MPUC approval. We expect a decision from the MPUC on these filings in late 2013.</w:t>
      </w:r>
    </w:p>
    <w:p>
      <w:pPr>
        <w:spacing w:after="0" w:line="18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b w:val="1"/>
          <w:b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Integrated Resource Plan</w:t>
      </w:r>
      <w:r>
        <w:rPr>
          <w:rFonts w:ascii="Arial" w:cs="Arial" w:eastAsia="Arial" w:hAnsi="Arial"/>
          <w:sz w:val="18"/>
          <w:szCs w:val="18"/>
          <w:color w:val="auto"/>
        </w:rPr>
        <w:t>. In May 2011, the MPUC issued its final order approving our 2010 Integrated Resource Plan. As a condition of the final order, a</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baseload diversification study evaluating the impact of additional environmental regulations over the next two decades was filed in February 2012. Minnesota Power’s 2013 Integrated Resource Plan, filed on March 1, 2013, details our “EnergyForward” strategic plan and includes an analysis of a variety of existing and future energy resource alternatives and a projection of customer cost impact by class. A decision by the MPUC on this plan is expected in late 2013.</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Boswell Mercury Emissions Reduction Plan. </w:t>
      </w:r>
      <w:r>
        <w:rPr>
          <w:rFonts w:ascii="Arial" w:cs="Arial" w:eastAsia="Arial" w:hAnsi="Arial"/>
          <w:sz w:val="17"/>
          <w:szCs w:val="17"/>
          <w:color w:val="auto"/>
        </w:rPr>
        <w:t>Minnesota Power is required to implement a mercury emissions reduction project for Boswell Unit 4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between $350 million and $400 million. The MPCA issued its report on March 1, 2013, in support of the Boswell Unit 4 mercury emissions reduction plan stating that the plan is appropriate for accomplishing the objectives of reducing emissions of mercury and other pollutants under the Minnesota Statutes and recommended that the MPUC accept the report’s findings. We expect a decision by the MPUC on the plan in the third quarter of 2013. Upon approval by the MPUC, we anticipate filing a petition to include investments and expenditures in customer billing rates.</w:t>
      </w:r>
    </w:p>
    <w:p>
      <w:pPr>
        <w:spacing w:after="0" w:line="17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The Patient Protection and Affordable Care Act of 2010 (PPACA). </w:t>
      </w:r>
      <w:r>
        <w:rPr>
          <w:rFonts w:ascii="Arial" w:cs="Arial" w:eastAsia="Arial" w:hAnsi="Arial"/>
          <w:sz w:val="16"/>
          <w:szCs w:val="16"/>
          <w:color w:val="auto"/>
        </w:rPr>
        <w:t>In March 2010, the PPACA was signed into law. One of the provisions changed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which resulted in a non-recurring charge to net income of $4.0 million in 2010. In October 2010, we submitted a filing with the MPUC requesting deferral of the retail portion of the tax charge taken in 2010 resulting from the PPACA. In May 2011, the MPUC approved our request for deferral until the next rate case and as a result we recorded an income tax benefit of $2.9 million and a related regulatory asset of $5.0 million in the second quarter of 2011.</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the accounting guidance for Regulated Operations. We capitalize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which are probable of recovery in future utility rates as regulatory assets. Regulatory liabilities represent amounts expected to be refunded or credited to customers in rates. No regulatory assets or liabilities are currently earning a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36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NOTE 6. REGULATORY MATTERS (Continued)</w:t>
            </w:r>
          </w:p>
        </w:tc>
        <w:tc>
          <w:tcPr>
            <w:tcW w:w="28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6"/>
        </w:trPr>
        <w:tc>
          <w:tcPr>
            <w:tcW w:w="6980" w:type="dxa"/>
            <w:vAlign w:val="bottom"/>
          </w:tcPr>
          <w:p>
            <w:pPr>
              <w:spacing w:after="0"/>
              <w:rPr>
                <w:sz w:val="24"/>
                <w:szCs w:val="24"/>
                <w:color w:val="auto"/>
              </w:rPr>
            </w:pPr>
          </w:p>
        </w:tc>
        <w:tc>
          <w:tcPr>
            <w:tcW w:w="288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2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69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2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28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37"/>
        </w:trPr>
        <w:tc>
          <w:tcPr>
            <w:tcW w:w="6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Regulatory Assets</w:t>
            </w:r>
          </w:p>
        </w:tc>
        <w:tc>
          <w:tcPr>
            <w:tcW w:w="2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18.3</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69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2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Future Benefit Obligations Under</w:t>
            </w:r>
          </w:p>
        </w:tc>
        <w:tc>
          <w:tcPr>
            <w:tcW w:w="28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0"/>
        </w:trPr>
        <w:tc>
          <w:tcPr>
            <w:tcW w:w="6980" w:type="dxa"/>
            <w:vAlign w:val="bottom"/>
          </w:tcPr>
          <w:p>
            <w:pPr>
              <w:ind w:left="500"/>
              <w:spacing w:after="0"/>
              <w:rPr>
                <w:sz w:val="20"/>
                <w:szCs w:val="20"/>
                <w:color w:val="auto"/>
              </w:rPr>
            </w:pPr>
            <w:r>
              <w:rPr>
                <w:rFonts w:ascii="Arial" w:cs="Arial" w:eastAsia="Arial" w:hAnsi="Arial"/>
                <w:sz w:val="18"/>
                <w:szCs w:val="18"/>
                <w:color w:val="auto"/>
              </w:rPr>
              <w:t>Defined Benefit Pension and Other Postretirement Benefit Plans</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251.5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260.7</w:t>
            </w: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Asset Retirement Obligation</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13.9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(b)</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29.2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3.6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69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337.5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w:t>
            </w:r>
          </w:p>
        </w:tc>
      </w:tr>
      <w:tr>
        <w:trPr>
          <w:trHeight w:val="264"/>
        </w:trPr>
        <w:tc>
          <w:tcPr>
            <w:tcW w:w="6980" w:type="dxa"/>
            <w:vAlign w:val="bottom"/>
            <w:tcBorders>
              <w:top w:val="single" w:sz="8" w:color="auto"/>
            </w:tcBorders>
          </w:tcPr>
          <w:p>
            <w:pPr>
              <w:spacing w:after="0"/>
              <w:rPr>
                <w:sz w:val="22"/>
                <w:szCs w:val="22"/>
                <w:color w:val="auto"/>
              </w:rPr>
            </w:pPr>
          </w:p>
        </w:tc>
        <w:tc>
          <w:tcPr>
            <w:tcW w:w="28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$355.8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$362.8</w:t>
            </w:r>
          </w:p>
        </w:tc>
      </w:tr>
      <w:tr>
        <w:trPr>
          <w:trHeight w:val="264"/>
        </w:trPr>
        <w:tc>
          <w:tcPr>
            <w:tcW w:w="6980" w:type="dxa"/>
            <w:vAlign w:val="bottom"/>
            <w:tcBorders>
              <w:top w:val="single" w:sz="8" w:color="auto"/>
            </w:tcBorders>
          </w:tcPr>
          <w:p>
            <w:pPr>
              <w:spacing w:after="0"/>
              <w:rPr>
                <w:sz w:val="22"/>
                <w:szCs w:val="22"/>
                <w:color w:val="auto"/>
              </w:rPr>
            </w:pPr>
          </w:p>
        </w:tc>
        <w:tc>
          <w:tcPr>
            <w:tcW w:w="28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2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$17.7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16.7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6.7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69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$63.1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r>
      <w:tr>
        <w:trPr>
          <w:trHeight w:val="20"/>
        </w:trPr>
        <w:tc>
          <w:tcPr>
            <w:tcW w:w="698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 is primarily due to capital expenditures related to Bison.</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June 30, 2013, our equity investment in ATC was $111.2 million ($107.3 million at December 31, 2012). In the first six months of 2013, we invested $1.6 million in ATC, and on July 30, 2013, we invested an additional $0.8 million. We expect to make additional investments of approximately $0.7 million in 2013.</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2012</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June 30, 2013</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r>
      <w:tr>
        <w:trPr>
          <w:trHeight w:val="20"/>
        </w:trPr>
        <w:tc>
          <w:tcPr>
            <w:tcW w:w="7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36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NOTE 7. INVESTMENT IN ATC (Continued)</w:t>
            </w:r>
          </w:p>
        </w:tc>
        <w:tc>
          <w:tcPr>
            <w:tcW w:w="2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8140" w:type="dxa"/>
            <w:vAlign w:val="bottom"/>
            <w:gridSpan w:val="2"/>
          </w:tcPr>
          <w:p>
            <w:pPr>
              <w:spacing w:after="0"/>
              <w:rPr>
                <w:sz w:val="20"/>
                <w:szCs w:val="20"/>
                <w:color w:val="auto"/>
              </w:rPr>
            </w:pPr>
            <w:r>
              <w:rPr>
                <w:rFonts w:ascii="Arial" w:cs="Arial" w:eastAsia="Arial" w:hAnsi="Arial"/>
                <w:sz w:val="18"/>
                <w:szCs w:val="18"/>
                <w:color w:val="auto"/>
                <w:w w:val="92"/>
              </w:rPr>
              <w:t>ATC’s summarized financial data for the quarters and six months ended June 30, 2013 and 2012, is as follows:</w:t>
            </w: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5280" w:type="dxa"/>
            <w:vAlign w:val="bottom"/>
          </w:tcPr>
          <w:p>
            <w:pPr>
              <w:spacing w:after="0"/>
              <w:rPr>
                <w:sz w:val="24"/>
                <w:szCs w:val="24"/>
                <w:color w:val="auto"/>
              </w:rPr>
            </w:pPr>
          </w:p>
        </w:tc>
        <w:tc>
          <w:tcPr>
            <w:tcW w:w="390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Quarter Ended</w:t>
            </w:r>
          </w:p>
        </w:tc>
        <w:tc>
          <w:tcPr>
            <w:tcW w:w="2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3"/>
                <w:szCs w:val="23"/>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8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2012</w:t>
            </w:r>
          </w:p>
        </w:tc>
        <w:tc>
          <w:tcPr>
            <w:tcW w:w="1440" w:type="dxa"/>
            <w:vAlign w:val="bottom"/>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2012</w:t>
            </w:r>
          </w:p>
        </w:tc>
      </w:tr>
      <w:tr>
        <w:trPr>
          <w:trHeight w:val="27"/>
        </w:trPr>
        <w:tc>
          <w:tcPr>
            <w:tcW w:w="52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$152.1</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$152.2</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$303.9</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860" w:type="dxa"/>
            <w:vAlign w:val="bottom"/>
          </w:tcPr>
          <w:p>
            <w:pPr>
              <w:jc w:val="right"/>
              <w:ind w:right="490"/>
              <w:spacing w:after="0"/>
              <w:rPr>
                <w:sz w:val="20"/>
                <w:szCs w:val="20"/>
                <w:color w:val="auto"/>
              </w:rPr>
            </w:pPr>
            <w:r>
              <w:rPr>
                <w:rFonts w:ascii="Arial" w:cs="Arial" w:eastAsia="Arial" w:hAnsi="Arial"/>
                <w:sz w:val="18"/>
                <w:szCs w:val="18"/>
                <w:color w:val="auto"/>
              </w:rPr>
              <w:t>69.9</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71.8</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139.7</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141.3</w:t>
            </w:r>
          </w:p>
        </w:tc>
      </w:tr>
      <w:tr>
        <w:trPr>
          <w:trHeight w:val="27"/>
        </w:trPr>
        <w:tc>
          <w:tcPr>
            <w:tcW w:w="5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20.9</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21.1</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42.4</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37"/>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28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$61.3</w:t>
            </w:r>
          </w:p>
        </w:tc>
        <w:tc>
          <w:tcPr>
            <w:tcW w:w="1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$59.3</w:t>
            </w: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$121.8</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$117.4</w:t>
            </w:r>
          </w:p>
        </w:tc>
      </w:tr>
      <w:tr>
        <w:trPr>
          <w:trHeight w:val="27"/>
        </w:trPr>
        <w:tc>
          <w:tcPr>
            <w:tcW w:w="52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2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$10.2</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0"/>
        </w:trPr>
        <w:tc>
          <w:tcPr>
            <w:tcW w:w="528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Short-Term Debt. </w:t>
      </w:r>
      <w:r>
        <w:rPr>
          <w:rFonts w:ascii="Arial" w:cs="Arial" w:eastAsia="Arial" w:hAnsi="Arial"/>
          <w:sz w:val="17"/>
          <w:szCs w:val="17"/>
          <w:color w:val="auto"/>
        </w:rPr>
        <w:t>As of June 30, 2013, total short-term debt outstanding was $37.9 million ($84.5 million as of December 31, 2012) and consisted of long-term debt due within one year. Short-term debt as of December 31, 2012 included $60.0 million of long-term debt that matured in April 2013.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As of June 30, 2013, total long-term debt outstanding was $1,064.7 million ($933.6 million as of December 31, 2012).</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April 2, 2013, we issued $150.0 million of the Company’s First Mortgage Bonds (Bonds) in the private placement market in three series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8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15, 2018</w:t>
            </w:r>
          </w:p>
        </w:tc>
        <w:tc>
          <w:tcPr>
            <w:tcW w:w="3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$50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1.83%</w:t>
            </w:r>
          </w:p>
        </w:tc>
      </w:tr>
      <w:tr>
        <w:trPr>
          <w:trHeight w:val="243"/>
        </w:trPr>
        <w:tc>
          <w:tcPr>
            <w:tcW w:w="3840" w:type="dxa"/>
            <w:vAlign w:val="bottom"/>
          </w:tcPr>
          <w:p>
            <w:pPr>
              <w:jc w:val="center"/>
              <w:spacing w:after="0"/>
              <w:rPr>
                <w:sz w:val="20"/>
                <w:szCs w:val="20"/>
                <w:color w:val="auto"/>
              </w:rPr>
            </w:pPr>
            <w:r>
              <w:rPr>
                <w:rFonts w:ascii="Arial" w:cs="Arial" w:eastAsia="Arial" w:hAnsi="Arial"/>
                <w:sz w:val="18"/>
                <w:szCs w:val="18"/>
                <w:color w:val="auto"/>
                <w:w w:val="90"/>
              </w:rPr>
              <w:t>October 15, 2028</w:t>
            </w: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$40 Million</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3.30%</w:t>
            </w:r>
          </w:p>
        </w:tc>
      </w:tr>
      <w:tr>
        <w:trPr>
          <w:trHeight w:val="27"/>
        </w:trPr>
        <w:tc>
          <w:tcPr>
            <w:tcW w:w="38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15, 2043</w:t>
            </w:r>
          </w:p>
        </w:tc>
        <w:tc>
          <w:tcPr>
            <w:tcW w:w="3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$60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4.21%</w:t>
            </w:r>
          </w:p>
        </w:tc>
      </w:tr>
      <w:tr>
        <w:trPr>
          <w:trHeight w:val="20"/>
        </w:trPr>
        <w:tc>
          <w:tcPr>
            <w:tcW w:w="384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the option to prepay all or a portion of the 1.83 percent Bonds at our discretion at any time, subject to a make-whole provision. We have the option to prepay all or a portion of the 3.30 percent Bonds at our discretion at any time prior to April 15, 2028, subject to a make-whole provision, and at any time on or after April 15, 2028, at par, including, in each case, accrued and unpaid interest. We also have the option to prepay all or a portion of the 4.21 percent Bonds at our discretion at any time prior to April 15, 2043, subject to a make-whole provision, and at any time on or after April 15, 2043, at par, including, in each case, accrued and unpaid interest. The Bonds are subject to additional terms and conditions of our utility mortgage. Proceeds from the sale of the Bonds will be used to fund utility capital investments, repay debt, and/or for general corporate purposes. The Bonds were sold in reliance on an exemption from registration under Section 4(a)(2) of the Securities Act of 1933, as amended, to certain institutional accredited investors in a private placement.</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2013, our ratio was approximately 0.47 to 1.00. Failure to meet this covenant would give rise to an event of default if not cured after notice from a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June 30, 2013,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6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NOTE 9. OTHER INCOME (EXPENSE)</w:t>
            </w:r>
          </w:p>
        </w:tc>
        <w:tc>
          <w:tcPr>
            <w:tcW w:w="3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594"/>
        </w:trPr>
        <w:tc>
          <w:tcPr>
            <w:tcW w:w="5300" w:type="dxa"/>
            <w:vAlign w:val="bottom"/>
          </w:tcPr>
          <w:p>
            <w:pPr>
              <w:spacing w:after="0"/>
              <w:rPr>
                <w:sz w:val="24"/>
                <w:szCs w:val="24"/>
                <w:color w:val="auto"/>
              </w:rPr>
            </w:pPr>
          </w:p>
        </w:tc>
        <w:tc>
          <w:tcPr>
            <w:tcW w:w="408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2"/>
              </w:rPr>
              <w:t>Quarter Ended</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5300" w:type="dxa"/>
            <w:vAlign w:val="bottom"/>
          </w:tcPr>
          <w:p>
            <w:pPr>
              <w:spacing w:after="0"/>
              <w:rPr>
                <w:sz w:val="23"/>
                <w:szCs w:val="23"/>
                <w:color w:val="auto"/>
              </w:rPr>
            </w:pPr>
          </w:p>
        </w:tc>
        <w:tc>
          <w:tcPr>
            <w:tcW w:w="3160" w:type="dxa"/>
            <w:vAlign w:val="bottom"/>
          </w:tcPr>
          <w:p>
            <w:pPr>
              <w:jc w:val="center"/>
              <w:ind w:left="23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Pr>
          <w:p>
            <w:pPr>
              <w:spacing w:after="0"/>
              <w:rPr>
                <w:sz w:val="23"/>
                <w:szCs w:val="23"/>
                <w:color w:val="auto"/>
              </w:rPr>
            </w:pPr>
          </w:p>
        </w:tc>
        <w:tc>
          <w:tcPr>
            <w:tcW w:w="1340" w:type="dxa"/>
            <w:vAlign w:val="bottom"/>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Pr>
          <w:p>
            <w:pPr>
              <w:spacing w:after="0"/>
              <w:rPr>
                <w:sz w:val="23"/>
                <w:szCs w:val="23"/>
                <w:color w:val="auto"/>
              </w:rPr>
            </w:pPr>
          </w:p>
        </w:tc>
      </w:tr>
      <w:tr>
        <w:trPr>
          <w:trHeight w:val="270"/>
        </w:trPr>
        <w:tc>
          <w:tcPr>
            <w:tcW w:w="5300" w:type="dxa"/>
            <w:vAlign w:val="bottom"/>
          </w:tcPr>
          <w:p>
            <w:pPr>
              <w:spacing w:after="0"/>
              <w:rPr>
                <w:sz w:val="23"/>
                <w:szCs w:val="23"/>
                <w:color w:val="auto"/>
              </w:rPr>
            </w:pPr>
          </w:p>
        </w:tc>
        <w:tc>
          <w:tcPr>
            <w:tcW w:w="31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2012</w:t>
            </w:r>
          </w:p>
        </w:tc>
        <w:tc>
          <w:tcPr>
            <w:tcW w:w="13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5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AFUDC – Equity</w:t>
            </w:r>
          </w:p>
        </w:tc>
        <w:tc>
          <w:tcPr>
            <w:tcW w:w="31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$2.1</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Gain on Sale of Available-for-sale Securities</w:t>
            </w:r>
          </w:p>
        </w:tc>
        <w:tc>
          <w:tcPr>
            <w:tcW w:w="31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and Other Income</w:t>
            </w:r>
          </w:p>
        </w:tc>
        <w:tc>
          <w:tcPr>
            <w:tcW w:w="31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0.5</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w:t>
            </w:r>
          </w:p>
        </w:tc>
        <w:tc>
          <w:tcPr>
            <w:tcW w:w="3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$1.5</w:t>
            </w:r>
          </w:p>
        </w:tc>
        <w:tc>
          <w:tcPr>
            <w:tcW w:w="9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$1.2</w:t>
            </w:r>
          </w:p>
        </w:tc>
        <w:tc>
          <w:tcPr>
            <w:tcW w:w="13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$4.2</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5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642"/>
        </w:trPr>
        <w:tc>
          <w:tcPr>
            <w:tcW w:w="5300" w:type="dxa"/>
            <w:vAlign w:val="bottom"/>
          </w:tcPr>
          <w:p>
            <w:pPr>
              <w:spacing w:after="0"/>
              <w:rPr>
                <w:sz w:val="20"/>
                <w:szCs w:val="20"/>
                <w:color w:val="auto"/>
              </w:rPr>
            </w:pPr>
            <w:r>
              <w:rPr>
                <w:rFonts w:ascii="Arial" w:cs="Arial" w:eastAsia="Arial" w:hAnsi="Arial"/>
                <w:sz w:val="18"/>
                <w:szCs w:val="18"/>
                <w:b w:val="1"/>
                <w:bCs w:val="1"/>
                <w:color w:val="auto"/>
              </w:rPr>
              <w:t>NOTE 10. INCOME TAX EXPENSE</w:t>
            </w:r>
          </w:p>
        </w:tc>
        <w:tc>
          <w:tcPr>
            <w:tcW w:w="3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5300" w:type="dxa"/>
            <w:vAlign w:val="bottom"/>
          </w:tcPr>
          <w:p>
            <w:pPr>
              <w:spacing w:after="0"/>
              <w:rPr>
                <w:sz w:val="24"/>
                <w:szCs w:val="24"/>
                <w:color w:val="auto"/>
              </w:rPr>
            </w:pPr>
          </w:p>
        </w:tc>
        <w:tc>
          <w:tcPr>
            <w:tcW w:w="408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2"/>
              </w:rPr>
              <w:t>Quarter Ended</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5300" w:type="dxa"/>
            <w:vAlign w:val="bottom"/>
          </w:tcPr>
          <w:p>
            <w:pPr>
              <w:spacing w:after="0"/>
              <w:rPr>
                <w:sz w:val="23"/>
                <w:szCs w:val="23"/>
                <w:color w:val="auto"/>
              </w:rPr>
            </w:pPr>
          </w:p>
        </w:tc>
        <w:tc>
          <w:tcPr>
            <w:tcW w:w="3160" w:type="dxa"/>
            <w:vAlign w:val="bottom"/>
          </w:tcPr>
          <w:p>
            <w:pPr>
              <w:jc w:val="center"/>
              <w:ind w:left="23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Pr>
          <w:p>
            <w:pPr>
              <w:spacing w:after="0"/>
              <w:rPr>
                <w:sz w:val="23"/>
                <w:szCs w:val="23"/>
                <w:color w:val="auto"/>
              </w:rPr>
            </w:pPr>
          </w:p>
        </w:tc>
        <w:tc>
          <w:tcPr>
            <w:tcW w:w="1340" w:type="dxa"/>
            <w:vAlign w:val="bottom"/>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Pr>
          <w:p>
            <w:pPr>
              <w:spacing w:after="0"/>
              <w:rPr>
                <w:sz w:val="23"/>
                <w:szCs w:val="23"/>
                <w:color w:val="auto"/>
              </w:rPr>
            </w:pPr>
          </w:p>
        </w:tc>
      </w:tr>
      <w:tr>
        <w:trPr>
          <w:trHeight w:val="270"/>
        </w:trPr>
        <w:tc>
          <w:tcPr>
            <w:tcW w:w="5300" w:type="dxa"/>
            <w:vAlign w:val="bottom"/>
          </w:tcPr>
          <w:p>
            <w:pPr>
              <w:spacing w:after="0"/>
              <w:rPr>
                <w:sz w:val="23"/>
                <w:szCs w:val="23"/>
                <w:color w:val="auto"/>
              </w:rPr>
            </w:pPr>
          </w:p>
        </w:tc>
        <w:tc>
          <w:tcPr>
            <w:tcW w:w="31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2012</w:t>
            </w:r>
          </w:p>
        </w:tc>
        <w:tc>
          <w:tcPr>
            <w:tcW w:w="13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5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160" w:type="dxa"/>
            <w:vAlign w:val="bottom"/>
          </w:tcPr>
          <w:p>
            <w:pPr>
              <w:jc w:val="right"/>
              <w:ind w:right="350"/>
              <w:spacing w:after="0"/>
              <w:rPr>
                <w:sz w:val="20"/>
                <w:szCs w:val="20"/>
                <w:color w:val="auto"/>
              </w:rPr>
            </w:pPr>
            <w:r>
              <w:rPr>
                <w:rFonts w:ascii="Arial" w:cs="Arial" w:eastAsia="Arial" w:hAnsi="Arial"/>
                <w:sz w:val="18"/>
                <w:szCs w:val="18"/>
                <w:color w:val="auto"/>
              </w:rPr>
              <w:t>$(0.2)</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1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 (Benefit)</w:t>
            </w:r>
          </w:p>
        </w:tc>
        <w:tc>
          <w:tcPr>
            <w:tcW w:w="31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(0.2)</w:t>
            </w:r>
          </w:p>
        </w:tc>
        <w:tc>
          <w:tcPr>
            <w:tcW w:w="9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Federal</w:t>
            </w:r>
          </w:p>
        </w:tc>
        <w:tc>
          <w:tcPr>
            <w:tcW w:w="3160" w:type="dxa"/>
            <w:vAlign w:val="bottom"/>
          </w:tcPr>
          <w:p>
            <w:pPr>
              <w:jc w:val="right"/>
              <w:ind w:right="450"/>
              <w:spacing w:after="0"/>
              <w:rPr>
                <w:sz w:val="20"/>
                <w:szCs w:val="20"/>
                <w:color w:val="auto"/>
              </w:rPr>
            </w:pPr>
            <w:r>
              <w:rPr>
                <w:rFonts w:ascii="Arial" w:cs="Arial" w:eastAsia="Arial" w:hAnsi="Arial"/>
                <w:sz w:val="18"/>
                <w:szCs w:val="18"/>
                <w:color w:val="auto"/>
              </w:rPr>
              <w:t>3.6</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$4.8</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$8.2</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5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31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0.9</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3.8</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3160" w:type="dxa"/>
            <w:vAlign w:val="bottom"/>
          </w:tcPr>
          <w:p>
            <w:pPr>
              <w:jc w:val="right"/>
              <w:ind w:right="390"/>
              <w:spacing w:after="0"/>
              <w:rPr>
                <w:sz w:val="20"/>
                <w:szCs w:val="20"/>
                <w:color w:val="auto"/>
              </w:rPr>
            </w:pPr>
            <w:r>
              <w:rPr>
                <w:rFonts w:ascii="Arial" w:cs="Arial" w:eastAsia="Arial" w:hAnsi="Arial"/>
                <w:sz w:val="18"/>
                <w:szCs w:val="18"/>
                <w:color w:val="auto"/>
              </w:rPr>
              <w:t>(0.2)</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31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4.3</w:t>
            </w:r>
          </w:p>
        </w:tc>
        <w:tc>
          <w:tcPr>
            <w:tcW w:w="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11.6</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3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$4.1</w:t>
            </w:r>
          </w:p>
        </w:tc>
        <w:tc>
          <w:tcPr>
            <w:tcW w:w="9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$4.8</w:t>
            </w:r>
          </w:p>
        </w:tc>
        <w:tc>
          <w:tcPr>
            <w:tcW w:w="13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$11.6</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52"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We incurred net operating losses (NOLs) due to the bonus depreciation provisions of the American Taxpayer Relief Act of 2012 and the Tax Relief Unemployment Insurance Reauthorization and Job Creation Act of 2010 for the quarter and six months ended June 30, 2013 and 2012. The 2013 and 2012 federal and state NOLs will be carried forward to offset future taxable income.</w:t>
      </w:r>
    </w:p>
    <w:p>
      <w:pPr>
        <w:spacing w:after="0" w:line="1"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quarter and six months ended June 30, 2012, reflected increased state tax benefit from state renewable tax credits compared to the quarter and six months ended June 30, 2013.</w:t>
      </w:r>
    </w:p>
    <w:p>
      <w:pPr>
        <w:spacing w:after="0" w:line="18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 xml:space="preserve">For the six months ended June 30, 2013, the effective tax rate was 20.0 percent (25.2 percent for the six months ended June 30, 2012). The decrease from the effective tax rate for the six months ended June 30, 2012, was primarily due to increased federal production tax credits. The effective tax rate deviated from the statutory rate of approximately 41 percent primarily due to deductions for AFUDC </w:t>
      </w:r>
      <w:r>
        <w:rPr>
          <w:rFonts w:ascii="MS PGothic" w:cs="MS PGothic" w:eastAsia="MS PGothic" w:hAnsi="MS PGothic"/>
          <w:sz w:val="18"/>
          <w:szCs w:val="18"/>
          <w:color w:val="auto"/>
        </w:rPr>
        <w:t>‑</w:t>
      </w:r>
      <w:r>
        <w:rPr>
          <w:rFonts w:ascii="Arial" w:cs="Arial" w:eastAsia="Arial" w:hAnsi="Arial"/>
          <w:sz w:val="18"/>
          <w:szCs w:val="18"/>
          <w:color w:val="auto"/>
        </w:rPr>
        <w:t xml:space="preserve"> Equity, investment tax credits, federal production tax credits, state income tax credits and depletion.</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2013, we had gross unrecognized tax benefits of $2.6 million ($2.7 million as of December 31, 2012).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$0.7 million represents the amount of unrecognized tax benefits included in the Consolidated Balance Sheet that, if recognized, would favorably impact the effective income tax rate.</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ALLETE’s IRS exam for tax years 2005 through 2009 is currently under review at the IRS appeals office. We expect the IRS appeals process to be completed during the next twelve months, resulting in the reversal of substantially all of the unrecognized tax benefits as of June 30, 2013. The unrecognized tax benefits are primarily due to tax positions which are timing in nature and therefore would have an immaterial impact on our effective tax rate if recognized.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RECLASSIFICATIONS OUT OF ACCUMULATED OTHER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Changes in Accumulated Other Comprehensive Loss by Component</w:t>
            </w:r>
          </w:p>
        </w:tc>
        <w:tc>
          <w:tcPr>
            <w:tcW w:w="1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5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Defined Benefit</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51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 Gains and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Pension, Other</w:t>
            </w: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Gains and Losses</w:t>
            </w:r>
          </w:p>
        </w:tc>
        <w:tc>
          <w:tcPr>
            <w:tcW w:w="102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Losses on Available-for-</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on Cash Flow</w:t>
            </w:r>
          </w:p>
        </w:tc>
        <w:tc>
          <w:tcPr>
            <w:tcW w:w="102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 xml:space="preserve">sale Securities </w:t>
            </w:r>
            <w:r>
              <w:rPr>
                <w:rFonts w:ascii="Arial" w:cs="Arial" w:eastAsia="Arial" w:hAnsi="Arial"/>
                <w:sz w:val="18"/>
                <w:szCs w:val="18"/>
                <w:b w:val="1"/>
                <w:bCs w:val="1"/>
                <w:i w:val="1"/>
                <w:iCs w:val="1"/>
                <w:color w:val="auto"/>
                <w:w w:val="87"/>
              </w:rPr>
              <w:t>(a)</w:t>
            </w:r>
          </w:p>
        </w:tc>
        <w:tc>
          <w:tcPr>
            <w:tcW w:w="1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(a)</w:t>
            </w: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 xml:space="preserve">Hedge </w:t>
            </w:r>
            <w:r>
              <w:rPr>
                <w:rFonts w:ascii="Arial" w:cs="Arial" w:eastAsia="Arial" w:hAnsi="Arial"/>
                <w:sz w:val="18"/>
                <w:szCs w:val="18"/>
                <w:b w:val="1"/>
                <w:bCs w:val="1"/>
                <w:i w:val="1"/>
                <w:iCs w:val="1"/>
                <w:color w:val="auto"/>
                <w:w w:val="90"/>
              </w:rPr>
              <w:t>(a)</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8"/>
                <w:szCs w:val="18"/>
                <w:b w:val="1"/>
                <w:bCs w:val="1"/>
                <w:i w:val="1"/>
                <w:iCs w:val="1"/>
                <w:color w:val="auto"/>
              </w:rPr>
              <w:t>(a)</w:t>
            </w:r>
          </w:p>
        </w:tc>
      </w:tr>
      <w:tr>
        <w:trPr>
          <w:trHeight w:val="27"/>
        </w:trPr>
        <w:tc>
          <w:tcPr>
            <w:tcW w:w="5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 2013</w:t>
            </w:r>
          </w:p>
        </w:tc>
        <w:tc>
          <w:tcPr>
            <w:tcW w:w="19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5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5140" w:type="dxa"/>
            <w:vAlign w:val="bottom"/>
          </w:tcPr>
          <w:p>
            <w:pPr>
              <w:ind w:left="20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720" w:type="dxa"/>
            <w:vAlign w:val="bottom"/>
          </w:tcPr>
          <w:p>
            <w:pPr>
              <w:jc w:val="right"/>
              <w:spacing w:after="0"/>
              <w:rPr>
                <w:sz w:val="20"/>
                <w:szCs w:val="20"/>
                <w:color w:val="auto"/>
              </w:rPr>
            </w:pPr>
            <w:r>
              <w:rPr>
                <w:rFonts w:ascii="Arial" w:cs="Arial" w:eastAsia="Arial" w:hAnsi="Arial"/>
                <w:sz w:val="18"/>
                <w:szCs w:val="18"/>
                <w:color w:val="auto"/>
              </w:rPr>
              <w:t>(2.6)</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Amounts Reclassified From Accumulated Other Comprehensive Loss</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37"/>
        </w:trPr>
        <w:tc>
          <w:tcPr>
            <w:tcW w:w="5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Other Comprehensive Income</w:t>
            </w:r>
          </w:p>
        </w:tc>
        <w:tc>
          <w:tcPr>
            <w:tcW w:w="1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0.5</w:t>
            </w: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91"/>
        </w:trPr>
        <w:tc>
          <w:tcPr>
            <w:tcW w:w="514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2013</w:t>
            </w:r>
          </w:p>
        </w:tc>
        <w:tc>
          <w:tcPr>
            <w:tcW w:w="19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1980" w:type="dxa"/>
            <w:vAlign w:val="bottom"/>
          </w:tcPr>
          <w:p>
            <w:pPr>
              <w:jc w:val="right"/>
              <w:spacing w:after="0"/>
              <w:rPr>
                <w:sz w:val="20"/>
                <w:szCs w:val="20"/>
                <w:color w:val="auto"/>
              </w:rPr>
            </w:pPr>
            <w:r>
              <w:rPr>
                <w:rFonts w:ascii="Arial" w:cs="Arial" w:eastAsia="Arial" w:hAnsi="Arial"/>
                <w:sz w:val="18"/>
                <w:szCs w:val="18"/>
                <w:color w:val="auto"/>
              </w:rPr>
              <w:t>$(0.1)</w:t>
            </w:r>
          </w:p>
        </w:tc>
        <w:tc>
          <w:tcPr>
            <w:tcW w:w="1720" w:type="dxa"/>
            <w:vAlign w:val="bottom"/>
          </w:tcPr>
          <w:p>
            <w:pPr>
              <w:jc w:val="right"/>
              <w:spacing w:after="0"/>
              <w:rPr>
                <w:sz w:val="20"/>
                <w:szCs w:val="20"/>
                <w:color w:val="auto"/>
              </w:rPr>
            </w:pPr>
            <w:r>
              <w:rPr>
                <w:rFonts w:ascii="Arial" w:cs="Arial" w:eastAsia="Arial" w:hAnsi="Arial"/>
                <w:sz w:val="18"/>
                <w:szCs w:val="18"/>
                <w:color w:val="auto"/>
              </w:rPr>
              <w:t>$(21.5)</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5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1"/>
              </w:rPr>
              <w:t>Amounts Reclassified From Accumulated Other Comprehensive Loss</w:t>
            </w:r>
          </w:p>
        </w:tc>
        <w:tc>
          <w:tcPr>
            <w:tcW w:w="1980" w:type="dxa"/>
            <w:vAlign w:val="bottom"/>
          </w:tcPr>
          <w:p>
            <w:pPr>
              <w:jc w:val="right"/>
              <w:spacing w:after="0"/>
              <w:rPr>
                <w:sz w:val="20"/>
                <w:szCs w:val="20"/>
                <w:color w:val="auto"/>
              </w:rPr>
            </w:pPr>
            <w:r>
              <w:rPr>
                <w:rFonts w:ascii="Arial" w:cs="Arial" w:eastAsia="Arial" w:hAnsi="Arial"/>
                <w:sz w:val="18"/>
                <w:szCs w:val="18"/>
                <w:color w:val="auto"/>
              </w:rPr>
              <w:t>(0.5)</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5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Other Comprehensive Income</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1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Amounts shown are net of tax.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9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11. RECLASSIFICATIONS OUT OF ACCUMULATED OTHER COMPREHENSIVE INCOME (LOSS)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Reclassifications Out of Accumulated Other Comprehensive Loss</w:t>
            </w:r>
          </w:p>
        </w:tc>
        <w:tc>
          <w:tcPr>
            <w:tcW w:w="240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60"/>
        </w:trPr>
        <w:tc>
          <w:tcPr>
            <w:tcW w:w="572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Amount Reclassified from</w:t>
            </w:r>
          </w:p>
        </w:tc>
        <w:tc>
          <w:tcPr>
            <w:tcW w:w="3300" w:type="dxa"/>
            <w:vAlign w:val="bottom"/>
          </w:tcPr>
          <w:p>
            <w:pPr>
              <w:spacing w:after="0"/>
              <w:rPr>
                <w:sz w:val="24"/>
                <w:szCs w:val="24"/>
                <w:color w:val="auto"/>
              </w:rPr>
            </w:pPr>
          </w:p>
        </w:tc>
      </w:tr>
      <w:tr>
        <w:trPr>
          <w:trHeight w:val="216"/>
        </w:trPr>
        <w:tc>
          <w:tcPr>
            <w:tcW w:w="57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Accumulated Other</w:t>
            </w:r>
          </w:p>
        </w:tc>
        <w:tc>
          <w:tcPr>
            <w:tcW w:w="3300" w:type="dxa"/>
            <w:vAlign w:val="bottom"/>
          </w:tcPr>
          <w:p>
            <w:pPr>
              <w:spacing w:after="0"/>
              <w:rPr>
                <w:sz w:val="18"/>
                <w:szCs w:val="18"/>
                <w:color w:val="auto"/>
              </w:rPr>
            </w:pPr>
          </w:p>
        </w:tc>
      </w:tr>
      <w:tr>
        <w:trPr>
          <w:trHeight w:val="234"/>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w w:val="96"/>
              </w:rPr>
              <w:t>Details About Accumulated Other Comprehensive Loss Components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 xml:space="preserve">Comprehensive Loss </w:t>
            </w:r>
            <w:r>
              <w:rPr>
                <w:rFonts w:ascii="Arial" w:cs="Arial" w:eastAsia="Arial" w:hAnsi="Arial"/>
                <w:sz w:val="18"/>
                <w:szCs w:val="18"/>
                <w:b w:val="1"/>
                <w:bCs w:val="1"/>
                <w:i w:val="1"/>
                <w:iCs w:val="1"/>
                <w:color w:val="auto"/>
                <w:w w:val="87"/>
              </w:rPr>
              <w:t>(a)</w:t>
            </w:r>
          </w:p>
        </w:tc>
        <w:tc>
          <w:tcPr>
            <w:tcW w:w="330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Affected Income Statement Line Item</w:t>
            </w:r>
          </w:p>
        </w:tc>
      </w:tr>
      <w:tr>
        <w:trPr>
          <w:trHeight w:val="27"/>
        </w:trPr>
        <w:tc>
          <w:tcPr>
            <w:tcW w:w="57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70"/>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 2013</w:t>
            </w:r>
          </w:p>
        </w:tc>
        <w:tc>
          <w:tcPr>
            <w:tcW w:w="240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27"/>
        </w:trPr>
        <w:tc>
          <w:tcPr>
            <w:tcW w:w="5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Amortization of Defined Benefit Pension and Other Postretirement Items</w:t>
            </w:r>
          </w:p>
        </w:tc>
        <w:tc>
          <w:tcPr>
            <w:tcW w:w="240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Prior Service Costs</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3300" w:type="dxa"/>
            <w:vAlign w:val="bottom"/>
          </w:tcPr>
          <w:p>
            <w:pPr>
              <w:jc w:val="center"/>
              <w:ind w:left="30"/>
              <w:spacing w:after="0"/>
              <w:rPr>
                <w:sz w:val="20"/>
                <w:szCs w:val="20"/>
                <w:color w:val="auto"/>
              </w:rPr>
            </w:pPr>
            <w:r>
              <w:rPr>
                <w:rFonts w:ascii="Arial" w:cs="Arial" w:eastAsia="Arial" w:hAnsi="Arial"/>
                <w:sz w:val="18"/>
                <w:szCs w:val="18"/>
                <w:i w:val="1"/>
                <w:iCs w:val="1"/>
                <w:color w:val="auto"/>
                <w:w w:val="99"/>
              </w:rPr>
              <w:t>(b)</w:t>
            </w:r>
          </w:p>
        </w:tc>
      </w:tr>
      <w:tr>
        <w:trPr>
          <w:trHeight w:val="27"/>
        </w:trPr>
        <w:tc>
          <w:tcPr>
            <w:tcW w:w="5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Actuarial Gains and Losses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3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99"/>
              </w:rPr>
              <w:t>(b)</w:t>
            </w:r>
          </w:p>
        </w:tc>
      </w:tr>
      <w:tr>
        <w:trPr>
          <w:trHeight w:val="237"/>
        </w:trPr>
        <w:tc>
          <w:tcPr>
            <w:tcW w:w="5720" w:type="dxa"/>
            <w:vAlign w:val="bottom"/>
          </w:tcPr>
          <w:p>
            <w:pPr>
              <w:spacing w:after="0"/>
              <w:rPr>
                <w:sz w:val="20"/>
                <w:szCs w:val="20"/>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3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33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Income Tax Expense</w:t>
            </w:r>
          </w:p>
        </w:tc>
      </w:tr>
      <w:tr>
        <w:trPr>
          <w:trHeight w:val="237"/>
        </w:trPr>
        <w:tc>
          <w:tcPr>
            <w:tcW w:w="5720" w:type="dxa"/>
            <w:vAlign w:val="bottom"/>
          </w:tcPr>
          <w:p>
            <w:pPr>
              <w:spacing w:after="0"/>
              <w:rPr>
                <w:sz w:val="20"/>
                <w:szCs w:val="20"/>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300" w:type="dxa"/>
            <w:vAlign w:val="bottom"/>
          </w:tcPr>
          <w:p>
            <w:pPr>
              <w:spacing w:after="0"/>
              <w:rPr>
                <w:sz w:val="20"/>
                <w:szCs w:val="20"/>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300" w:type="dxa"/>
            <w:vAlign w:val="bottom"/>
            <w:tcBorders>
              <w:bottom w:val="single" w:sz="8" w:color="CCEEFF"/>
            </w:tcBorders>
            <w:shd w:val="clear" w:color="auto" w:fill="CCEEFF"/>
          </w:tcPr>
          <w:p>
            <w:pPr>
              <w:spacing w:after="0"/>
              <w:rPr>
                <w:sz w:val="22"/>
                <w:szCs w:val="22"/>
                <w:color w:val="auto"/>
              </w:rPr>
            </w:pPr>
          </w:p>
        </w:tc>
      </w:tr>
      <w:tr>
        <w:trPr>
          <w:trHeight w:val="291"/>
        </w:trPr>
        <w:tc>
          <w:tcPr>
            <w:tcW w:w="572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2013</w:t>
            </w:r>
          </w:p>
        </w:tc>
        <w:tc>
          <w:tcPr>
            <w:tcW w:w="240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3300" w:type="dxa"/>
            <w:vAlign w:val="bottom"/>
          </w:tcPr>
          <w:p>
            <w:pPr>
              <w:jc w:val="center"/>
              <w:ind w:left="30"/>
              <w:spacing w:after="0"/>
              <w:rPr>
                <w:sz w:val="20"/>
                <w:szCs w:val="20"/>
                <w:color w:val="auto"/>
              </w:rPr>
            </w:pPr>
            <w:r>
              <w:rPr>
                <w:rFonts w:ascii="Arial" w:cs="Arial" w:eastAsia="Arial" w:hAnsi="Arial"/>
                <w:sz w:val="18"/>
                <w:szCs w:val="18"/>
                <w:color w:val="auto"/>
                <w:w w:val="90"/>
              </w:rPr>
              <w:t>Other Income (Expense) - Other</w:t>
            </w:r>
          </w:p>
        </w:tc>
      </w:tr>
      <w:tr>
        <w:trPr>
          <w:trHeight w:val="27"/>
        </w:trPr>
        <w:tc>
          <w:tcPr>
            <w:tcW w:w="5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3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Income Tax Expense</w:t>
            </w:r>
          </w:p>
        </w:tc>
      </w:tr>
      <w:tr>
        <w:trPr>
          <w:trHeight w:val="237"/>
        </w:trPr>
        <w:tc>
          <w:tcPr>
            <w:tcW w:w="5720" w:type="dxa"/>
            <w:vAlign w:val="bottom"/>
          </w:tcPr>
          <w:p>
            <w:pPr>
              <w:spacing w:after="0"/>
              <w:rPr>
                <w:sz w:val="20"/>
                <w:szCs w:val="20"/>
                <w:color w:val="auto"/>
              </w:rPr>
            </w:pPr>
          </w:p>
        </w:tc>
        <w:tc>
          <w:tcPr>
            <w:tcW w:w="2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3300" w:type="dxa"/>
            <w:vAlign w:val="bottom"/>
          </w:tcPr>
          <w:p>
            <w:pPr>
              <w:spacing w:after="0"/>
              <w:rPr>
                <w:sz w:val="20"/>
                <w:szCs w:val="20"/>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r>
      <w:tr>
        <w:trPr>
          <w:trHeight w:val="291"/>
        </w:trPr>
        <w:tc>
          <w:tcPr>
            <w:tcW w:w="57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w w:val="98"/>
              </w:rPr>
              <w:t>Amortization of Defined Benefit Pension and Other Postretirement Items</w:t>
            </w:r>
          </w:p>
        </w:tc>
        <w:tc>
          <w:tcPr>
            <w:tcW w:w="240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Service Costs</w:t>
            </w: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33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i w:val="1"/>
                <w:iCs w:val="1"/>
                <w:color w:val="auto"/>
                <w:w w:val="99"/>
              </w:rPr>
              <w:t>(b)</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Actuarial Gains and Losses</w:t>
            </w:r>
          </w:p>
        </w:tc>
        <w:tc>
          <w:tcPr>
            <w:tcW w:w="2400" w:type="dxa"/>
            <w:vAlign w:val="bottom"/>
          </w:tcPr>
          <w:p>
            <w:pPr>
              <w:jc w:val="right"/>
              <w:spacing w:after="0"/>
              <w:rPr>
                <w:sz w:val="20"/>
                <w:szCs w:val="20"/>
                <w:color w:val="auto"/>
              </w:rPr>
            </w:pPr>
            <w:r>
              <w:rPr>
                <w:rFonts w:ascii="Arial" w:cs="Arial" w:eastAsia="Arial" w:hAnsi="Arial"/>
                <w:sz w:val="18"/>
                <w:szCs w:val="18"/>
                <w:color w:val="auto"/>
              </w:rPr>
              <w:t>(11.5)</w:t>
            </w:r>
          </w:p>
        </w:tc>
        <w:tc>
          <w:tcPr>
            <w:tcW w:w="3300" w:type="dxa"/>
            <w:vAlign w:val="bottom"/>
          </w:tcPr>
          <w:p>
            <w:pPr>
              <w:jc w:val="center"/>
              <w:ind w:left="30"/>
              <w:spacing w:after="0"/>
              <w:rPr>
                <w:sz w:val="20"/>
                <w:szCs w:val="20"/>
                <w:color w:val="auto"/>
              </w:rPr>
            </w:pPr>
            <w:r>
              <w:rPr>
                <w:rFonts w:ascii="Arial" w:cs="Arial" w:eastAsia="Arial" w:hAnsi="Arial"/>
                <w:sz w:val="18"/>
                <w:szCs w:val="18"/>
                <w:i w:val="1"/>
                <w:iCs w:val="1"/>
                <w:color w:val="auto"/>
                <w:w w:val="99"/>
              </w:rPr>
              <w:t>(b)</w:t>
            </w:r>
          </w:p>
        </w:tc>
      </w:tr>
      <w:tr>
        <w:trPr>
          <w:trHeight w:val="27"/>
        </w:trPr>
        <w:tc>
          <w:tcPr>
            <w:tcW w:w="57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3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spacing w:after="0"/>
              <w:rPr>
                <w:sz w:val="21"/>
                <w:szCs w:val="21"/>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3300" w:type="dxa"/>
            <w:vAlign w:val="bottom"/>
          </w:tcPr>
          <w:p>
            <w:pPr>
              <w:jc w:val="center"/>
              <w:ind w:left="30"/>
              <w:spacing w:after="0"/>
              <w:rPr>
                <w:sz w:val="20"/>
                <w:szCs w:val="20"/>
                <w:color w:val="auto"/>
              </w:rPr>
            </w:pPr>
            <w:r>
              <w:rPr>
                <w:rFonts w:ascii="Arial" w:cs="Arial" w:eastAsia="Arial" w:hAnsi="Arial"/>
                <w:sz w:val="18"/>
                <w:szCs w:val="18"/>
                <w:color w:val="auto"/>
                <w:w w:val="88"/>
              </w:rPr>
              <w:t>Income Tax Expense</w:t>
            </w:r>
          </w:p>
        </w:tc>
      </w:tr>
      <w:tr>
        <w:trPr>
          <w:trHeight w:val="27"/>
        </w:trPr>
        <w:tc>
          <w:tcPr>
            <w:tcW w:w="57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300" w:type="dxa"/>
            <w:vAlign w:val="bottom"/>
            <w:tcBorders>
              <w:bottom w:val="single" w:sz="8" w:color="CCEEFF"/>
            </w:tcBorders>
            <w:shd w:val="clear" w:color="auto" w:fill="CCEEFF"/>
          </w:tcPr>
          <w:p>
            <w:pPr>
              <w:spacing w:after="0"/>
              <w:rPr>
                <w:sz w:val="22"/>
                <w:szCs w:val="22"/>
                <w:color w:val="auto"/>
              </w:rPr>
            </w:pP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30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Amounts in parentheses indicate charges to net income.</w:t>
      </w:r>
    </w:p>
    <w:p>
      <w:pPr>
        <w:spacing w:after="0" w:line="19"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These components of accumulated other comprehensive loss are included in the computation of net pension and other postretirement benefit expense. (See Note 13.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79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12. EARNINGS PER SHARE AND COMMON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difference between basic and diluted earnings per share, if any, arises from outstanding stock options, non-vested restricted stock units, and performance share awards granted under our Executive Long-Term Incentive Compensation Plan. For the quarters and six months ended June 30, 2013 and 2012, zero and 0.3 million options to purchase shares of common stock, respectively, were excluded from the computation of diluted earnings per share because the option exercise prices were greater than the average market prices; therefore, their effect would have been anti-dilutive.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w:t>
            </w: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39.4</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37.3</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$0.36</w:t>
            </w:r>
          </w:p>
        </w:tc>
        <w:tc>
          <w:tcPr>
            <w:tcW w:w="1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$0.39</w:t>
            </w:r>
          </w:p>
        </w:tc>
        <w:tc>
          <w:tcPr>
            <w:tcW w:w="1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1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$46.5</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39.2</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37.0</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$1.19</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13.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2012</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w:t>
            </w:r>
          </w:p>
        </w:tc>
        <w:tc>
          <w:tcPr>
            <w:tcW w:w="1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$2.5</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6.5</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6.6</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1.7</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(8.8)</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(0.7)</w:t>
            </w: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5.4</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4.4</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Transition Obligation</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$5.6</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64"/>
        </w:trPr>
        <w:tc>
          <w:tcPr>
            <w:tcW w:w="668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$5.0</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$4.6</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13.0</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13.2</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(17.6)</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(17.7)</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(4.9)</w:t>
            </w: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10.7</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8.7</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0.8</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Transition Obligation</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$11.2</w:t>
            </w: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$9.0</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six months ended June 30, 2013, no contributions were made to our defined benefit pension plan (none for the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2012). For the six months ended June 30, 2013, we contributed $10.8 million to our other postretirement benefit plan (none for the six months ended June 30, 2012). We do not expect to contribute to our defined benefit pension plan in 2013, and we do not expect to make any additional contributions to our other postretirement benefit plan in 2013.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64"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14.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June 30, 2013, Square Butte had total debt outstanding of $404.9 million. Annual debt service for Square Butte is expected to be approximately $44 million in each of the years 2013 through 2017, of which Minnesota Power’s obligation is 50 percent. Fuel expenses are recoverable through our fuel adjustment clause and include the cost of coal purchased from BNI Coal, under a long-term contract.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six months ended June 30, 2013 was $33.0 million ($33.0 million for the six months ended June 30, 2012). This reflects Minnesota Power’s pro rata share of total Square Butte costs based on the 50 percent output entitlement. Included in this amount was Minnesota Power’s pro rata share of interest expense of $5.3 million during the six months ended June 30, 2013 ($5.6 million for the six months ended June 30, 2012). Minnesota Power’s payments to Square Butte are approved as a purchased power expense for ratemaking purposes by both the MPUC and the FERC.</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December 2009, Minnesota Power entered into a power sales agreement with Minnkota Power. Under the power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power will be sold under the 2009 agreement until Minnkota Power has placed in service a new AC transmission line, which is expected to occur by the end of the first quarter of 2014. This new AC transmission line will allow Minnkota Power to transmit its entitlement from Square Butte directly to its customers, which in turn will enable Minnesota Power to transmit additional wind generation on the existing DC transmission line.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over the term June 1, 2016 through May 31,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In 2006 and 2007, Minnesota Power entered into two long-term wind PPAs with an affiliate of NextEra Energy, Inc.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from Oliver Wind I (50 MW) and Oliver Wind II (48 MW)—wind facilities located near Center, North Dakota. Each agreement is for 25 years and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April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79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2011, Minnesota Power and Manitoba Hydro signed an additional long-term PPA. The PPA provides for Manitoba Hydro to sell 250 MW of capacity and energy to Minnesota Power for 15 years beginning in 2020 and is subject to construction of additional transmission capacity between Manitoba and Minnesota’s Iron Range, along with construction of new hydroelectric generating capacity in Manitoba. The capacity price is adjusted annually until 2020 by a change in a governmental inflationary index. The energy price is based on a formula that includes an annual fixed price component adjusted for changes in a governmental inflationary index, a natural gas index, and market prices.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2012, Minnesota Power and Manitoba Hydro proposed construction of the Great Northern Transmission Line, a 500 kV transmission line between Manitoba and Minnesota’s Iron Range in order to strengthen the electric grid, enhance regional reliability and promote a greater exchange of sustainable energy, which is targeted to be in service in 2020. Total project cost and cost allocations are still to be determined; however, at this time we expect our capital expenditures to range between $200 million and $400 million. The Great Northern Transmission Line is subject to various federal and state regulatory approvals. In addition, Manitoba Hydro must obtain regulatory and governmental approvals related to new transmission lines and hydroelectric generation development in Canada.</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coal supply agreements providing for the purchase of a significant portion of our coal requirements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dates through 2014. We also have coal transportation agreements in place for the delivery of a significant portion of our coal requirements with expiration dates through 2015. Our minimum annual payment obligation under these supply and transportation agreements is $22.4 million for the remainder of 2013 and $1.0 million for 2014. Our minimum annual payment obligation will increase when annual nominations are made for coal deliveries in future years. The delivered costs of fuel for Minnesota Power’s generation are recoverable from Minnesota Power’s utility customers through the fuel adjustment clause.</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2016. The aggregate amount of minimum lease payments for all operating leases is $11.5 million in 2013, $11.7 million in 2014, $11.4 million in 2015, $9.3 million in 2016, $8.5 million in 2017 and $35.0 million thereafter.</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continue to make investments in Upper Midwest transmission opportunities that strengthen or enhance the regional transmission grid.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(individually or in combination with others), and our investment in ATC.</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in August 2012. The entire 238-mile, 345 kV line from Fargo to Monticello is expected to be in service by 2015.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projected costs of the three transmission lines and the allocation agreements among participating utilities, Minnesota Power plans to invest between $100 million and $110 million in the CapX2020 initiative through 2015. A total of $59.8 million was spent through June 30, 2013, of which $48.9 million related to the Fargo, North Dakota to Monticello, Minnesota projects and $10.9 million related to the Bemidji, Minnesota to Minnesota Power’s Boswell Energy Center project ($48.2 million as of December 31, 2012 of which $37.3 million related to the Fargo, North Dakota to Monticello, Minnesota projects and $10.9 million related to the Bemidji, Minnesota to Minnesota Power’s Boswell Energy Center project). As future CapX2020 projects are identified, Minnesota Power may elect to participate on a project-by-project basis.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 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New Source Review (NSR)</w:t>
      </w:r>
      <w:r>
        <w:rPr>
          <w:rFonts w:ascii="Arial" w:cs="Arial" w:eastAsia="Arial" w:hAnsi="Arial"/>
          <w:sz w:val="16"/>
          <w:szCs w:val="16"/>
          <w:color w:val="auto"/>
        </w:rPr>
        <w:t>. In August 2008, Minnesota Power received a Notice of Violation (NOV) from the EPA asserting violations of the NSR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the Clean Air Act at Boswell Units 1, 2, 3 and 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Resolution of the NOVs could result in civil penalties, which we do not believe will be material to our results of operations, and the installation of additional pollution control equipment, some of which is already planned or which has been completed to comply with other regulatory requirements. We are engaged in discussions with the EPA regarding resolution of these matters, but we are unable to estimate the expenditures, or range of expenditures that may be required upon resolution. Any costs of installing additional pollution control equipment would likely be eligible for recovery in rates over time subject to regulatory approval in a rate proceeding.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Cross-State Air Pollution Rule (CSAPR)</w:t>
      </w:r>
      <w:r>
        <w:rPr>
          <w:rFonts w:ascii="Arial" w:cs="Arial" w:eastAsia="Arial" w:hAnsi="Arial"/>
          <w:sz w:val="18"/>
          <w:szCs w:val="18"/>
          <w:color w:val="auto"/>
        </w:rPr>
        <w:t>. In July 2011, the EPA issued the CSAPR, which replaced the EPA’s 2005 CAIR. However, in August 2012, a three-judge panel of the District of Columbia Circuit Court of Appeals vacated the CSAPR, ordering that the CAIR remain in effect while a CSAPR replacement rule is promulgated. On March 29, 2013, the EPA petitioned the Supreme Court to review the District of Columbia Circuit Court of Appeals ruling. The Supreme Court decided to grant review on June 24, 2013, and is likely to issue its decision by June 2014. If reinstated after Supreme Court review, the CSAPR would require states in the CSAPR region, including Minnesota, to significantly improve air quality by reducing power plant emissions that contribute to ozone and/or fine particle pollution in other states. The CSAPR would not directly require the installation of controls. Instead, the rule would require facilities to have sufficient emission allowances to cover their emissions on an annual basis. These allowances would be allocated to facilities from each state’s annual budget and could be bought and sold.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CAIR regulations similarly require certain states to improve air quality by reducing power plant emissions that contribute to ozone and/or fine particle pollution in other states. The CAIR also created an allowance allocation and trading program rather than specifying pollution controls. Minnesota participation in the CAIR was stayed by EPA administrative action while the EPA completed a review of air quality modeling issues in conjunction with the development of a final replacement rule. While the CAIR remains in effect, Minnesota participation in the CAIR will continue to be stayed. It remains uncertain if emission restrictions similar to those contained in the CSAPR will become effective for Minnesota utilities due to the August 2012 District of Columbia Circuit Court of Appeals decision.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2006, we have significantly reduced emissions at our Laskin, Taconite Harbor and Boswell generating units. Based on our expected generation, these emission reductions would have satisfied Minnesota Power’s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emission compliance obligations with respect to the EPA-allocated CSAPR allowances for 2013. We are unable to predict any additional compliance costs we might incur if the CSAPR is reinstated or if a CSAPR replacement rule is promulgated.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Regional Haze</w:t>
      </w:r>
      <w:r>
        <w:rPr>
          <w:rFonts w:ascii="Arial" w:cs="Arial" w:eastAsia="Arial" w:hAnsi="Arial"/>
          <w:sz w:val="18"/>
          <w:szCs w:val="18"/>
          <w:color w:val="auto"/>
        </w:rPr>
        <w:t>. The federal Regional Haze Rule requires states to submit SIPs to the EPA to address regional haze visibility impairment in 156 federally-protected parks and wilderness areas. Under the first phase of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December 2011, the EPA published in the Federal Register a proposal to approve a trading program in the CSAPR as an alternative to determining BART. However, as a result of the August 2012 District of Columbia Circuit Court of Appeals decision to vacate the CSAPR (See </w:t>
      </w:r>
      <w:r>
        <w:rPr>
          <w:rFonts w:ascii="Arial" w:cs="Arial" w:eastAsia="Arial" w:hAnsi="Arial"/>
          <w:sz w:val="17"/>
          <w:szCs w:val="17"/>
          <w:i w:val="1"/>
          <w:iCs w:val="1"/>
          <w:color w:val="auto"/>
        </w:rPr>
        <w:t>Cross-State Air Pollution Rule</w:t>
      </w:r>
      <w:r>
        <w:rPr>
          <w:rFonts w:ascii="Arial" w:cs="Arial" w:eastAsia="Arial" w:hAnsi="Arial"/>
          <w:sz w:val="17"/>
          <w:szCs w:val="17"/>
          <w:color w:val="auto"/>
        </w:rPr>
        <w:t>), Minnesota Power is now evaluating whether significant additional expenditures at Taconite Harbor Unit 3 will be required to comply with BART requirements under the Regional Haze Rule. If additional regional haze related controls are ultimately required, Minnesota Power will have up to five years from the final rule promulgation date to bring Taconite Harbor Unit 3 into compliance with the Regional Haze Rule requirements. It is uncertain what controls would ultimately be required at Taconite Harbor Unit 3 under this scenario. On January 30, 2013, Minnesota Power announced its “EnergyForward” strategic plan, which includes retiring Taconite Harbor Unit 3 in 2015, subject to MPUC approval.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it has approved Minnesota Power’s request for an additional year extending the date of compliance for the Boswell Unit 4 retrofit to April 1, 2016. Compliance at Boswell Unit 4 to address the final MATS rule is expected to result in capital expenditures totaling between $350 million and $400 million through 2016. Our “EnergyForward” plan also includes the conversion of Laskin Units 1 and 2 to natural gas in 2015, to position the Company for MATS compliance.</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In January 2012, the United States District Court for the District of Columbia ruled that the EPA stay of the Industrial Boiler MACT was unlawful, effectively reinstating the March 2011 rule and associated compliance deadlines. A final rule based on the December 2011 proposal, which supersedes the March 2011 rule, was released in December 2012. Major existing sources have until January 31, 2016 to achieve compliance with the final rule. Minnesota Power is in the process of assessing the impact of this rule on our affected units, Hibbard Renewable Energy Center and Rapids Energy Center. Costs for complying with the final rule cannot be estimated at this time.</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Minnesota Mercury Emissions Reduction Act</w:t>
      </w:r>
      <w:r>
        <w:rPr>
          <w:rFonts w:ascii="Arial" w:cs="Arial" w:eastAsia="Arial" w:hAnsi="Arial"/>
          <w:sz w:val="16"/>
          <w:szCs w:val="16"/>
          <w:color w:val="auto"/>
        </w:rPr>
        <w:t>. Under the 2006 Minnesota Mercury Emissions Reduction Act, Minnesota Power is required to implement a</w:t>
      </w:r>
      <w:r>
        <w:rPr>
          <w:rFonts w:ascii="Arial" w:cs="Arial" w:eastAsia="Arial" w:hAnsi="Arial"/>
          <w:sz w:val="16"/>
          <w:szCs w:val="16"/>
          <w:i w:val="1"/>
          <w:iCs w:val="1"/>
          <w:color w:val="auto"/>
        </w:rPr>
        <w:t xml:space="preserve"> </w:t>
      </w:r>
      <w:r>
        <w:rPr>
          <w:rFonts w:ascii="Arial" w:cs="Arial" w:eastAsia="Arial" w:hAnsi="Arial"/>
          <w:sz w:val="16"/>
          <w:szCs w:val="16"/>
          <w:color w:val="auto"/>
        </w:rPr>
        <w:t>mercury emissions reduction project for Boswell Unit 4 by December 31, 2018. In August 2012, Minnesota Power filed its mercury emissions reduction plan for Boswell Unit 4 with the MPUC and the MPCA. The plan proposes that Minnesota Power install pollution controls to address both the Minnesota mercury emissions reduction requirements and the MATS rule, which also regulates mercury emissions. Minnesota Power’s request of an additional year extending the date of compliance for the Boswell Unit 4 retrofit to April 1, 2016, was approved by the MPCA. Costs to implement the Boswell Unit 4 mercury emissions reduction plan are included in the estimated capital expenditures required for compliance with the MATS rule discussed above.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Ozone NAAQS. </w:t>
      </w:r>
      <w:r>
        <w:rPr>
          <w:rFonts w:ascii="Arial" w:cs="Arial" w:eastAsia="Arial" w:hAnsi="Arial"/>
          <w:sz w:val="18"/>
          <w:szCs w:val="18"/>
          <w:color w:val="auto"/>
        </w:rPr>
        <w:t>The EPA has proposed to more stringently control emissions that result in ground level ozone. In January 2010, the EPA proposed to revise</w:t>
      </w:r>
      <w:r>
        <w:rPr>
          <w:rFonts w:ascii="Arial" w:cs="Arial" w:eastAsia="Arial" w:hAnsi="Arial"/>
          <w:sz w:val="18"/>
          <w:szCs w:val="18"/>
          <w:i w:val="1"/>
          <w:iCs w:val="1"/>
          <w:color w:val="auto"/>
        </w:rPr>
        <w:t xml:space="preserve"> </w:t>
      </w:r>
      <w:r>
        <w:rPr>
          <w:rFonts w:ascii="Arial" w:cs="Arial" w:eastAsia="Arial" w:hAnsi="Arial"/>
          <w:sz w:val="18"/>
          <w:szCs w:val="18"/>
          <w:color w:val="auto"/>
        </w:rPr>
        <w:t>the 2008 eight-hour ozone standard and to adopt a secondary standard for the protection of sensitive vegetation from ozone-related damage. The EPA was scheduled to decide upon the 2008 eight-hour ozone standard in July 2011, but has since announced that it is deferring revision of this standard until 2014 or later.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NAAQS Particulate Matter standards in September 2006. Since then, the EPA has established a more</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24-hour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 the annual PM</w:t>
      </w:r>
      <w:r>
        <w:rPr>
          <w:rFonts w:ascii="Arial" w:cs="Arial" w:eastAsia="Arial" w:hAnsi="Arial"/>
          <w:sz w:val="11"/>
          <w:szCs w:val="11"/>
          <w:color w:val="auto"/>
        </w:rPr>
        <w:t>2.5</w:t>
      </w:r>
      <w:r>
        <w:rPr>
          <w:rFonts w:ascii="Arial" w:cs="Arial" w:eastAsia="Arial" w:hAnsi="Arial"/>
          <w:sz w:val="17"/>
          <w:szCs w:val="17"/>
          <w:color w:val="auto"/>
        </w:rPr>
        <w:t xml:space="preserve"> standard and the 24-hour coarse particulate matter standard have remained unchanged. The United States Court of Appeals for the District of Columbia Circuit remanded the annual PM</w:t>
      </w:r>
      <w:r>
        <w:rPr>
          <w:rFonts w:ascii="Arial" w:cs="Arial" w:eastAsia="Arial" w:hAnsi="Arial"/>
          <w:sz w:val="11"/>
          <w:szCs w:val="11"/>
          <w:color w:val="auto"/>
        </w:rPr>
        <w:t>2.5</w:t>
      </w:r>
      <w:r>
        <w:rPr>
          <w:rFonts w:ascii="Arial" w:cs="Arial" w:eastAsia="Arial" w:hAnsi="Arial"/>
          <w:sz w:val="17"/>
          <w:szCs w:val="17"/>
          <w:color w:val="auto"/>
        </w:rPr>
        <w:t xml:space="preserve"> standard to the EPA, requiring consideration of lower annual standard values. The EPA proposed new PM</w:t>
      </w:r>
      <w:r>
        <w:rPr>
          <w:rFonts w:ascii="Arial" w:cs="Arial" w:eastAsia="Arial" w:hAnsi="Arial"/>
          <w:sz w:val="11"/>
          <w:szCs w:val="11"/>
          <w:color w:val="auto"/>
        </w:rPr>
        <w:t>2.5</w:t>
      </w:r>
      <w:r>
        <w:rPr>
          <w:rFonts w:ascii="Arial" w:cs="Arial" w:eastAsia="Arial" w:hAnsi="Arial"/>
          <w:sz w:val="17"/>
          <w:szCs w:val="17"/>
          <w:color w:val="auto"/>
        </w:rPr>
        <w:t xml:space="preserve"> standards in June 2012.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also revising aspects of relevant monitoring, designations and permitting requirements. New projects and permits must comply with the new more stringent standard, and compliance with the NAAQS at the facility level is generally demonstrated by modeling.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relocating or repurposing existing monitors. States are expected to propose attainment designations by December 2013, based on already available monitoring data. The EPA believes that most U.S. counties currently already meet the new standard and plans to finalize designations of attainment by December 2014. For those counties that the EPA does not designate as having already met the requirements of the new standard, specific dates for required attainment will depend on technology availability, state permitting goals, potential legal challenges and other factors.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 be</w:t>
      </w:r>
      <w:r>
        <w:rPr>
          <w:rFonts w:ascii="Arial" w:cs="Arial" w:eastAsia="Arial" w:hAnsi="Arial"/>
          <w:sz w:val="18"/>
          <w:szCs w:val="18"/>
          <w:i w:val="1"/>
          <w:iCs w:val="1"/>
          <w:color w:val="auto"/>
        </w:rPr>
        <w:t xml:space="preserve"> </w:t>
      </w:r>
      <w:r>
        <w:rPr>
          <w:rFonts w:ascii="Arial" w:cs="Arial" w:eastAsia="Arial" w:hAnsi="Arial"/>
          <w:sz w:val="18"/>
          <w:szCs w:val="18"/>
          <w:color w:val="auto"/>
        </w:rPr>
        <w:t>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require the EPA to evaluate modeling data to determine attainment. The EPA notified states that their SIPs for attainment of the standard were required to be submitted to the EPA for approval by June 2013, but the evaluation of modeling data will not be required until 2017.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late 2011, the MPCA initiated modeling activities that included approximately 65 sources within Minnesota that emit greater than 100 tons of SO</w:t>
      </w:r>
      <w:r>
        <w:rPr>
          <w:rFonts w:ascii="Arial" w:cs="Arial" w:eastAsia="Arial" w:hAnsi="Arial"/>
          <w:sz w:val="12"/>
          <w:szCs w:val="12"/>
          <w:color w:val="auto"/>
        </w:rPr>
        <w:t>2</w:t>
      </w:r>
      <w:r>
        <w:rPr>
          <w:rFonts w:ascii="Arial" w:cs="Arial" w:eastAsia="Arial" w:hAnsi="Arial"/>
          <w:sz w:val="18"/>
          <w:szCs w:val="18"/>
          <w:color w:val="auto"/>
        </w:rPr>
        <w:t xml:space="preserve"> per year. However, in April 2012, the MPCA notified Minnesota Power that such modeling had been suspended as a result of the EPA’s announcement that the June 2013 SIP submittals would no longer require modeling demonstrations for states, such as Minnesota, where ambient monitors indicate compliance with the new standard. The MPCA is awaiting updated EPA guidance and will communicate with affected sources once the MPCA has more information on how the state will meet the EPA’s SIP requirements. Currently, compliance with these new NAAQS is expected to be required as early as 2017. The costs for complying with the final standards cannot be estimated at this time.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President Obama’s Climate Action Plan</w:t>
      </w:r>
      <w:r>
        <w:rPr>
          <w:rFonts w:ascii="Arial" w:cs="Arial" w:eastAsia="Arial" w:hAnsi="Arial"/>
          <w:sz w:val="18"/>
          <w:szCs w:val="18"/>
          <w:color w:val="auto"/>
        </w:rPr>
        <w:t>. On June 25, 2013, President Obama announced a Climate Action Plan (CAP) that calls for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 as further described below.</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to new fossil fuel-fired electric generating units. The proposed NSPS apply only to new or re-powered units and were open for public comment through June 25, 2012. Based on the volume of comments received, the EPA announced its intent to re-propose the rule. The CAP described above directs the EPA to re-propose the rule by September 20, 2013. The CAP also directs the EPA to propose NSPS or regulatory guidelines for existing fossil fuel-fired electric generating units by June 1, 2014, and to finalize such rules by June 1, 2015. Under the CAP, the EPA will issue regulatory guidelines and objectives to the states, which in turn will submit SIPs for EPA approval that demonstrate how the state will meet or surpass achievement of the EPA targeted objectives. The CAP directs the EPA to require states to submit such SIPs by June 30, 2016.</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Minnesota has already initiated several measures consistent with those called for under the CAP. Minnesota Power has also announced its “EnergyForward” strategy that provides for significant emission reductions and diversifying our electricity generation mix to include more renewable and natural gas energy.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Legal challenges have been filed with respect to the EPA’s regulation of GHG emissions, including the Tailoring Rule. In June 2012, the United States District Court for the District of Columbia upheld most of the EPA’s proposed regulations, including the Tailoring Rule criteria, finding that the Clean Air Act compels the EPA to regulate in the manner the EPA proposed. Comments on the permitting guidance were submitted by Minnesota Power and others and may be addressed by the EPA in the form of revised guidance documents.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and the EPA is now expected to issue a final rule in November 2013. We are unable to predict the compliance costs we might incur under the final rule; however, the costs could be material. We would seek recovery of any additional costs through cost recovery riders or in a general rate case.</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On April 19, 2013, the EPA announced proposed revisions to the federal effluent guidelines for steam</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power generating stations under the Clean Water Act. Instead of proposing a single rule, the EPA proposed eight “options,” of which four are “preferred”.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The proposed rule was published in the Federal Register on June 7, 2013, with public comments due September 20, 2013. It is expected that the EPA will issue a final rule in 2014. Compliance with the final rule would be required no later than July 1, 2022. We are reviewing the proposed rule and evaluating its potential impacts on our operations.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Coal Ash Management Facilities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generates coal ash at all five of its coal-fired electric generating facilities. Two facilities store ash in</w:t>
      </w:r>
      <w:r>
        <w:rPr>
          <w:rFonts w:ascii="Arial" w:cs="Arial" w:eastAsia="Arial" w:hAnsi="Arial"/>
          <w:sz w:val="18"/>
          <w:szCs w:val="18"/>
          <w:i w:val="1"/>
          <w:iCs w:val="1"/>
          <w:color w:val="auto"/>
        </w:rPr>
        <w:t xml:space="preserve"> </w:t>
      </w:r>
      <w:r>
        <w:rPr>
          <w:rFonts w:ascii="Arial" w:cs="Arial" w:eastAsia="Arial" w:hAnsi="Arial"/>
          <w:sz w:val="18"/>
          <w:szCs w:val="18"/>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It is expected that the final rule will be published in 2014. We are unable to predict the compliance costs we might incur; however, the costs could be material. We would seek recovery of any additional costs through cost recovery riders or in a general rate case.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June 30, 2013, BNI Coal had surety bonds outstanding of $29.7 million related to the reclamation liability for closing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$2.6 million to provide for BNI Coal’s total reclamation liability, which is currently estimated at $32.3 million. BNI Coal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June 30, 2013, ALLETE Properties, through its subsidiaries, had surety bonds outstanding and letters of credit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totaling $10.2 million primarily related to development and maintenance obligations for various projects. The estimated cost of the remaining development work is approximately $7.4 million.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June 30, 2013, we owned 73 percent of the assessable land in the Town Center District (73 percent at December 31, 2012) and 93 percent of the assessable land in the Palm Coast Park District (93 percent at December 31, 2012). At these ownership levels, our annual assessments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United Taconite Lawsuit. </w:t>
      </w:r>
      <w:r>
        <w:rPr>
          <w:rFonts w:ascii="Arial" w:cs="Arial" w:eastAsia="Arial" w:hAnsi="Arial"/>
          <w:sz w:val="18"/>
          <w:szCs w:val="18"/>
          <w:color w:val="auto"/>
        </w:rPr>
        <w:t>In January 2011, the Company was named as a defendant in a lawsuit in the Sixth Judicial District for the State of Minnesota by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$20.0 million in damages related to the fire. The Company believes that it has strong defenses to the lawsuit and intends to vigorously assert such defenses. An accrual related to any damages that may result from the lawsuit has not been recorded as of June 30, 2013, because a potential loss is not currently probable or reasonably estimable; however, the Company believes it has adequate insurance limits for any potential loss. Our insurance carrier is providing a defense subject to a reservation of rights as to certain claims.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Notice of Potential Clean Air Act Citizen Lawsuit. </w:t>
      </w:r>
      <w:r>
        <w:rPr>
          <w:rFonts w:ascii="Arial" w:cs="Arial" w:eastAsia="Arial" w:hAnsi="Arial"/>
          <w:sz w:val="18"/>
          <w:szCs w:val="18"/>
          <w:color w:val="auto"/>
        </w:rPr>
        <w:t>In July 2013, the Sierra Club submitted to Minnesota Power a notice of intent to file a citizen suit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Clean Air Act.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June 30, 2013, because a potential loss is not currently probable or reasonably estimable.</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are involved in litigation arising in the normal course of business. Also in the normal course of business, we are involved in tax, regulatory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audits, inspections, investigations and other proceedings that involve state and federal taxes, safety, and compliance with regulations, rate base and cost of service issues, among other things. While the resolution of such matters could have a material effect on our results of operations and cash flows in the year of resolution, none of these matters are expected to materially change our present liquidity position, or have a material adverse effect on our financial condition.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2012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“Forward-Looking Statements” located on page 5 and “Risk Factors” located in Part I, Item 1A, beginning on page 27 of our 2012 Form 10</w:t>
      </w:r>
      <w:r>
        <w:rPr>
          <w:rFonts w:ascii="MS PGothic" w:cs="MS PGothic" w:eastAsia="MS PGothic" w:hAnsi="MS PGothic"/>
          <w:sz w:val="17"/>
          <w:szCs w:val="17"/>
          <w:color w:val="auto"/>
        </w:rPr>
        <w:t>‑</w:t>
      </w:r>
      <w:r>
        <w:rPr>
          <w:rFonts w:ascii="Arial" w:cs="Arial" w:eastAsia="Arial" w:hAnsi="Arial"/>
          <w:sz w:val="17"/>
          <w:szCs w:val="17"/>
          <w:color w:val="auto"/>
        </w:rPr>
        <w:t>K. The risks and uncertainties described in this Form 10-Q and our 2012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set forth are realized.</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parts of Wisconsin, Michigan, Minnesota and Illinois. Minnesota Power provides regulated utility electric service in northeastern Minnesota to approximately 143,000 retail customers. Minnesota Power’s non-affiliated municipal customers consist of 16 municipalities in Minnesota and 1 private utility in Wisconsin. SWL&amp;P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BNI Coal, our coal mining operations in North Dakota, ALLETE Properties, our Florida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ALLETE Clean Energy, our business aimed at developing or acquiring capital projects that create energy solutions via wind, solar, biomass, midstream gas and oil infrastructure, among other energy-related projects. This segment also includes other business development and corporate expenditures, a small amount of non-rate base generation, approximately 6,000 acres of land in Minnesota, and earnings on cash and investments.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2013, unless otherwise indicated. All subsidiaries are wholly-owned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OVERVIEW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2013, to the six months ended June 30, 2012.</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income for the six months ended June 30, 2013, was $46.5 million, or $1.18 per diluted share, compared to $38.8 million, or $1.05 per diluted share, for the same period of 2012. Net income for 2013 reflected higher kilowatt-hour sales, cost recovery rider revenue and federal production tax credits, and higher FERC wholesale rates. These increases were partially offset by increased operating and maintenance, depreciation and interest expenses. Earnings per share dilution was $0.07 as a result of additional shares of common stock outstanding as of June 30, 2013.</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was $48.4 million for the six months ended June 30, 2013, compared to $38.8 million for the same period of 2012.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for 2013 reflected higher kilowatt-hour sales, cost recovery rider revenue and federal production tax credits, and FERC wholesale rates. These increases were partially offset by increased operating and maintenance, depreciation, and interest expenses.</w:t>
      </w:r>
    </w:p>
    <w:p>
      <w:pPr>
        <w:spacing w:after="0" w:line="17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net loss was $1.9 million for the six months ended June 30, 2013, compared to no net income for the same period of 2012. The</w:t>
      </w:r>
      <w:r>
        <w:rPr>
          <w:rFonts w:ascii="Arial" w:cs="Arial" w:eastAsia="Arial" w:hAnsi="Arial"/>
          <w:sz w:val="16"/>
          <w:szCs w:val="16"/>
          <w:b w:val="1"/>
          <w:bCs w:val="1"/>
          <w:color w:val="auto"/>
        </w:rPr>
        <w:t xml:space="preserve"> </w:t>
      </w:r>
      <w:r>
        <w:rPr>
          <w:rFonts w:ascii="Arial" w:cs="Arial" w:eastAsia="Arial" w:hAnsi="Arial"/>
          <w:sz w:val="16"/>
          <w:szCs w:val="16"/>
          <w:color w:val="auto"/>
        </w:rPr>
        <w:t>decrease in 2013 was primarily due to higher interest and state income tax expense, partially offset by a gain on sale of available-for-sale securities.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JUNE 30,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$18.8 million, or 10 percent, from 2012 primarily due to higher fuel adjustment clause recoveries, a 2.2 percent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kilowatt-hour sales, and higher municipal rates, gas sales, transmission revenue, and cost recovery rider revenue.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increased $5.2 million from 2012 due to higher fuel and purchased power costs attributable to our retail and municipal customers. (</w:t>
      </w:r>
      <w:r>
        <w:rPr>
          <w:rFonts w:ascii="Arial" w:cs="Arial" w:eastAsia="Arial" w:hAnsi="Arial"/>
          <w:sz w:val="18"/>
          <w:szCs w:val="18"/>
          <w:i w:val="1"/>
          <w:iCs w:val="1"/>
          <w:color w:val="auto"/>
        </w:rPr>
        <w:t>See 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from Regulated Operations increased $4.2 million from 2012 due to a 2.2 percent increase in total kilowatt-hour sales. Kilowatt-hour sales to Other Power Suppliers increased 24.0 percent from 2012. Sales to Other Power Suppliers are sold at market-based prices into the MISO market on a daily basis or through bilateral agreements of various durations. The increase in kilowatt-hour sales was also due to higher sales to residential and commercial customers. In April 2012, heating degree days in Duluth, Minnesota were approximately 35 percent lower than the same period in 2013. Kilowatt-hour sales to industrial customers decreased 4.0 percent from 2012 primarily due to 65.5 million kilowatt-hours sold in the second quarter of 2012 through a short-term, fixed price contract.</w:t>
      </w:r>
    </w:p>
    <w:p>
      <w:pPr>
        <w:spacing w:after="0" w:line="193"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our municipal customers increased $3.1 million from 2012 due to higher rates under the cost-based formula primarily due to higher capital expenditures and due to period-over-period fluctuations in the true-up for actual costs provisions of the contracts. The rates included in these contracts are calculated using a cost-based formula methodology that is set at July 1 each year using estimated costs and a true-up for actual costs the following year.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COMPARISON OF THE QUARTERS ENDED JUNE 30, 2013 AND 2012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251</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335</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326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106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1,769</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1,842</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225</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234</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2,580</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2,628</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610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492</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118</w:t>
            </w:r>
          </w:p>
        </w:tc>
        <w:tc>
          <w:tcPr>
            <w:tcW w:w="1060" w:type="dxa"/>
            <w:vAlign w:val="bottom"/>
          </w:tcPr>
          <w:p>
            <w:pPr>
              <w:jc w:val="right"/>
              <w:spacing w:after="0"/>
              <w:rPr>
                <w:sz w:val="20"/>
                <w:szCs w:val="20"/>
                <w:color w:val="auto"/>
              </w:rPr>
            </w:pPr>
            <w:r>
              <w:rPr>
                <w:rFonts w:ascii="Arial" w:cs="Arial" w:eastAsia="Arial" w:hAnsi="Arial"/>
                <w:sz w:val="18"/>
                <w:szCs w:val="18"/>
                <w:color w:val="auto"/>
              </w:rPr>
              <w:t>24.0 %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3,190</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26 percent of consolidated operating revenue in 2013 (28 percent in 2012). Revenue from electric sales to paper and pulp mills accounted for 8 percent of consolidated operating revenue in 2013 (9 percent in 2012). Revenue from electric sales to pipelines and other industrials accounted for 7 percent of consolidated operating revenue in 2013 (7 percent in 2012).</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Revenue from gas sales at SWL&amp;P increased $2.4 million from 2012 due to unseasonably warm weather in April 2012 and higher purchased gas expenses. (See </w:t>
      </w:r>
      <w:r>
        <w:rPr>
          <w:rFonts w:ascii="Arial" w:cs="Arial" w:eastAsia="Arial" w:hAnsi="Arial"/>
          <w:sz w:val="18"/>
          <w:szCs w:val="18"/>
          <w:i w:val="1"/>
          <w:iCs w:val="1"/>
          <w:color w:val="auto"/>
        </w:rPr>
        <w:t>Operating 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 xml:space="preserve">Transmission revenue increased $2.2 million from 2012 primarily due to the commencement of recovery of our transmission investment related to the 230 kV transmission system upgrade that was placed into service in March 2013 (see </w:t>
      </w:r>
      <w:r>
        <w:rPr>
          <w:rFonts w:ascii="Arial" w:cs="Arial" w:eastAsia="Arial" w:hAnsi="Arial"/>
          <w:sz w:val="18"/>
          <w:szCs w:val="18"/>
          <w:i w:val="1"/>
          <w:iCs w:val="1"/>
          <w:color w:val="auto"/>
        </w:rPr>
        <w:t>Outlook – Industrial Customers – City of Nashwauk</w:t>
      </w:r>
      <w:r>
        <w:rPr>
          <w:rFonts w:ascii="Arial" w:cs="Arial" w:eastAsia="Arial" w:hAnsi="Arial"/>
          <w:sz w:val="18"/>
          <w:szCs w:val="18"/>
          <w:color w:val="auto"/>
        </w:rPr>
        <w:t>) and higher MISO Regional Expansion Criteria and Benefits (RECB) revenue related to our investment in CapX2020.</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$1.1 million from 2012 as our Bison Wind Energy Center was completed in various phases through December 2012 and in service in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$17.0 million, or 10 percent, from 2012.</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$6.6 million, or 9 percent, from 2012 due to an increase in kilowatt-hour sales and higher purchased power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Fuel and purchased power expense related to our retail and municipal customers is recovered through the fuel adjustment clause.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$6.7 million, or 9 percent, from 2012 primarily due to higher purchased gas expenses, higher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maintenance expenses related to our Bison Wind Energy Center, which was in service in 2013, and higher property tax expenses. Purchased gas expenses increased due to higher gas sales in 2013 as a result of the unseasonably warm weather in April 2012 and higher cost of gas in 2013; purchased gas costs are recovered through a purchased gas adjustment clause from customers (see </w:t>
      </w:r>
      <w:r>
        <w:rPr>
          <w:rFonts w:ascii="Arial" w:cs="Arial" w:eastAsia="Arial" w:hAnsi="Arial"/>
          <w:sz w:val="18"/>
          <w:szCs w:val="18"/>
          <w:i w:val="1"/>
          <w:iCs w:val="1"/>
          <w:color w:val="auto"/>
        </w:rPr>
        <w:t>Operating Revenue</w:t>
      </w:r>
      <w:r>
        <w:rPr>
          <w:rFonts w:ascii="Arial" w:cs="Arial" w:eastAsia="Arial" w:hAnsi="Arial"/>
          <w:sz w:val="18"/>
          <w:szCs w:val="18"/>
          <w:color w:val="auto"/>
        </w:rPr>
        <w:t>). Property tax expenses increased primarily due to higher taxable plant and rates.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$3.7 million, or 16 percent, from 2012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$0.5 million, or 5 percent, from 2012 primarily due to higher average long-term debt balances.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$0.5 million, or 7 percent, from 2012, primarily due to higher federal production tax credits in 2013 as our Bison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Center was completed in various phases through December 2012 and in service in 2013.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COMPARISON OF THE QUARTERS ENDED JUNE 30, 2013 AND 2012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$0.4 million, or 2 percent, from 2012 primarily due to a $0.6 million increase in revenue at BNI Coal. BNI Coal,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operates under a cost plus fixed fee contract, recorded higher revenue as a result of higher expenses in 2013. (See </w:t>
      </w:r>
      <w:r>
        <w:rPr>
          <w:rFonts w:ascii="Arial" w:cs="Arial" w:eastAsia="Arial" w:hAnsi="Arial"/>
          <w:sz w:val="17"/>
          <w:szCs w:val="17"/>
          <w:i w:val="1"/>
          <w:iCs w:val="1"/>
          <w:color w:val="auto"/>
        </w:rPr>
        <w:t>Operating Expense</w:t>
      </w:r>
      <w:r>
        <w:rPr>
          <w:rFonts w:ascii="Arial" w:cs="Arial" w:eastAsia="Arial" w:hAnsi="Arial"/>
          <w:sz w:val="17"/>
          <w:szCs w:val="17"/>
          <w:color w:val="auto"/>
        </w:rPr>
        <w:t>.)</w:t>
      </w:r>
    </w:p>
    <w:p>
      <w:pPr>
        <w:spacing w:after="0" w:line="14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$1.1 million, or 5 percent, from 2012 reflecting higher expenses at BNI Coal of $0.7 million primarily due to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costs and labor, which are recovered through the cost-plus contract.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$2.2 million from 2012 primarily due to a decrease in the proportion of ALLETE interest expense allocated to Minnesota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We record interest expense for Regulated Operations based on Minnesota Power’s rate base and authorized capital structure, and allocate the balance to Investments and Other.</w:t>
      </w:r>
    </w:p>
    <w:p>
      <w:pPr>
        <w:spacing w:after="0" w:line="181"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Income tax benefits </w:t>
      </w:r>
      <w:r>
        <w:rPr>
          <w:rFonts w:ascii="Arial" w:cs="Arial" w:eastAsia="Arial" w:hAnsi="Arial"/>
          <w:sz w:val="16"/>
          <w:szCs w:val="16"/>
          <w:color w:val="auto"/>
        </w:rPr>
        <w:t>increased $0.2 million from 2012 primarily due to increased pretax losses offset by higher state tax expense. State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was higher in 2013 as more North Dakota income tax credits attributable to our North Dakota capital investments were recognized in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quarter ended June 30, 2013, the effective tax rate was 22.7 percent (25.0 percent for the quarter ended June 30, 2012). The decrease from the effective tax rate for the quarter ended June 30, 2012, was primarily due to increased federal production tax credits in 2013. The effective tax rate deviated from the statutory rate of approximately 41 percent primarily due to deductions for AFUDC - Equity, investment tax credits, federal production tax credits, state income tax credits and depletion. (See Note 10. Income Tax Expense.)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$41.6 million, or 10 percent, from 2012 primarily due to higher fuel adjustment clause recoveries, a 2.7 percent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kilowatt-hour sales, and higher municipal rates, cost recovery rider revenue, gas sales, and transmission revenue.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increased $12.3 million from 2012 due to higher fuel and purchased power costs attributable to our retail and municipal customers. (</w:t>
      </w:r>
      <w:r>
        <w:rPr>
          <w:rFonts w:ascii="Arial" w:cs="Arial" w:eastAsia="Arial" w:hAnsi="Arial"/>
          <w:sz w:val="18"/>
          <w:szCs w:val="18"/>
          <w:i w:val="1"/>
          <w:iCs w:val="1"/>
          <w:color w:val="auto"/>
        </w:rPr>
        <w:t>See 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from Regulated Operations increased $9.6 million from 2012 due to a 2.7 percent increase in total kilowatt-hour sales. The increase was due primarily to a 19.0 percent increase in kilowatt-hour sales to Other Power Suppliers. Sales to Other Power Suppliers are sold at market-based prices into the MISO market on a daily basis or through bilateral agreements of various durations. Also contributing to the increase was higher sales to residential and commercial customers. In the first four months of 2012, heating degree days in Duluth, Minnesota were approximately 29 percent lower than the same period in 2013. Kilowatt-hour sales to industrial customers decreased 2.6 percent from 2012 primarily due to 65.5 million kilowatt-hours sold in the second quarter of 2012 through a short-term, fixed price contract.</w:t>
      </w:r>
    </w:p>
    <w:p>
      <w:pPr>
        <w:spacing w:after="0" w:line="193"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our municipal customers increased $4.9 million from 2012 due to higher rates under the cost-based formula primarily due to higher capital expenditures and due to period-over-period fluctuations in the true-up for actual costs provisions of the contracts. The rates included in these contracts are calculated using a cost-based formula methodology that is set at July 1 each year using estimated costs and a true-up for actual costs the following year.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THE SIX MONTHS ENDED JUNE 30, 2013 AND 2012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605</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712</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690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0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3,614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3,710</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499</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498</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5,430</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5,450</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1,201</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1,009</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192</w:t>
            </w:r>
          </w:p>
        </w:tc>
        <w:tc>
          <w:tcPr>
            <w:tcW w:w="1060" w:type="dxa"/>
            <w:vAlign w:val="bottom"/>
          </w:tcPr>
          <w:p>
            <w:pPr>
              <w:jc w:val="right"/>
              <w:spacing w:after="0"/>
              <w:rPr>
                <w:sz w:val="20"/>
                <w:szCs w:val="20"/>
                <w:color w:val="auto"/>
              </w:rPr>
            </w:pPr>
            <w:r>
              <w:rPr>
                <w:rFonts w:ascii="Arial" w:cs="Arial" w:eastAsia="Arial" w:hAnsi="Arial"/>
                <w:sz w:val="18"/>
                <w:szCs w:val="18"/>
                <w:color w:val="auto"/>
              </w:rPr>
              <w:t>19.0 %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6,631</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6,459</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25 percent of consolidated operating revenue in 2013 (27 percent in 2012). Revenue from electric sales to paper and pulp mills accounted for 8 percent of consolidated operating revenue in 2013 (9 percent in 2012). Revenue from electric sales to pipelines and other industrials accounted for 6 percent of consolidated operating revenue in 2013 (7 percent in 2012).</w:t>
      </w:r>
    </w:p>
    <w:p>
      <w:pPr>
        <w:spacing w:after="0" w:line="147"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Cost recovery rider revenue increased $6.0 million from 2012 as our Bison Wind Energy Center was completed in various phases through December 2012 and in service in 2013. Also contributing to the increase were higher capital expenditures related to our CapX2020 projects.</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Revenue from gas sales at SWL&amp;P increased $4.3 million from 2012 as a result of the unseasonably warm weather during the first four months of 2012 and higher purchased gas expenses. (See </w:t>
      </w:r>
      <w:r>
        <w:rPr>
          <w:rFonts w:ascii="Arial" w:cs="Arial" w:eastAsia="Arial" w:hAnsi="Arial"/>
          <w:sz w:val="18"/>
          <w:szCs w:val="18"/>
          <w:i w:val="1"/>
          <w:iCs w:val="1"/>
          <w:color w:val="auto"/>
        </w:rPr>
        <w:t>Operating 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 xml:space="preserve">Transmission revenue increased $3.1 million from 2012 primarily due to the commencement of recovery of our transmission investment related to the 230 kV transmission system upgrade that was placed into service in March 2013 (see </w:t>
      </w:r>
      <w:r>
        <w:rPr>
          <w:rFonts w:ascii="Arial" w:cs="Arial" w:eastAsia="Arial" w:hAnsi="Arial"/>
          <w:sz w:val="18"/>
          <w:szCs w:val="18"/>
          <w:i w:val="1"/>
          <w:iCs w:val="1"/>
          <w:color w:val="auto"/>
        </w:rPr>
        <w:t>Outlook – Industrial Customers – City of Nashwauk</w:t>
      </w:r>
      <w:r>
        <w:rPr>
          <w:rFonts w:ascii="Arial" w:cs="Arial" w:eastAsia="Arial" w:hAnsi="Arial"/>
          <w:sz w:val="18"/>
          <w:szCs w:val="18"/>
          <w:color w:val="auto"/>
        </w:rPr>
        <w:t>) and higher MISO RECB revenue related to our investment in CapX2020.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$34.1 million, or 10 percent, from 2012.</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$16.0 million, or 11 percent, from 2012 due to an increase in kilowatt-hour sales and higher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power prices.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$10.8 million, or 7 percent, from 2012 primarily due to higher purchased gas expenses, higher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maintenance expenses related to our Bison Wind Energy Center, which was in service in 2013, and higher property tax expenses. Purchased gas expenses increased due to higher gas sales in 2013 as a result of the unseasonably warm weather during the first four months of 2012 and higher cost of gas in 2013; purchased gas costs are recovered through a purchased gas adjustment clause from customers (see </w:t>
      </w:r>
      <w:r>
        <w:rPr>
          <w:rFonts w:ascii="Arial" w:cs="Arial" w:eastAsia="Arial" w:hAnsi="Arial"/>
          <w:sz w:val="18"/>
          <w:szCs w:val="18"/>
          <w:i w:val="1"/>
          <w:iCs w:val="1"/>
          <w:color w:val="auto"/>
        </w:rPr>
        <w:t>Operating Revenue</w:t>
      </w:r>
      <w:r>
        <w:rPr>
          <w:rFonts w:ascii="Arial" w:cs="Arial" w:eastAsia="Arial" w:hAnsi="Arial"/>
          <w:sz w:val="18"/>
          <w:szCs w:val="18"/>
          <w:color w:val="auto"/>
        </w:rPr>
        <w:t>). Property tax expenses increased primarily due to higher taxable plant and rates.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$7.3 million, or 16 percent, from 2012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$1.6 million, or 8 percent, from 2012 primarily due to higher average long-term debt balances.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$2.7 million, or 14 percent, from 2012, primarily due to higher federal production tax credits in 2013 as our Bison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Center was completed in various phases through December 2012 and in service in 2013.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COMPARISON OF THE SIX MONTHS ENDED JUNE 30, 2013 AND 2012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$1.4 million, or 3 percent, from 2012 primarily due to a $1.5 million increase in revenue at BNI Coal. BNI Coal,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operates under a cost plus fixed fee contract, recorded higher revenue as a result of higher expenses in 2013. (See </w:t>
      </w:r>
      <w:r>
        <w:rPr>
          <w:rFonts w:ascii="Arial" w:cs="Arial" w:eastAsia="Arial" w:hAnsi="Arial"/>
          <w:sz w:val="17"/>
          <w:szCs w:val="17"/>
          <w:i w:val="1"/>
          <w:iCs w:val="1"/>
          <w:color w:val="auto"/>
        </w:rPr>
        <w:t>Operating Expense</w:t>
      </w:r>
      <w:r>
        <w:rPr>
          <w:rFonts w:ascii="Arial" w:cs="Arial" w:eastAsia="Arial" w:hAnsi="Arial"/>
          <w:sz w:val="17"/>
          <w:szCs w:val="17"/>
          <w:color w:val="auto"/>
        </w:rPr>
        <w:t>.)</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2360" w:type="dxa"/>
            <w:vAlign w:val="bottom"/>
          </w:tcPr>
          <w:p>
            <w:pPr>
              <w:spacing w:after="0"/>
              <w:rPr>
                <w:sz w:val="20"/>
                <w:szCs w:val="20"/>
                <w:color w:val="auto"/>
              </w:rPr>
            </w:pPr>
          </w:p>
        </w:tc>
        <w:tc>
          <w:tcPr>
            <w:tcW w:w="1660" w:type="dxa"/>
            <w:vAlign w:val="bottom"/>
          </w:tcPr>
          <w:p>
            <w:pPr>
              <w:jc w:val="right"/>
              <w:ind w:right="1210"/>
              <w:spacing w:after="0"/>
              <w:rPr>
                <w:sz w:val="20"/>
                <w:szCs w:val="20"/>
                <w:color w:val="auto"/>
              </w:rPr>
            </w:pPr>
            <w:r>
              <w:rPr>
                <w:rFonts w:ascii="Arial" w:cs="Arial" w:eastAsia="Arial" w:hAnsi="Arial"/>
                <w:sz w:val="18"/>
                <w:szCs w:val="18"/>
                <w:b w:val="1"/>
                <w:bCs w:val="1"/>
                <w:color w:val="auto"/>
                <w:w w:val="84"/>
              </w:rPr>
              <w:t>2013</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020" w:type="dxa"/>
            <w:vAlign w:val="bottom"/>
          </w:tcPr>
          <w:p>
            <w:pPr>
              <w:spacing w:after="0"/>
              <w:rPr>
                <w:sz w:val="20"/>
                <w:szCs w:val="20"/>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2360" w:type="dxa"/>
            <w:vAlign w:val="bottom"/>
          </w:tcPr>
          <w:p>
            <w:pPr>
              <w:jc w:val="right"/>
              <w:ind w:right="11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66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r>
      <w:tr>
        <w:trPr>
          <w:trHeight w:val="27"/>
        </w:trPr>
        <w:tc>
          <w:tcPr>
            <w:tcW w:w="40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2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360" w:type="dxa"/>
            <w:vAlign w:val="bottom"/>
          </w:tcPr>
          <w:p>
            <w:pPr>
              <w:spacing w:after="0"/>
              <w:rPr>
                <w:sz w:val="21"/>
                <w:szCs w:val="21"/>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1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0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2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0"/>
        </w:trPr>
        <w:tc>
          <w:tcPr>
            <w:tcW w:w="40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ind w:left="340"/>
        <w:spacing w:after="0"/>
        <w:tabs>
          <w:tab w:leader="none" w:pos="66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Acreage amounts are shown on a gross basis, including wetlands.</w:t>
      </w:r>
    </w:p>
    <w:p>
      <w:pPr>
        <w:spacing w:after="0" w:line="20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$1.8 million, or 4 percent, from 2012 reflecting higher expenses at BNI Coal of $1.7 million primarily due to higher labor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fuel costs, which are recovered through the cost-plus contract.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$2.4 million from 2012 primarily due to a decrease in the proportion of ALLETE interest expense allocated to Minnesota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We record interest expense for Regulated Operations based on Minnesota Power’s rate base and authorized capital structure, and allocate the balance to Investments and Other.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$2.1 million from 2012 primarily due to a gain on sale of available-for-sale securities.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decreased $1.2 million from 2012 primarily due to higher state tax expense. State income tax expense was higher in 2013 as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North Dakota income tax credits attributable to our North Dakota capital investments were recognized in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six months ended June 30, 2013, the effective tax rate was 20.0 percent (25.2 percent for the six months ended June 30, 2012). The decrease from the effective tax rate for the six months ended June 30, 2012, was primarily due to increased federal production tax credits in 2013. The effective tax rate deviated from the statutory rate of approximately 41 percent primarily due to deductions for AFUDC - Equity, investment tax credits, federal production tax credits, state income tax credits and depletion. (See Note 10. Income Tax Expense.)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2012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2012 Form 10-K.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key long-term objective of achieving minimum average earnings per share growth of 5 percent per year (using 2010 as a base year) and maintaining a competitive dividend payout. To accomplish this, Minnesota Power will continue to pursue customer growth opportunities and cost recovery rider approval for environmental, renewable and transmission investments, as well as work with legislators and regulators to earn a fair rate of return. In addition, ALLETE expects to pursue new energy-centric initiatives that provide long-term earnings growth potential, while at the same time reduce our exposure to industrial electricity sales. The new energy-centric pursuits will be in renewable energy, transmission and other energy-related infrastructure or infrastructure services.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over the long-term, less carbon intensive and more sustainable energy sources will play an increasingly important role in our nation’s energy mix. Minnesota Power has developed renewable resources which will be used to meet regulated renewable supply requirements and is considering additional investments. In addition, in June 2011, we established ALLETE Clean Energy, a wholly-owned subsidiary of ALLETE. ALLETE Clean Energy operates independently of Minnesota Power to develop or acquire capital projects aimed at creating energy solutions via wind, solar, biomass, midstream gas and oil infrastructure, among other energy-related projects. ALLETE Clean Energy intends to market to electric utilities, cooperatives, municipalities, independent power marketers and large end-users across North America through long-term contracts or other sale arrangements, and will be subject to applicable state and federal regulatory approvals. For wind development, we intend to capitalize on our existing presence in North Dakota through BNI Coal, our DC transmission line and our Bison Wind Energy Center. We have a long-term business presence and established landowner relationships in North Dakota.</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plan to make investments in transmission opportunities that strengthen or enhance the transmission grid or take advantage of our geographical location between sources of renewable energy and end users. This includes the Great Northern Transmission Line and the CapX2020 initiative, as well as investments to enhance our own transmission facilities, investments in other transmission assets (individually or in combination with others), and our investment in ATC. Transmission investments could be made by Minnesota Power or a subsidiary of ALLETE. (See Regulated Operations – </w:t>
      </w:r>
      <w:r>
        <w:rPr>
          <w:rFonts w:ascii="Arial" w:cs="Arial" w:eastAsia="Arial" w:hAnsi="Arial"/>
          <w:sz w:val="16"/>
          <w:szCs w:val="16"/>
          <w:i w:val="1"/>
          <w:iCs w:val="1"/>
          <w:color w:val="auto"/>
        </w:rPr>
        <w:t>Transmission</w:t>
      </w:r>
      <w:r>
        <w:rPr>
          <w:rFonts w:ascii="Arial" w:cs="Arial" w:eastAsia="Arial" w:hAnsi="Arial"/>
          <w:sz w:val="16"/>
          <w:szCs w:val="16"/>
          <w:color w:val="auto"/>
        </w:rPr>
        <w: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American energy trends continue to evolve, and may be impacted by emerging technological, environmental, and demand changes. We believe this may create opportunity, and we are exploring investing in other energy-centric businesses related to energy infrastructure and infrastructure services. Our investment criteria focuses on investments with recurring or contractual revenues, differentiated offerings and reasonable barriers to entry. In addition, investments would typically support ALLETE’s investment grade credit metrics and dividend policy.</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reliable and cost-competitive electric energy, while complying with environmental permit conditions and renewable requirements.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legislators and regulators to earn a fair rate of return. We project that our Regulated Operations will not earn its allowed rate of return in 2013.</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Minnesota Public Utilities Commission. </w:t>
      </w:r>
      <w:r>
        <w:rPr>
          <w:rFonts w:ascii="Arial" w:cs="Arial" w:eastAsia="Arial" w:hAnsi="Arial"/>
          <w:sz w:val="18"/>
          <w:szCs w:val="18"/>
          <w:color w:val="auto"/>
        </w:rPr>
        <w:t>The MPUC has regulatory authority over Minnesota Power’s service area in Minnesota, retail rates, retail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structure, issuance of securities and other matters.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Interim Rate Appeal. </w:t>
      </w:r>
      <w:r>
        <w:rPr>
          <w:rFonts w:ascii="Arial" w:cs="Arial" w:eastAsia="Arial" w:hAnsi="Arial"/>
          <w:sz w:val="18"/>
          <w:szCs w:val="18"/>
          <w:color w:val="auto"/>
        </w:rPr>
        <w:t>In February 2011, Minnesota Power appealed the MPUC’s interim rate decision in the Company’s 2010 rate case to the Minnesota Court</w:t>
      </w:r>
      <w:r>
        <w:rPr>
          <w:rFonts w:ascii="Arial" w:cs="Arial" w:eastAsia="Arial" w:hAnsi="Arial"/>
          <w:sz w:val="18"/>
          <w:szCs w:val="18"/>
          <w:i w:val="1"/>
          <w:iCs w:val="1"/>
          <w:color w:val="auto"/>
        </w:rPr>
        <w:t xml:space="preserve"> </w:t>
      </w:r>
      <w:r>
        <w:rPr>
          <w:rFonts w:ascii="Arial" w:cs="Arial" w:eastAsia="Arial" w:hAnsi="Arial"/>
          <w:sz w:val="18"/>
          <w:szCs w:val="18"/>
          <w:color w:val="auto"/>
        </w:rPr>
        <w:t>of Appeals. The Company appealed the MPUC’s finding of exigent circumstances in the interim rate decision with the primary arguments being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In January 2012, the Company filed a petition for review at the Minnesota Supreme Court (Court). In February 2012, the Court granted the petition for review and oral arguments were held before the Court in October 2012. A decision is expected in the third quarter of 2013. We cannot predict the outcome at this time.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Rapids Energy Center. </w:t>
      </w:r>
      <w:r>
        <w:rPr>
          <w:rFonts w:ascii="Arial" w:cs="Arial" w:eastAsia="Arial" w:hAnsi="Arial"/>
          <w:sz w:val="18"/>
          <w:szCs w:val="18"/>
          <w:color w:val="auto"/>
        </w:rPr>
        <w:t>In December 2012, Minnesota Power filed with the MPUC for approval to transfer the assets of Rapids Energy Center from non-rate</w:t>
      </w:r>
      <w:r>
        <w:rPr>
          <w:rFonts w:ascii="Arial" w:cs="Arial" w:eastAsia="Arial" w:hAnsi="Arial"/>
          <w:sz w:val="18"/>
          <w:szCs w:val="18"/>
          <w:i w:val="1"/>
          <w:iCs w:val="1"/>
          <w:color w:val="auto"/>
        </w:rPr>
        <w:t xml:space="preserve"> </w:t>
      </w:r>
      <w:r>
        <w:rPr>
          <w:rFonts w:ascii="Arial" w:cs="Arial" w:eastAsia="Arial" w:hAnsi="Arial"/>
          <w:sz w:val="18"/>
          <w:szCs w:val="18"/>
          <w:color w:val="auto"/>
        </w:rPr>
        <w:t>base generation to Minnesota Power’s Regulated Operations. Rapids Energy Center is a generation facility that is located at the UPM, Blandin Paper Mill (Blandin). Minnesota Power and Blandin entered into a new electric service agreement in September 2012 which is also subject to MPUC approval. We expect a decision from the MPUC on these filings in late 2013.</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i w:val="1"/>
          <w:i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Federal Energy Regulatory Commission. </w:t>
      </w:r>
      <w:r>
        <w:rPr>
          <w:rFonts w:ascii="Arial" w:cs="Arial" w:eastAsia="Arial" w:hAnsi="Arial"/>
          <w:sz w:val="17"/>
          <w:szCs w:val="17"/>
          <w:color w:val="auto"/>
        </w:rPr>
        <w:t>Minnesota Power’s non-affiliated municipal customers consist of 16 municipalities in Minnesota and 1 private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utility in Wisconsin. SWL&amp;P, a wholly-owned subsidiary of ALLETE, is also a private utility in Wisconsin and a customer of Minnesota Power. Minnesota Power’s formula-based contract with the City of Nashwauk is effective April 1, 2013 through June 30, 2024, and the restated formula-based contracts with the remaining 15 Minnesota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cost-based formula methodology also provides for a yearly true-up calculation for actual costs incurred. The contract terms include a termination clause requiring a three-year notice to terminate. Under the City of Nashwauk contract, no termination notice may be given prior to July 1, 2021. Under the restated contracts, no termination notices may be given prior to June 30, 2016. A two-year cancellation notice is required for the one private non-affiliated utility in Wisconsin, and on December 31, 2011, this wholesale customer submitted a cancellation notice with termination effective on December 31, 2013. The 17 MW of average monthly demand currently provided to this wholesale customer is expected to be used, upon termination, to supply power for prospective additional retail and municipal load.</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wood products, and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Approximately 54 percent of our Regulated Utility kilowatt-hour sales in the six months ended June 30, 2013 (57 percent in the six months ended June 30, 2012) were made to our industrial customers in these industries.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has been a general historical correlation between U.S. steel production and Minnesota taconite production. The World Steel Association, an association of approximately 170 steel producers, national and regional steel industry associations, and steel research institutes representing around 85 percent of world steel production, projected U.S. steel consumption in 2013 will be similar to 2012. The American Iron and Steel Institute (AISI), an association of North American steel producers, reported that U.S. raw steel production operated at approximately 77 percent of capacity during the first six months of 2013, compared to 78 percent in 2012. Based on this information, 2013 taconite production levels in Minnesota are expected to be similar to 2012.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northeastern Minnesota continue to progress in the development of natural resource based projects that represent long-term growth potential and load diversity for Minnesota Power. These projects are in the ferrous and non-ferrous mining and steel industries and include PolyMet, Mesabi Nugget Delaware, LLC, USS Corporation’s Keewatin taconite expansion, Magnetation, Inc. and additional Essar Steel Minnesota LLC (Essar) load growth (see </w:t>
      </w:r>
      <w:r>
        <w:rPr>
          <w:rFonts w:ascii="Arial" w:cs="Arial" w:eastAsia="Arial" w:hAnsi="Arial"/>
          <w:sz w:val="18"/>
          <w:szCs w:val="18"/>
          <w:i w:val="1"/>
          <w:iCs w:val="1"/>
          <w:color w:val="auto"/>
        </w:rPr>
        <w:t>City of</w:t>
      </w:r>
      <w:r>
        <w:rPr>
          <w:rFonts w:ascii="Arial" w:cs="Arial" w:eastAsia="Arial" w:hAnsi="Arial"/>
          <w:sz w:val="18"/>
          <w:szCs w:val="18"/>
          <w:color w:val="auto"/>
        </w:rPr>
        <w:t xml:space="preserve"> </w:t>
      </w:r>
      <w:r>
        <w:rPr>
          <w:rFonts w:ascii="Arial" w:cs="Arial" w:eastAsia="Arial" w:hAnsi="Arial"/>
          <w:sz w:val="18"/>
          <w:szCs w:val="18"/>
          <w:i w:val="1"/>
          <w:iCs w:val="1"/>
          <w:color w:val="auto"/>
        </w:rPr>
        <w:t>Nashwauk</w:t>
      </w:r>
      <w:r>
        <w:rPr>
          <w:rFonts w:ascii="Arial" w:cs="Arial" w:eastAsia="Arial" w:hAnsi="Arial"/>
          <w:sz w:val="18"/>
          <w:szCs w:val="18"/>
          <w:color w:val="auto"/>
        </w:rPr>
        <w:t>). We cannot predict the outcome of these projects, but if these projects are constructed, Minnesota Power could serve up to approximately 600</w:t>
      </w:r>
      <w:r>
        <w:rPr>
          <w:rFonts w:ascii="Arial" w:cs="Arial" w:eastAsia="Arial" w:hAnsi="Arial"/>
          <w:sz w:val="18"/>
          <w:szCs w:val="18"/>
          <w:i w:val="1"/>
          <w:iCs w:val="1"/>
          <w:color w:val="auto"/>
        </w:rPr>
        <w:t xml:space="preserve"> </w:t>
      </w:r>
      <w:r>
        <w:rPr>
          <w:rFonts w:ascii="Arial" w:cs="Arial" w:eastAsia="Arial" w:hAnsi="Arial"/>
          <w:sz w:val="18"/>
          <w:szCs w:val="18"/>
          <w:color w:val="auto"/>
        </w:rPr>
        <w:t>MW of new retail or wholesale load.</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City of Nashwauk. </w:t>
      </w:r>
      <w:r>
        <w:rPr>
          <w:rFonts w:ascii="Arial" w:cs="Arial" w:eastAsia="Arial" w:hAnsi="Arial"/>
          <w:sz w:val="16"/>
          <w:szCs w:val="16"/>
          <w:color w:val="auto"/>
        </w:rPr>
        <w:t>In May 2012, the Company entered into a new formula-based wholesale electric sales agreement with the City of Nashwauk,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for all of the City’s electric service requirements, effective April 1, 2013 through June 30, 2024. A new Essar taconite facility is currently under construction in the City of Nashwauk. This facility will result in up to approximately 110 MW of additional load for Minnesota Power. Under the terms of a facilities construction agreement, Minnesota Power constructed a 230 kV transmission system upgrade to serve the Essar load which was placed into service in March 2013, with a total cost of approximately $35 million. This upgrade will allow the City of Nashwauk to provide electric service for Essar’s new taconite facility. Billings to Essar to recover our transmission investments began in April 2013. Currently, Essar expects to begin blasting, mining and commissioning equipment in 2014. These activities will require an insignificant amount of electric power and as a result, we expect minimal impact from electric sales on our results of operations through 2014. Essar is expected to begin increasing its electric power requirements as it ramps up production in late 2014, into 2015 and beyond. Expansions for additional pellet production, production of direct reduced iron and production of steel slabs are also being considered by Essar for future years. In addition, on February 11, 2013, Essar announced a ten-year iron ore pellet off-take agreement with ArcelorMittal. Under the terms of the agreement, Essar will supply approximately 3 million to 4 million metric tons of pellets annually to ArcelorMittal through 2024.</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EnergyForward. </w:t>
      </w:r>
      <w:r>
        <w:rPr>
          <w:rFonts w:ascii="Arial" w:cs="Arial" w:eastAsia="Arial" w:hAnsi="Arial"/>
          <w:sz w:val="16"/>
          <w:szCs w:val="16"/>
          <w:color w:val="auto"/>
        </w:rPr>
        <w:t>On January 30, 2013, Minnesota Power announced “EnergyForward”, a strategic plan for assuring reliability, protecting affordability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improving environmental performance. The plan includes completed and planned investments in wind and hydroelectric power, the addition of natural gas as a generation fuel source, and the installation of emissions control technology. Significant elements of the “EnergyForward” plan include:</w:t>
      </w:r>
    </w:p>
    <w:p>
      <w:pPr>
        <w:spacing w:after="0" w:line="147"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Including the 210 MW of wind generation commissioned in December 2012, our Bison Wind Energy Center has 292 MW of nameplate capacity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Planned installation of approximately $350 to $400 million in emissions control technology at our Boswell Unit 4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Planning for the proposed Great Northern Transmission Line to deliver hydroelectric power from northern Manitoba by 2020 (see </w:t>
      </w:r>
      <w:r>
        <w:rPr>
          <w:rFonts w:ascii="Arial" w:cs="Arial" w:eastAsia="Arial" w:hAnsi="Arial"/>
          <w:sz w:val="18"/>
          <w:szCs w:val="18"/>
          <w:i w:val="1"/>
          <w:iCs w:val="1"/>
          <w:color w:val="auto"/>
        </w:rPr>
        <w:t>Renewable Energy</w:t>
      </w:r>
      <w:r>
        <w:rPr>
          <w:rFonts w:ascii="Arial" w:cs="Arial" w:eastAsia="Arial" w:hAnsi="Arial"/>
          <w:sz w:val="18"/>
          <w:szCs w:val="18"/>
          <w:color w:val="auto"/>
        </w:rPr>
        <w:t xml:space="preserve"> and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in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Retiring Taconite Harbor Unit 3, one of three coal units at Taconite Harbor, in 2015.</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“EnergyForward” initiatives are subject to regulatory approval, and were included in Minnesota Power’s 2013 Integrated Resource Plan filed with the MPUC on March 1, 2013 (see </w:t>
      </w:r>
      <w:r>
        <w:rPr>
          <w:rFonts w:ascii="Arial" w:cs="Arial" w:eastAsia="Arial" w:hAnsi="Arial"/>
          <w:sz w:val="18"/>
          <w:szCs w:val="18"/>
          <w:i w:val="1"/>
          <w:iCs w:val="1"/>
          <w:color w:val="auto"/>
        </w:rPr>
        <w:t>Integrated Resource Plan</w:t>
      </w:r>
      <w:r>
        <w:rPr>
          <w:rFonts w:ascii="Arial" w:cs="Arial" w:eastAsia="Arial" w:hAnsi="Arial"/>
          <w:sz w:val="18"/>
          <w:szCs w:val="18"/>
          <w:color w:val="auto"/>
        </w:rPr>
        <w: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Boswell Mercury Emissions Reduction Plan. </w:t>
      </w:r>
      <w:r>
        <w:rPr>
          <w:rFonts w:ascii="Arial" w:cs="Arial" w:eastAsia="Arial" w:hAnsi="Arial"/>
          <w:sz w:val="17"/>
          <w:szCs w:val="17"/>
          <w:color w:val="auto"/>
        </w:rPr>
        <w:t>Minnesota Power is required to implement a mercury emissions reduction project for Boswell Unit 4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between $350 million and $400 million. The MPCA issued its report on March 1, 2013 in support of the Boswell Unit 4 mercury emissions reduction plan stating that the plan is appropriate for accomplishing the objectives of reducing emissions of mercury and other pollutants under the Minnesota Statutes and recommended that the MPUC accept the report’s findings. We expect a decision by the MPUC on the plan in the third quarter of 2013. Upon approval by the MPUC, we anticipate filing a petition to include investments and expenditures in customer billing rates. (See </w:t>
      </w:r>
      <w:r>
        <w:rPr>
          <w:rFonts w:ascii="Arial" w:cs="Arial" w:eastAsia="Arial" w:hAnsi="Arial"/>
          <w:sz w:val="17"/>
          <w:szCs w:val="17"/>
          <w:i w:val="1"/>
          <w:iCs w:val="1"/>
          <w:color w:val="auto"/>
        </w:rPr>
        <w:t>EnergyForward</w:t>
      </w:r>
      <w:r>
        <w:rPr>
          <w:rFonts w:ascii="Arial" w:cs="Arial" w:eastAsia="Arial" w:hAnsi="Arial"/>
          <w:sz w:val="17"/>
          <w:szCs w:val="17"/>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Renewable Energy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2007, Minnesota enacted a law requiring 25 percent of Minnesota Power’s total retail and municipal energy sales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Minnesota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met the 2012 milestone and has developed a plan to meet the future renewable milestones which is included in its 2010 and 2013 Integrated Resource Plans. The MPUC approved the 2010 Integrated Resource Plan in its final order issued in May 2011. Minnesota Power submitted its 2013 Integrated Resource Plan on March 1, 2013, which included an update on its plans and progress in meeting the Minnesota renewable energy milestones through 2025. (See </w:t>
      </w:r>
      <w:r>
        <w:rPr>
          <w:rFonts w:ascii="Arial" w:cs="Arial" w:eastAsia="Arial" w:hAnsi="Arial"/>
          <w:sz w:val="17"/>
          <w:szCs w:val="17"/>
          <w:i w:val="1"/>
          <w:iCs w:val="1"/>
          <w:color w:val="auto"/>
        </w:rPr>
        <w:t>EnergyForward</w:t>
      </w:r>
      <w:r>
        <w:rPr>
          <w:rFonts w:ascii="Arial" w:cs="Arial" w:eastAsia="Arial" w:hAnsi="Arial"/>
          <w:sz w:val="17"/>
          <w:szCs w:val="17"/>
          <w:color w:val="auto"/>
        </w:rPr>
        <w:t>.)</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Minnesota Power has taken several steps in executing its renewable energy strategy through key renewable projects that will ensure we meet the identified state mandate at the lowest cost for customers (see </w:t>
      </w:r>
      <w:r>
        <w:rPr>
          <w:rFonts w:ascii="Arial" w:cs="Arial" w:eastAsia="Arial" w:hAnsi="Arial"/>
          <w:sz w:val="18"/>
          <w:szCs w:val="18"/>
          <w:i w:val="1"/>
          <w:iCs w:val="1"/>
          <w:color w:val="auto"/>
        </w:rPr>
        <w:t>Wind Energy</w:t>
      </w:r>
      <w:r>
        <w:rPr>
          <w:rFonts w:ascii="Arial" w:cs="Arial" w:eastAsia="Arial" w:hAnsi="Arial"/>
          <w:sz w:val="18"/>
          <w:szCs w:val="18"/>
          <w:color w:val="auto"/>
        </w:rPr>
        <w:t>). We expect 17 percent of the Company’s total retail and municipal energy sales will be supplied by renewable energy sources in 2013.</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Wind Energy. </w:t>
      </w:r>
      <w:r>
        <w:rPr>
          <w:rFonts w:ascii="Arial" w:cs="Arial" w:eastAsia="Arial" w:hAnsi="Arial"/>
          <w:sz w:val="17"/>
          <w:szCs w:val="17"/>
          <w:color w:val="auto"/>
        </w:rPr>
        <w:t>Our wind energy facilities consist of our 292 MW Bison Wind Energy Center located in North Dakota completed in various phases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2012, and our 25 MW Taconite Ridge Energy Center located in northeastern Minnesota completed in 2008. We also have two long-term wind PPAs with an affiliate of NextEra Energy, Inc. to purchase the output from Oliver Wind I (50 MW) and Oliver Wind II (48 MW) located in North Dakota.</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billing rates for our Bison Wind Energy Center were approved by the MPUC in a November 2011 order and are based on investments and expenditures through that period. We filed a cost recovery petition with the MPUC on May 31, 2013, to update customer billing rates for subsequent investments and expenditures since 2011, which is expected to be approved in the second half of 2013.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plan includes additional wind energy investments in North Dakota to meet Minnesota’s 25 percent renewable energy mandate by 2025. On January 2, 2013, The American Taxpayer Relief Act of 2012 (ATRA) extended the availability of the production tax credit for renewable energy facilities that commence construction by December 31, 2013, among other ATRA requirements.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3, 2013, we filed for NDPSC site permit approval for construction of Bison 4, an approximately 200 MW wind project in North Dakota. If approved by the NDPSC, construction would commence in the second half of 2013 and would be expected to be completed by the end of 2014. The total project investment is estimated to be approximately $345 million (see Liquidity and Capital Resources – Capital Requirements). We also expect to file for MPUC approval of the project in the third quarter of 2013. Upon approval by the MPUC, we will seek current cost recovery eligibility for our investment.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our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Minnesota Power has a long-term PPA with Manitoba Hydro that expires in April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2011, Minnesota Power and Manitoba Hydro signed an additional long-term PPA. The PPA calls for Manitoba Hydro to sell 250 MW of capacity and energy to Minnesota Power for 15 years beginning in 2020. The capacity price is adjusted annually until 2020 by a change in a governmental inflationary index. The energy price is based on a formula that includes an annual fixed price component adjusted for changes in a governmental inflationary index, a natural gas index, and market prices. The agreement is subject to construction of additional transmission capacity between Manitoba and Minnesota’s Iron Range. In addition, we are exploring other regional grid enhancements that would allow for the movement of more renewable energy in the Upper Midwest while at the same time strengthening electric reliability in the region. (See </w:t>
      </w:r>
      <w:r>
        <w:rPr>
          <w:rFonts w:ascii="Arial" w:cs="Arial" w:eastAsia="Arial" w:hAnsi="Arial"/>
          <w:sz w:val="17"/>
          <w:szCs w:val="17"/>
          <w:i w:val="1"/>
          <w:iCs w:val="1"/>
          <w:color w:val="auto"/>
        </w:rPr>
        <w:t>Transmission</w:t>
      </w:r>
      <w:r>
        <w:rPr>
          <w:rFonts w:ascii="Arial" w:cs="Arial" w:eastAsia="Arial" w:hAnsi="Arial"/>
          <w:sz w:val="17"/>
          <w:szCs w:val="17"/>
          <w:color w:val="auto"/>
        </w:rPr>
        <w:t>.)</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Hydro Operations. </w:t>
      </w:r>
      <w:r>
        <w:rPr>
          <w:rFonts w:ascii="Arial" w:cs="Arial" w:eastAsia="Arial" w:hAnsi="Arial"/>
          <w:sz w:val="17"/>
          <w:szCs w:val="17"/>
          <w:color w:val="auto"/>
        </w:rPr>
        <w:t>In June 2012, record rainfall and flooding occurred near Duluth, Minnesota and surrounding areas. The flooding impacted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St. Louis River hydro system, particularly the Thomson Energy Center, which is currently off-line due to damage to the forebay canal and flooding at the facility. Minnesota Power continues to work on restoring the Thomson facility and to assess options for rebuilding the forebay canal. We are in close contact with the appropriate regulatory bodies which oversee the hydro system operations, including dams and reservoirs. Until that assessment is complete, we are not able to fully estimate the capital cost and schedule for rebuilding the forebay canal and resuming generation; however, based on a preliminary evaluation, the capital rebuild cost is estimated to be approximately $25 million. In addition to the forebay work, Minnesota Power is performing restoration and upgrade work on electrical, mechanical and flow line systems at the Thomson facility, which is estimated to cost a total of approximately $35 million (net of anticipated insurance recoveries). Any expenditures to restore and upgrade systems and rebuild the forebay canal will be capitalized. Minnesota Power is working towards returning to partial generation from the Thomson Energy Center by the end of 2013 and to full generation by the end of 2014. In addition to the work at the Thomson facility, additional work on the Thomson Dam and other facilities in the St. Louis River hydro system are necessary to meet high flow events like that experienced in June 2012, which is estimated to cost approximately $10 million dollars through 2015. We expect to file a request with the MPUC in the third quarter of 2013 for cost recovery of capital expenditures related to the restoration and repair of the Thomson facility and other related St. Louis River hydro system projects through a renewable resources rider.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Solar Mandate. </w:t>
      </w:r>
      <w:r>
        <w:rPr>
          <w:rFonts w:ascii="Arial" w:cs="Arial" w:eastAsia="Arial" w:hAnsi="Arial"/>
          <w:sz w:val="18"/>
          <w:szCs w:val="18"/>
          <w:color w:val="auto"/>
        </w:rPr>
        <w:t>In May 2013, legislation was enacted by the state of Minnesota requiring at least 1.5 percent of total retail electric sales,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sales to certain industrial customers, to be generated by solar energy by the end of 2020. At least ten percent of the 1.5 percent mandate must be met by solar energy generated by or procured from solar photovoltaic devices with a nameplate capacity of 20 kilowatts or less. Minnesota Power is in the process of evaluating the potential impact of this legislation on our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May 2011, the MPUC issued its final order approving our 2010 Integrated Resource Plan. As a condition of the final order,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required baseload diversification study evaluating the impact of additional environmental regulations over the next two decades was filed in February 2012. Minnesota Power’s 2013 Integrated Resource Plan, filed on March 1, 2013, details our “EnergyForward” strategic plan (see </w:t>
      </w:r>
      <w:r>
        <w:rPr>
          <w:rFonts w:ascii="Arial" w:cs="Arial" w:eastAsia="Arial" w:hAnsi="Arial"/>
          <w:sz w:val="18"/>
          <w:szCs w:val="18"/>
          <w:i w:val="1"/>
          <w:iCs w:val="1"/>
          <w:color w:val="auto"/>
        </w:rPr>
        <w:t>EnergyForward</w:t>
      </w:r>
      <w:r>
        <w:rPr>
          <w:rFonts w:ascii="Arial" w:cs="Arial" w:eastAsia="Arial" w:hAnsi="Arial"/>
          <w:sz w:val="18"/>
          <w:szCs w:val="18"/>
          <w:color w:val="auto"/>
        </w:rPr>
        <w:t>), and includes an analysis of a variety of existing and future energy resource alternatives and a projection of customer cost impact by class. A decision by the MPUC on this plan is expected in late 2013.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This includes the Great Northern Transmission Line and the CapX2020 initiative, as well as investments to enhance our own transmission facilities, investments in other transmission assets (individually or in combination with others), and our investment in ATC.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Transmission Investments. </w:t>
      </w:r>
      <w:r>
        <w:rPr>
          <w:rFonts w:ascii="Arial" w:cs="Arial" w:eastAsia="Arial" w:hAnsi="Arial"/>
          <w:sz w:val="17"/>
          <w:szCs w:val="17"/>
          <w:color w:val="auto"/>
        </w:rPr>
        <w:t>Minnesota Power has an approved cost recovery rider in place for certain transmission investments and expenditures.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use of the 2009 billing factor was approved by the MPUC in May 2011, which allows Minnesota Power to charge retail customers on a current basis for the costs of constructing certain transmission facilities plus a return on the capital invested. In June 2011, Minnesota Power filed an updated billing factor that includes additional transmission expenditures, which is expected to be approved in the second half of 2013.</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The 28-mile 345 kV line between Monticello and St. Cloud was placed into service in December 2011 and the 70-mile 230 kV line between Bemidji, Minnesota and Minnesota Power’s Boswell Energy Center near Grand Rapids, Minnesota was placed into service in September 2012. In June 2011, the MPUC approved the route permit for the Minnesota portion of the Fargo to St. Cloud project. The North Dakota permitting process was completed in August 2012. The entire 238-mile, 345 kV line from Fargo to Monticello is expected to be in service by 2015.</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projected costs of the three transmission lines and the allocation agreements among participating utilities, Minnesota Power plans to invest between $100 million and $110 million in the CapX2020 initiative through 2015. A total of $59.8 million was spent through June 30, 2013, of which $48.9 million related to the Fargo, North Dakota to Monticello, Minnesota projects and $10.9 million related to the Bemidji, Minnesota to Minnesota Power’s Boswell Energy Center project ($48.2 million as of December 31, 2012 of which $37.3 million related to the Fargo, North Dakota to Monticello, Minnesota projects and $10.9 million related to the Bemidji, Minnesota to Minnesota Power’s Boswell Energy Center project). As future CapX2020 projects are identified, Minnesota Power may elect to participate on a project-by-project basis.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long-term PPA signed in May 2011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In February 2012, Minnesota Power and Manitoba Hydro proposed construction of the Great Northern Transmission Line, a 500 kV transmission line between Manitoba and Minnesota’s Iron Range, in order to strengthen the electric grid, enhance regional reliability and promote a greater exchange of sustainable energy, which is targeted to be in service in 2020. Total project cost and cost allocations are still to be determined; however, at this time we expect our capital expenditures to range between $200 million and $400 million. The Great Northern Transmission Line is subject to various federal and state regulatory approvals. In addition, Manitoba Hydro must obtain regulatory and governmental approvals related to new transmission lines and hydroelectric generation development in Canada.</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ATC Joint Development. </w:t>
      </w:r>
      <w:r>
        <w:rPr>
          <w:rFonts w:ascii="Arial" w:cs="Arial" w:eastAsia="Arial" w:hAnsi="Arial"/>
          <w:sz w:val="17"/>
          <w:szCs w:val="17"/>
          <w:color w:val="auto"/>
        </w:rPr>
        <w:t>Minnesota Power and ATC are evaluating the joint development of a 345 kV transmission line from Minnesota’s Iron Range to</w:t>
      </w:r>
      <w:r>
        <w:rPr>
          <w:rFonts w:ascii="Arial" w:cs="Arial" w:eastAsia="Arial" w:hAnsi="Arial"/>
          <w:sz w:val="17"/>
          <w:szCs w:val="17"/>
          <w:i w:val="1"/>
          <w:iCs w:val="1"/>
          <w:color w:val="auto"/>
        </w:rPr>
        <w:t xml:space="preserve"> </w:t>
      </w:r>
      <w:r>
        <w:rPr>
          <w:rFonts w:ascii="Arial" w:cs="Arial" w:eastAsia="Arial" w:hAnsi="Arial"/>
          <w:sz w:val="17"/>
          <w:szCs w:val="17"/>
          <w:color w:val="auto"/>
        </w:rPr>
        <w:t>Duluth, Minnesota, for service after 2020, as a potential second phase of the Great Northern Transmission Line. This is in addition to assessing transmission alternatives in Wisconsin that would allow for the movement of more renewable energy in the Upper Midwest while at the same time strengthening electric reliability in the region. Total project costs, ownership shares and cost allocations are still to be determined.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As of June 30, 2013, our equity investment in ATC was $111.2 million, representing an approximate 8 percent ownership interest. ATC</w:t>
      </w:r>
      <w:r>
        <w:rPr>
          <w:rFonts w:ascii="Arial" w:cs="Arial" w:eastAsia="Arial" w:hAnsi="Arial"/>
          <w:sz w:val="18"/>
          <w:szCs w:val="18"/>
          <w:i w:val="1"/>
          <w:iCs w:val="1"/>
          <w:color w:val="auto"/>
        </w:rPr>
        <w:t xml:space="preserve"> </w:t>
      </w:r>
      <w:r>
        <w:rPr>
          <w:rFonts w:ascii="Arial" w:cs="Arial" w:eastAsia="Arial" w:hAnsi="Arial"/>
          <w:sz w:val="18"/>
          <w:szCs w:val="18"/>
          <w:color w:val="auto"/>
        </w:rPr>
        <w:t>rates are based on a FERC approved 12.2 percent return on common equity dedicated to utility plant. In September 2012, ATC updated its 10-year transmission assessment covering the years 2012 through 2021 which identifies a need for between $3.9 and $4.8 billion in transmission system investments.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 In the first six months of 2013, we invested $1.6 million in ATC, and on July 30, 2013, we invested an additional $0.8 million. We expect to make additional investments of approximately $0.7 million in 2013. (See Note 7. Investment in ATC.)</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2011, ATC and Duke Energy Corporation announced the creation of a joint venture, Duke-American Transmission Co. (DATC) that intends to build, own and operate new electric transmission infrastructure in the U.S. and Canada. DATC is subject to the rules and regulations of the FERC, MISO, PJM Interconnection LLC and various other independent system operators and state regulatory authorities. In September 2011, DATC announced its first set of proposed transmission projects, which include seven new transmission line projects in five Midwestern states. The individual projects have a total cost of approximately $4 billion. We intend to maintain our approximate 8 percent ownership interest in ATC.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 million tons of coal in 2013 (4.4 million tons were sold in 2012) and has sold 2.0 million tons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June 30, 2013 (2.2 million tons were sold as of June 30, 2012).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Florida real estate investment. Our current strategy for the assets is to complete and maintain key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and infrastructure improvements without requiring significant additional investment, sell the portfolio when opportunities arise and reinvest the proceeds in our growth initiatives. If weak market conditions continue, the impact on our future operations would be the continuation of little or no sales while still incurring operating expenses and carrying costs such as community development district assessments and property taxes, or impairments. ALLETE does not intend to acquire additional Florida real estate.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74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r>
      <w:tr>
        <w:trPr>
          <w:trHeight w:val="27"/>
        </w:trPr>
        <w:tc>
          <w:tcPr>
            <w:tcW w:w="56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2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2740" w:type="dxa"/>
            <w:vAlign w:val="bottom"/>
          </w:tcPr>
          <w:p>
            <w:pPr>
              <w:jc w:val="right"/>
              <w:ind w:right="110"/>
              <w:spacing w:after="0"/>
              <w:rPr>
                <w:sz w:val="20"/>
                <w:szCs w:val="20"/>
                <w:color w:val="auto"/>
              </w:rPr>
            </w:pPr>
            <w:r>
              <w:rPr>
                <w:rFonts w:ascii="Arial" w:cs="Arial" w:eastAsia="Arial" w:hAnsi="Arial"/>
                <w:sz w:val="18"/>
                <w:szCs w:val="18"/>
                <w:color w:val="auto"/>
              </w:rPr>
              <w:t>965</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2,485</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2,246,200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3,888</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3,554</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3,096,800</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4,853</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6,039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5,343,000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4"/>
        </w:trPr>
        <w:tc>
          <w:tcPr>
            <w:tcW w:w="56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Planned Development Project</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Ormond Crossings</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2,914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2,950</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3,215,000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(d)</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10,811</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8,989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8,558,000</w:t>
            </w:r>
          </w:p>
        </w:tc>
      </w:tr>
    </w:tbl>
    <w:p>
      <w:pPr>
        <w:spacing w:after="0" w:line="4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9" w:lineRule="exact"/>
        <w:rPr>
          <w:rFonts w:ascii="Arial" w:cs="Arial" w:eastAsia="Arial" w:hAnsi="Arial"/>
          <w:sz w:val="18"/>
          <w:szCs w:val="18"/>
          <w:i w:val="1"/>
          <w:iCs w:val="1"/>
          <w:color w:val="auto"/>
        </w:rPr>
      </w:pPr>
    </w:p>
    <w:p>
      <w:pPr>
        <w:ind w:left="340" w:right="20" w:hanging="332"/>
        <w:spacing w:after="0" w:line="281"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1,941 acres of other land available-for-sale.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i w:val="1"/>
          <w:i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ALLETE’s aggregate federal and multi-state statutory tax rate is approximately 41 percent for 2013. On an ongoing basis, ALLETE has</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tax credits and other tax adjustments that reduce the statutory rate to the effective tax rate. These tax credits and adjustments historically have included items such as investment tax credits, renewable tax credits, AFUDC-Equity, domestic manufacturer’s deduction, depletion, as well as other items. The annual effective rate can also be impacted by such items as changes in income from operations before income taxes, state and federal tax law changes that become effective during the year, business combinations and configuration changes, tax planning initiatives and resolution of prior years’ tax matters. Due primarily to increased production tax credits as a result of additional wind generation, we expect our effective tax rate to be approximately 20 percent for 2013. We also expect that our effective tax rate will be lower than the statutory rate over the next ten years due to production tax credits attributable to our wind generation. (See Note 10. Income Tax Expense.)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June 30, 2013,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$145.0 million, $400.7 million in available consolidated lines of credit and a debt-to-capital ratio of 47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60"/>
        </w:trPr>
        <w:tc>
          <w:tcPr>
            <w:tcW w:w="5600" w:type="dxa"/>
            <w:vAlign w:val="bottom"/>
          </w:tcPr>
          <w:p>
            <w:pPr>
              <w:spacing w:after="0"/>
              <w:rPr>
                <w:sz w:val="24"/>
                <w:szCs w:val="24"/>
                <w:color w:val="auto"/>
              </w:rPr>
            </w:pPr>
          </w:p>
        </w:tc>
        <w:tc>
          <w:tcPr>
            <w:tcW w:w="234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4"/>
                <w:szCs w:val="24"/>
                <w:color w:val="auto"/>
              </w:rPr>
            </w:pPr>
          </w:p>
        </w:tc>
      </w:tr>
      <w:tr>
        <w:trPr>
          <w:trHeight w:val="234"/>
        </w:trPr>
        <w:tc>
          <w:tcPr>
            <w:tcW w:w="5600" w:type="dxa"/>
            <w:vAlign w:val="bottom"/>
          </w:tcPr>
          <w:p>
            <w:pPr>
              <w:spacing w:after="0"/>
              <w:rPr>
                <w:sz w:val="20"/>
                <w:szCs w:val="20"/>
                <w:color w:val="auto"/>
              </w:rPr>
            </w:pPr>
          </w:p>
        </w:tc>
        <w:tc>
          <w:tcPr>
            <w:tcW w:w="2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6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$1,249.0</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53</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$1,201.0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1,102.6</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47</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1,018.1</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6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$2,351.6</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$2,219.1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426"/>
        </w:trPr>
        <w:tc>
          <w:tcPr>
            <w:tcW w:w="7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 xml:space="preserve">Cash Flows. </w:t>
            </w:r>
            <w:r>
              <w:rPr>
                <w:rFonts w:ascii="Arial" w:cs="Arial" w:eastAsia="Arial" w:hAnsi="Arial"/>
                <w:sz w:val="18"/>
                <w:szCs w:val="18"/>
                <w:color w:val="auto"/>
                <w:w w:val="96"/>
              </w:rPr>
              <w:t>Selected information from ALLETE’s Consolidated Statement of Cash Flows is as follows:</w:t>
            </w:r>
          </w:p>
        </w:tc>
        <w:tc>
          <w:tcPr>
            <w:tcW w:w="9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378"/>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2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7"/>
        </w:trPr>
        <w:tc>
          <w:tcPr>
            <w:tcW w:w="56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$80.8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111.1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w:t>
            </w: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(125.2)</w:t>
            </w:r>
          </w:p>
        </w:tc>
        <w:tc>
          <w:tcPr>
            <w:tcW w:w="86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7"/>
        </w:trPr>
        <w:tc>
          <w:tcPr>
            <w:tcW w:w="56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78.3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37"/>
        </w:trPr>
        <w:tc>
          <w:tcPr>
            <w:tcW w:w="56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2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64.2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r>
      <w:tr>
        <w:trPr>
          <w:trHeight w:val="27"/>
        </w:trPr>
        <w:tc>
          <w:tcPr>
            <w:tcW w:w="56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$145.0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0"/>
        </w:trPr>
        <w:tc>
          <w:tcPr>
            <w:tcW w:w="560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$111.1 million for the six months ended June 30, 2013 ($128.1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2012). Cash from operating activities was lower than 2012 primarily due to cash contributions to other postretirement benefit plans ($10.8 million in 2013 and none in 2012), decreased other current liabilities due to receipt of customer security deposits in 2012, and increased cost recovery rider receivable, offset by higher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for investing activities was $125.2 million for the six months ended June 30, 2013 ($227.0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2012). The decrease in cash used for investing activities was primarily due to lower payments for capital expenditures in 2013 as we completed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Bison project in late 2012.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$78.3 million for the six months ended June 30, 2013 ($6.4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2012). The increase in cash from financing activities was primarily due to proceeds of $150.0 million from long-term debt issuances in 2013 partially offset by $60.0 million of long-term debt maturing in April 2013.</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Working Capital</w:t>
      </w:r>
      <w:r>
        <w:rPr>
          <w:rFonts w:ascii="Arial" w:cs="Arial" w:eastAsia="Arial" w:hAnsi="Arial"/>
          <w:sz w:val="18"/>
          <w:szCs w:val="18"/>
          <w:color w:val="auto"/>
        </w:rPr>
        <w:t>. Additional working capital, if and when needed, generally is provided by consolidated bank lines of credit or the sale of securities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paper. As of June 30, 2013, we had available consolidated bank lines of credit aggregating $400.7 million, of which $150.0 million expires in January 2014, and $250.0 million expires in June 2015. In addition, we have 2.7 million original issue shares of our common stock available for issuance through Invest Direct, our direct stock purchase and dividend reinvestment plan, and 4.2 million original issue shares of common stock available for issuance through a Distribution Agreement with KCCI, Ltd. The amount and timing of future sales of our securities will depend upon market conditions and our specific needs.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KCCI, Ltd. in February 2008, as amended most recently in August 2012,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and sale of up to an aggregate of 9.6 million shares of our common stock, without par value, of which 4.2 million remain available for issuance. For the six months ended June 30, 2013, 0.3 million shares of common stock were issued under this agreement, resulting in net proceeds of $11.7 million (0.4 million shares were issued for the six months ended June 30, 2012, resulting in net proceeds of $18.7 million). The shares issued in 2013 were, and the remaining shares may be, offered for sale, from time to time, in accordance with the terms of the amended distribution agreement pursuant to Registration Statement No. 333-170289.</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2013, we issued 0.4 million shares of common stock through Invest Direct, the Employee Stock Purchase Plan, and the Retirement Savings and Stock Ownership Plan, resulting in net proceeds of $21.6 million (0.3 million shares were issued for net proceeds of $11.8 million during the six months ended June 30, 2012). These shares of common stock were registered under Registration Statement Nos. 333-188315, 333-183051 and 333-162890.</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2, 2013, we issued $150.0 million of the Company’s First Mortgage Bonds (Bonds) in a private placement in three series. (See Note 8. Short-Term and Long-Term Debt.) Proceeds from the sale of the Bonds will be used to fund utility capital investments, repay debt, and/or for general corporate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Pension and Other Postretirement Benefit Plans</w:t>
      </w:r>
      <w:r>
        <w:rPr>
          <w:rFonts w:ascii="Arial" w:cs="Arial" w:eastAsia="Arial" w:hAnsi="Arial"/>
          <w:sz w:val="18"/>
          <w:szCs w:val="18"/>
          <w:color w:val="auto"/>
        </w:rPr>
        <w:t>. 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We do not expect to contribute to our defined benefit pension plan in 2013, and we do not expect to make any additional contributions to our other postretirement benefit plan in 2013. (See Note 13. Pension and Other Postretirement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Off-balance sheet arrangements are summarized in our 2012 Form 10-K, with additional disclosure in Note 14. Commitments, Guarantees and Contingencies.</w:t>
      </w:r>
    </w:p>
    <w:p>
      <w:pPr>
        <w:spacing w:after="0" w:line="24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Credit Ratings</w:t>
      </w:r>
      <w:r>
        <w:rPr>
          <w:rFonts w:ascii="Arial" w:cs="Arial" w:eastAsia="Arial" w:hAnsi="Arial"/>
          <w:sz w:val="17"/>
          <w:szCs w:val="17"/>
          <w:color w:val="auto"/>
        </w:rPr>
        <w:t>. Access to reasonably priced capital markets is dependent in part on credit and ratings. Our securities have been rated by Standard &amp; Poor’s</w:t>
      </w:r>
      <w:r>
        <w:rPr>
          <w:rFonts w:ascii="Arial" w:cs="Arial" w:eastAsia="Arial" w:hAnsi="Arial"/>
          <w:sz w:val="17"/>
          <w:szCs w:val="17"/>
          <w:b w:val="1"/>
          <w:bCs w:val="1"/>
          <w:color w:val="auto"/>
        </w:rPr>
        <w:t xml:space="preserve"> </w:t>
      </w:r>
      <w:r>
        <w:rPr>
          <w:rFonts w:ascii="Arial" w:cs="Arial" w:eastAsia="Arial" w:hAnsi="Arial"/>
          <w:sz w:val="17"/>
          <w:szCs w:val="17"/>
          <w:color w:val="auto"/>
        </w:rPr>
        <w:t>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Standard &amp; Poor’s recently revised its criteria for rating utility first mortgage bonds. As part of Standard &amp; Poor’s revised utility first mortgage bond criteria implementation, the senior secured rating for ALLETE was raised from “A–” to “A”.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Credit Ratings</w:t>
            </w:r>
          </w:p>
        </w:tc>
        <w:tc>
          <w:tcPr>
            <w:tcW w:w="4880" w:type="dxa"/>
            <w:vAlign w:val="bottom"/>
          </w:tcPr>
          <w:p>
            <w:pPr>
              <w:jc w:val="center"/>
              <w:ind w:left="2690"/>
              <w:spacing w:after="0"/>
              <w:rPr>
                <w:sz w:val="20"/>
                <w:szCs w:val="20"/>
                <w:color w:val="auto"/>
              </w:rPr>
            </w:pPr>
            <w:r>
              <w:rPr>
                <w:rFonts w:ascii="Arial" w:cs="Arial" w:eastAsia="Arial" w:hAnsi="Arial"/>
                <w:sz w:val="18"/>
                <w:szCs w:val="18"/>
                <w:b w:val="1"/>
                <w:bCs w:val="1"/>
                <w:color w:val="auto"/>
                <w:w w:val="92"/>
              </w:rPr>
              <w:t>Standard &amp; Poor’s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520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Issuer Credit Rating</w:t>
            </w:r>
          </w:p>
        </w:tc>
        <w:tc>
          <w:tcPr>
            <w:tcW w:w="4880" w:type="dxa"/>
            <w:vAlign w:val="bottom"/>
          </w:tcPr>
          <w:p>
            <w:pPr>
              <w:jc w:val="center"/>
              <w:ind w:left="2690"/>
              <w:spacing w:after="0"/>
              <w:rPr>
                <w:sz w:val="20"/>
                <w:szCs w:val="20"/>
                <w:color w:val="auto"/>
              </w:rPr>
            </w:pPr>
            <w:r>
              <w:rPr>
                <w:rFonts w:ascii="Arial" w:cs="Arial" w:eastAsia="Arial" w:hAnsi="Arial"/>
                <w:sz w:val="18"/>
                <w:szCs w:val="18"/>
                <w:color w:val="auto"/>
                <w:w w:val="98"/>
              </w:rPr>
              <w:t>BBB+</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Baa1</w:t>
            </w:r>
          </w:p>
        </w:tc>
      </w:tr>
      <w:tr>
        <w:trPr>
          <w:trHeight w:val="27"/>
        </w:trPr>
        <w:tc>
          <w:tcPr>
            <w:tcW w:w="52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880" w:type="dxa"/>
            <w:vAlign w:val="bottom"/>
            <w:tcBorders>
              <w:bottom w:val="single" w:sz="8" w:color="CCEEFF"/>
            </w:tcBorders>
            <w:shd w:val="clear" w:color="auto" w:fill="CCEEFF"/>
          </w:tcPr>
          <w:p>
            <w:pPr>
              <w:jc w:val="center"/>
              <w:ind w:left="2670"/>
              <w:spacing w:after="0"/>
              <w:rPr>
                <w:sz w:val="20"/>
                <w:szCs w:val="20"/>
                <w:color w:val="auto"/>
              </w:rPr>
            </w:pPr>
            <w:r>
              <w:rPr>
                <w:rFonts w:ascii="Arial" w:cs="Arial" w:eastAsia="Arial" w:hAnsi="Arial"/>
                <w:sz w:val="18"/>
                <w:szCs w:val="18"/>
                <w:color w:val="auto"/>
                <w:w w:val="99"/>
              </w:rPr>
              <w:t>A-2</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P-2</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Senior Secured</w:t>
            </w:r>
          </w:p>
        </w:tc>
        <w:tc>
          <w:tcPr>
            <w:tcW w:w="48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First Mortgage Bonds </w:t>
            </w:r>
            <w:r>
              <w:rPr>
                <w:rFonts w:ascii="Arial" w:cs="Arial" w:eastAsia="Arial" w:hAnsi="Arial"/>
                <w:sz w:val="18"/>
                <w:szCs w:val="18"/>
                <w:i w:val="1"/>
                <w:iCs w:val="1"/>
                <w:color w:val="auto"/>
              </w:rPr>
              <w:t>(a)</w:t>
            </w:r>
          </w:p>
        </w:tc>
        <w:tc>
          <w:tcPr>
            <w:tcW w:w="4880" w:type="dxa"/>
            <w:vAlign w:val="bottom"/>
            <w:tcBorders>
              <w:bottom w:val="single" w:sz="8" w:color="CCEEFF"/>
            </w:tcBorders>
            <w:shd w:val="clear" w:color="auto" w:fill="CCEEFF"/>
          </w:tcPr>
          <w:p>
            <w:pPr>
              <w:jc w:val="center"/>
              <w:ind w:left="2690"/>
              <w:spacing w:after="0"/>
              <w:rPr>
                <w:sz w:val="20"/>
                <w:szCs w:val="20"/>
                <w:color w:val="auto"/>
              </w:rPr>
            </w:pPr>
            <w:r>
              <w:rPr>
                <w:rFonts w:ascii="Arial" w:cs="Arial" w:eastAsia="Arial" w:hAnsi="Arial"/>
                <w:sz w:val="18"/>
                <w:szCs w:val="18"/>
                <w:color w:val="auto"/>
              </w:rPr>
              <w:t>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0"/>
        </w:trPr>
        <w:tc>
          <w:tcPr>
            <w:tcW w:w="5200" w:type="dxa"/>
            <w:vAlign w:val="bottom"/>
            <w:shd w:val="clear" w:color="auto" w:fill="000000"/>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collateralized pollution control bonds.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capital expenditures for 2013 are expected to be approximately $375 million. For the six months ended June 30, 2013, capital expenditures totaled $100.2 million ($235.1 million for the six months ended June 30, 2012). The expenditures were primarily made in the Regulated Operations segment.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2013 through 2017 are presented in the table below. Actual capital expenditures may vary from the estimates due to changes in forecasted plant maintenance, regulatory decisions or approvals, future environmental requirements, base load growth, capital market conditions or execution of new business strategies.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Regulated Utility Operations</w:t>
            </w:r>
          </w:p>
        </w:tc>
        <w:tc>
          <w:tcPr>
            <w:tcW w:w="19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 xml:space="preserve">Base and Other </w:t>
            </w:r>
            <w:r>
              <w:rPr>
                <w:rFonts w:ascii="Arial" w:cs="Arial" w:eastAsia="Arial" w:hAnsi="Arial"/>
                <w:sz w:val="18"/>
                <w:szCs w:val="18"/>
                <w:i w:val="1"/>
                <w:iCs w:val="1"/>
                <w:color w:val="auto"/>
              </w:rPr>
              <w:t>(a)</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$208</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$160</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$152</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$155</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r>
      <w:tr>
        <w:trPr>
          <w:trHeight w:val="243"/>
        </w:trPr>
        <w:tc>
          <w:tcPr>
            <w:tcW w:w="4000" w:type="dxa"/>
            <w:vAlign w:val="bottom"/>
          </w:tcPr>
          <w:p>
            <w:pPr>
              <w:ind w:left="960"/>
              <w:spacing w:after="0"/>
              <w:rPr>
                <w:sz w:val="20"/>
                <w:szCs w:val="20"/>
                <w:color w:val="auto"/>
              </w:rPr>
            </w:pPr>
            <w:r>
              <w:rPr>
                <w:rFonts w:ascii="Arial" w:cs="Arial" w:eastAsia="Arial" w:hAnsi="Arial"/>
                <w:sz w:val="18"/>
                <w:szCs w:val="18"/>
                <w:color w:val="auto"/>
              </w:rPr>
              <w:t xml:space="preserve">Cost Recovery </w:t>
            </w:r>
            <w:r>
              <w:rPr>
                <w:rFonts w:ascii="Arial" w:cs="Arial" w:eastAsia="Arial" w:hAnsi="Arial"/>
                <w:sz w:val="18"/>
                <w:szCs w:val="18"/>
                <w:i w:val="1"/>
                <w:iCs w:val="1"/>
                <w:color w:val="auto"/>
              </w:rPr>
              <w:t>(b)</w:t>
            </w:r>
          </w:p>
        </w:tc>
        <w:tc>
          <w:tcPr>
            <w:tcW w:w="1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 xml:space="preserve">Environmental </w:t>
            </w:r>
            <w:r>
              <w:rPr>
                <w:rFonts w:ascii="Arial" w:cs="Arial" w:eastAsia="Arial" w:hAnsi="Arial"/>
                <w:sz w:val="18"/>
                <w:szCs w:val="18"/>
                <w:i w:val="1"/>
                <w:iCs w:val="1"/>
                <w:color w:val="auto"/>
              </w:rPr>
              <w:t>(c)</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148</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111</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4000" w:type="dxa"/>
            <w:vAlign w:val="bottom"/>
          </w:tcPr>
          <w:p>
            <w:pPr>
              <w:ind w:left="1420"/>
              <w:spacing w:after="0"/>
              <w:rPr>
                <w:sz w:val="20"/>
                <w:szCs w:val="20"/>
                <w:color w:val="auto"/>
              </w:rPr>
            </w:pPr>
            <w:r>
              <w:rPr>
                <w:rFonts w:ascii="Arial" w:cs="Arial" w:eastAsia="Arial" w:hAnsi="Arial"/>
                <w:sz w:val="18"/>
                <w:szCs w:val="18"/>
                <w:color w:val="auto"/>
              </w:rPr>
              <w:t xml:space="preserve">Renewable </w:t>
            </w:r>
            <w:r>
              <w:rPr>
                <w:rFonts w:ascii="Arial" w:cs="Arial" w:eastAsia="Arial" w:hAnsi="Arial"/>
                <w:sz w:val="18"/>
                <w:szCs w:val="18"/>
                <w:i w:val="1"/>
                <w:iCs w:val="1"/>
                <w:color w:val="auto"/>
              </w:rPr>
              <w:t>(d)</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287</w:t>
            </w: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 xml:space="preserve">Transmission </w:t>
            </w:r>
            <w:r>
              <w:rPr>
                <w:rFonts w:ascii="Arial" w:cs="Arial" w:eastAsia="Arial" w:hAnsi="Arial"/>
                <w:sz w:val="18"/>
                <w:szCs w:val="18"/>
                <w:i w:val="1"/>
                <w:iCs w:val="1"/>
                <w:color w:val="auto"/>
              </w:rPr>
              <w:t>(e)</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36</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37"/>
        </w:trPr>
        <w:tc>
          <w:tcPr>
            <w:tcW w:w="400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Total Cost Recovery</w:t>
            </w:r>
          </w:p>
        </w:tc>
        <w:tc>
          <w:tcPr>
            <w:tcW w:w="1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151</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457</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122</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6</w:t>
            </w: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776</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Utility Capital Expenditures</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359</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617</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274</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161</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w:t>
            </w: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16</w:t>
            </w: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25</w:t>
            </w:r>
          </w:p>
        </w:tc>
        <w:tc>
          <w:tcPr>
            <w:tcW w:w="1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11</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9</w:t>
            </w: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4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$375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$642</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$285</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$170</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r>
      <w:tr>
        <w:trPr>
          <w:trHeight w:val="20"/>
        </w:trPr>
        <w:tc>
          <w:tcPr>
            <w:tcW w:w="40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ind w:left="340" w:hanging="332"/>
        <w:spacing w:after="0" w:line="251"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Total capital expenditures of approximately $70 million relating to Minnesota Power’s hydro system are included in Base and Other, of which approximately $55 million relating to Thomson Energy Center is expected to be spent in 2013</w:t>
      </w:r>
      <w:r>
        <w:rPr>
          <w:rFonts w:ascii="Arial" w:cs="Arial" w:eastAsia="Arial" w:hAnsi="Arial"/>
          <w:sz w:val="14"/>
          <w:szCs w:val="14"/>
          <w:i w:val="1"/>
          <w:iCs w:val="1"/>
          <w:color w:val="auto"/>
        </w:rPr>
        <w:t>.</w:t>
      </w:r>
      <w:r>
        <w:rPr>
          <w:rFonts w:ascii="Arial" w:cs="Arial" w:eastAsia="Arial" w:hAnsi="Arial"/>
          <w:sz w:val="16"/>
          <w:szCs w:val="16"/>
          <w:i w:val="1"/>
          <w:iCs w:val="1"/>
          <w:color w:val="auto"/>
        </w:rPr>
        <w:t xml:space="preserve"> (See Outlook – Regulated Operations.)</w:t>
      </w: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Estimated current capital expenditures eligible for cost recovery outside of a rate case.</w:t>
      </w:r>
    </w:p>
    <w:p>
      <w:pPr>
        <w:spacing w:after="0" w:line="18" w:lineRule="exact"/>
        <w:rPr>
          <w:rFonts w:ascii="Arial" w:cs="Arial" w:eastAsia="Arial" w:hAnsi="Arial"/>
          <w:sz w:val="16"/>
          <w:szCs w:val="16"/>
          <w:i w:val="1"/>
          <w:iCs w:val="1"/>
          <w:color w:val="auto"/>
        </w:rPr>
      </w:pPr>
    </w:p>
    <w:p>
      <w:pPr>
        <w:ind w:left="340" w:right="20" w:hanging="332"/>
        <w:spacing w:after="0" w:line="291"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4"/>
          <w:szCs w:val="14"/>
          <w:i w:val="1"/>
          <w:iCs w:val="1"/>
          <w:color w:val="auto"/>
        </w:rPr>
        <w:t>Environmental capital expenditures primarily relate to compliance with the MATS rule for Boswell Unit 4. (See Note 14. Commitments, Guarantees and Contingencies.) Boswell Unit 4 capital expenditures included above reflect Minnesota Power’s ownership percentage of 80 percent. WPPI Energy owns 20 percent of Boswell Unit 4.</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6"/>
          <w:szCs w:val="16"/>
          <w:i w:val="1"/>
          <w:iCs w:val="1"/>
          <w:color w:val="auto"/>
        </w:rPr>
        <w:t>Includes a total of approximately $345 million in 2013 and 2014, related to Bison 4. (See Outlook – Regulated Operations.)</w:t>
      </w:r>
    </w:p>
    <w:p>
      <w:pPr>
        <w:spacing w:after="0" w:line="9" w:lineRule="exact"/>
        <w:rPr>
          <w:rFonts w:ascii="Arial" w:cs="Arial" w:eastAsia="Arial" w:hAnsi="Arial"/>
          <w:sz w:val="18"/>
          <w:szCs w:val="18"/>
          <w:i w:val="1"/>
          <w:iCs w:val="1"/>
          <w:color w:val="auto"/>
        </w:rPr>
      </w:pPr>
    </w:p>
    <w:p>
      <w:pPr>
        <w:ind w:left="340" w:hanging="332"/>
        <w:spacing w:after="0" w:line="281"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6"/>
          <w:szCs w:val="16"/>
          <w:i w:val="1"/>
          <w:iCs w:val="1"/>
          <w:color w:val="auto"/>
        </w:rPr>
        <w:t>Transmission capital expenditures related to CapX2020 are estimated at approximately $50 million over the 2013 to 2015 period. Capital expenditures of approximately $40 million are included related to construction of the Great Northern Transmission Line. (See Outlook – Regulated Operations.)</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We will finance capital expenditures from a combination of internally generated funds and debt and equity proceeds. We intend to maintain a capital structure with capital ratios near current levels. (See Liquidity and Capital Resources </w:t>
      </w:r>
      <w:r>
        <w:rPr>
          <w:rFonts w:ascii="Arial" w:cs="Arial" w:eastAsia="Arial" w:hAnsi="Arial"/>
          <w:sz w:val="18"/>
          <w:szCs w:val="18"/>
          <w:i w:val="1"/>
          <w:iCs w:val="1"/>
          <w:color w:val="auto"/>
        </w:rPr>
        <w:t>–</w:t>
      </w:r>
      <w:r>
        <w:rPr>
          <w:rFonts w:ascii="Arial" w:cs="Arial" w:eastAsia="Arial" w:hAnsi="Arial"/>
          <w:sz w:val="18"/>
          <w:szCs w:val="18"/>
          <w:color w:val="auto"/>
        </w:rPr>
        <w:t xml:space="preserve"> Capital Structure.)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Environmental Matters are summarized in our 2012 Form 10-K, with additional disclosure in Note 14. Commitments, Guarantees and Contingencies. We are unable to predict the outcome of the matters discussed.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June 30, 2013,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 and the cash equivalents within these plans. (See Note 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retail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June 30, 2013, and assuming no other changes to our financial structure, an increase of 100 basis points in interest rates would impact the amount of pretax interest expense by $0.7 million. This amount was determined by considering the impact of a hypothetical 100 basis point increase to the average variable interest rate on the variable rate debt outstanding as of June 30, 2013.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01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2013,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United Taconite Lawsuit. </w:t>
      </w:r>
      <w:r>
        <w:rPr>
          <w:rFonts w:ascii="Arial" w:cs="Arial" w:eastAsia="Arial" w:hAnsi="Arial"/>
          <w:sz w:val="18"/>
          <w:szCs w:val="18"/>
          <w:color w:val="auto"/>
        </w:rPr>
        <w:t>In January 2011, the Company was named as a defendant in a lawsuit in the Sixth Judicial District for the State of Minnesota by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The Company believes that it has strong defenses to the lawsuit and intends to vigorously assert such defenses. An accrual related to any damages that may result from the lawsuit has not been recorded as of June 30, 2013, because a potential loss is not currently probable or reasonably estimable; however, the Company believes it has adequate insurance limits for any potential loss. Our insurance carrier is providing a defense subject to a reservation of rights as to certain claims.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Notice of Potential Clean Air Act Citizen Lawsuit. </w:t>
      </w:r>
      <w:r>
        <w:rPr>
          <w:rFonts w:ascii="Arial" w:cs="Arial" w:eastAsia="Arial" w:hAnsi="Arial"/>
          <w:sz w:val="18"/>
          <w:szCs w:val="18"/>
          <w:color w:val="auto"/>
        </w:rPr>
        <w:t>In July 2013, the Sierra Club submitted to Minnesota Power a notice of intent to file a citizen suit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Clean Air Act.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June 30, 2013, because a potential loss is not currently probable or reasonably estimable.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2012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20"/>
          </w:cols>
          <w:pgMar w:left="240" w:top="79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8629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2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10 (a)</w:t>
      </w:r>
      <w:r>
        <w:rPr>
          <w:sz w:val="20"/>
          <w:szCs w:val="20"/>
          <w:color w:val="auto"/>
        </w:rPr>
        <w:tab/>
      </w:r>
      <w:r>
        <w:rPr>
          <w:rFonts w:ascii="Arial" w:cs="Arial" w:eastAsia="Arial" w:hAnsi="Arial"/>
          <w:sz w:val="16"/>
          <w:szCs w:val="16"/>
          <w:color w:val="auto"/>
        </w:rPr>
        <w:t>Amended and Restated ALLETE Non-Employee Director Stock Plan, effective May 15, 2013.</w:t>
      </w:r>
    </w:p>
    <w:p>
      <w:pPr>
        <w:spacing w:after="0" w:line="63" w:lineRule="exact"/>
        <w:rPr>
          <w:sz w:val="20"/>
          <w:szCs w:val="20"/>
          <w:color w:val="auto"/>
        </w:rPr>
      </w:pPr>
    </w:p>
    <w:p>
      <w:pPr>
        <w:ind w:left="1300" w:right="120" w:hanging="798"/>
        <w:spacing w:after="0" w:line="277" w:lineRule="auto"/>
        <w:tabs>
          <w:tab w:leader="none" w:pos="1280" w:val="left"/>
        </w:tabs>
        <w:rPr>
          <w:sz w:val="20"/>
          <w:szCs w:val="20"/>
          <w:color w:val="auto"/>
        </w:rPr>
      </w:pPr>
      <w:r>
        <w:rPr>
          <w:rFonts w:ascii="Arial" w:cs="Arial" w:eastAsia="Arial" w:hAnsi="Arial"/>
          <w:sz w:val="18"/>
          <w:szCs w:val="18"/>
          <w:color w:val="auto"/>
        </w:rPr>
        <w:t>10 (b)</w:t>
      </w:r>
      <w:r>
        <w:rPr>
          <w:sz w:val="20"/>
          <w:szCs w:val="20"/>
          <w:color w:val="auto"/>
        </w:rPr>
        <w:tab/>
      </w:r>
      <w:r>
        <w:rPr>
          <w:rFonts w:ascii="Arial" w:cs="Arial" w:eastAsia="Arial" w:hAnsi="Arial"/>
          <w:sz w:val="18"/>
          <w:szCs w:val="18"/>
          <w:color w:val="auto"/>
        </w:rPr>
        <w:t>First Amendment to Amended and Restated Letter of Credit Agreement, dated as of June 1, 2013, between ALLETE, Inc. and Wells Fargo Bank, National Association, as Issuing Bank, Administrative Agent and sole Participating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8629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ind w:left="500"/>
        <w:spacing w:after="0"/>
        <w:tabs>
          <w:tab w:leader="none" w:pos="1280" w:val="left"/>
        </w:tabs>
        <w:rPr>
          <w:sz w:val="20"/>
          <w:szCs w:val="20"/>
          <w:color w:val="auto"/>
        </w:rPr>
      </w:pPr>
      <w:r>
        <w:rPr>
          <w:rFonts w:ascii="Arial" w:cs="Arial" w:eastAsia="Arial" w:hAnsi="Arial"/>
          <w:sz w:val="18"/>
          <w:szCs w:val="18"/>
          <w:color w:val="auto"/>
        </w:rPr>
        <w:t>10 (c)</w:t>
      </w:r>
      <w:r>
        <w:rPr>
          <w:sz w:val="20"/>
          <w:szCs w:val="20"/>
          <w:color w:val="auto"/>
        </w:rPr>
        <w:tab/>
      </w:r>
      <w:r>
        <w:rPr>
          <w:rFonts w:ascii="Arial" w:cs="Arial" w:eastAsia="Arial" w:hAnsi="Arial"/>
          <w:sz w:val="16"/>
          <w:szCs w:val="16"/>
          <w:color w:val="auto"/>
        </w:rPr>
        <w:t>July 2013 ALLETE and Affiliated Companies Compensation Recovery Policy</w:t>
      </w:r>
    </w:p>
    <w:p>
      <w:pPr>
        <w:spacing w:after="0" w:line="63"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8629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5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75" w:lineRule="exact"/>
        <w:rPr>
          <w:sz w:val="20"/>
          <w:szCs w:val="20"/>
          <w:color w:val="auto"/>
        </w:rPr>
      </w:pPr>
    </w:p>
    <w:p>
      <w:pPr>
        <w:ind w:left="1300" w:right="140" w:hanging="55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8629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ind w:left="74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Mine Safety</w:t>
      </w:r>
    </w:p>
    <w:p>
      <w:pPr>
        <w:spacing w:after="0" w:line="59" w:lineRule="exact"/>
        <w:rPr>
          <w:sz w:val="20"/>
          <w:szCs w:val="20"/>
          <w:color w:val="auto"/>
        </w:rPr>
      </w:pPr>
    </w:p>
    <w:p>
      <w:pPr>
        <w:jc w:val="both"/>
        <w:ind w:left="1300" w:right="140" w:hanging="554"/>
        <w:spacing w:after="0" w:line="301"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ALLETE News Release dated August 1, 2013, announcing 2013 second quarter earnings. </w:t>
      </w:r>
      <w:r>
        <w:rPr>
          <w:rFonts w:ascii="Arial" w:cs="Arial" w:eastAsia="Arial" w:hAnsi="Arial"/>
          <w:sz w:val="16"/>
          <w:szCs w:val="16"/>
          <w:b w:val="1"/>
          <w:bCs w:val="1"/>
          <w:color w:val="auto"/>
        </w:rPr>
        <w:t>(This exhibit has been furnished and shall</w:t>
      </w:r>
      <w:r>
        <w:rPr>
          <w:rFonts w:ascii="Arial" w:cs="Arial" w:eastAsia="Arial" w:hAnsi="Arial"/>
          <w:sz w:val="16"/>
          <w:szCs w:val="16"/>
          <w:color w:val="auto"/>
        </w:rPr>
        <w:t xml:space="preserve"> </w:t>
      </w:r>
      <w:r>
        <w:rPr>
          <w:rFonts w:ascii="Arial" w:cs="Arial" w:eastAsia="Arial" w:hAnsi="Arial"/>
          <w:sz w:val="16"/>
          <w:szCs w:val="16"/>
          <w:b w:val="1"/>
          <w:bCs w:val="1"/>
          <w:color w:val="auto"/>
        </w:rPr>
        <w:t>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101.INS</w:t>
            </w:r>
          </w:p>
        </w:tc>
        <w:tc>
          <w:tcPr>
            <w:tcW w:w="10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Instance</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101.SCH</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7"/>
        </w:trPr>
        <w:tc>
          <w:tcPr>
            <w:tcW w:w="110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101.CAL</w:t>
            </w:r>
          </w:p>
        </w:tc>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Calculation</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101.DEF</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7"/>
        </w:trPr>
        <w:tc>
          <w:tcPr>
            <w:tcW w:w="110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101.LAB</w:t>
            </w:r>
          </w:p>
        </w:tc>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Label</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101.PRE</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Presentation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2013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20"/>
          </w:cols>
          <w:pgMar w:left="240" w:top="58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August 1, 2013</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/s/ Mark A. Schober</w:t>
            </w:r>
          </w:p>
        </w:tc>
      </w:tr>
      <w:tr>
        <w:trPr>
          <w:trHeight w:val="27"/>
        </w:trPr>
        <w:tc>
          <w:tcPr>
            <w:tcW w:w="64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Mark A. Schober</w:t>
            </w:r>
          </w:p>
        </w:tc>
      </w:tr>
      <w:tr>
        <w:trPr>
          <w:trHeight w:val="270"/>
        </w:trPr>
        <w:tc>
          <w:tcPr>
            <w:tcW w:w="6480" w:type="dxa"/>
            <w:vAlign w:val="bottom"/>
          </w:tcPr>
          <w:p>
            <w:pPr>
              <w:spacing w:after="0"/>
              <w:rPr>
                <w:sz w:val="23"/>
                <w:szCs w:val="23"/>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August 1, 2013</w:t>
            </w:r>
          </w:p>
        </w:tc>
        <w:tc>
          <w:tcPr>
            <w:tcW w:w="37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/s/ Steven Q. DeVinck</w:t>
            </w:r>
          </w:p>
        </w:tc>
      </w:tr>
      <w:tr>
        <w:trPr>
          <w:trHeight w:val="27"/>
        </w:trPr>
        <w:tc>
          <w:tcPr>
            <w:tcW w:w="27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Steven Q. DeVinck</w:t>
            </w:r>
          </w:p>
        </w:tc>
      </w:tr>
      <w:tr>
        <w:trPr>
          <w:trHeight w:val="270"/>
        </w:trPr>
        <w:tc>
          <w:tcPr>
            <w:tcW w:w="276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Controller and Vice President – Business Support</w:t>
            </w:r>
          </w:p>
        </w:tc>
      </w:tr>
      <w:tr>
        <w:trPr>
          <w:trHeight w:val="593"/>
        </w:trPr>
        <w:tc>
          <w:tcPr>
            <w:tcW w:w="2760" w:type="dxa"/>
            <w:vAlign w:val="bottom"/>
          </w:tcPr>
          <w:p>
            <w:pPr>
              <w:spacing w:after="0"/>
              <w:rPr>
                <w:sz w:val="24"/>
                <w:szCs w:val="24"/>
                <w:color w:val="auto"/>
              </w:rPr>
            </w:pPr>
          </w:p>
        </w:tc>
        <w:tc>
          <w:tcPr>
            <w:tcW w:w="8620" w:type="dxa"/>
            <w:vAlign w:val="bottom"/>
            <w:gridSpan w:val="2"/>
          </w:tcPr>
          <w:p>
            <w:pPr>
              <w:ind w:left="1680"/>
              <w:spacing w:after="0"/>
              <w:rPr>
                <w:sz w:val="20"/>
                <w:szCs w:val="20"/>
                <w:color w:val="auto"/>
              </w:rPr>
            </w:pPr>
            <w:r>
              <w:rPr>
                <w:rFonts w:ascii="Arial" w:cs="Arial" w:eastAsia="Arial" w:hAnsi="Arial"/>
                <w:sz w:val="14"/>
                <w:szCs w:val="14"/>
                <w:color w:val="auto"/>
              </w:rPr>
              <w:t>ALLETE Second Quarter 2013 Form 10-Q</w:t>
            </w:r>
          </w:p>
        </w:tc>
      </w:tr>
    </w:tbl>
    <w:p>
      <w:pPr>
        <w:jc w:val="right"/>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10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ALLETE</w:t>
      </w:r>
    </w:p>
    <w:p>
      <w:pPr>
        <w:spacing w:after="0" w:line="11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NON-EMPLOYEE DIRECTOR</w:t>
      </w:r>
    </w:p>
    <w:p>
      <w:pPr>
        <w:spacing w:after="0" w:line="11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STOCK PLAN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auto"/>
        </w:rPr>
        <w:t>(As amended and restated effective May 15, 2013)</w:t>
      </w:r>
    </w:p>
    <w:p>
      <w:pPr>
        <w:sectPr>
          <w:pgSz w:w="11900" w:h="16838" w:orient="portrait"/>
          <w:cols w:equalWidth="0" w:num="1">
            <w:col w:w="10220"/>
          </w:cols>
          <w:pgMar w:left="1440" w:top="576" w:right="23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22"/>
          <w:szCs w:val="22"/>
          <w:b w:val="1"/>
          <w:bCs w:val="1"/>
          <w:color w:val="auto"/>
        </w:rPr>
        <w:t>ALLETE NON-EMPLOYEE DIRECTOR STOCK PLAN</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(As amended and restated effective May 15, 2013)</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Establishment and Purpose</w:t>
      </w:r>
    </w:p>
    <w:p>
      <w:pPr>
        <w:spacing w:after="0" w:line="202"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This document includes the terms of the ALLETE Non-Employee Director Stock Plan (the “Plan”), the purpose of which is to provide ownership of the Company's stock to members of its Board of Directors in order to improve the Company's ability to attract and retain highly qualified individuals to serve as Directors and to strengthen the commonality of interest between Directors and Company shareholders. The Plan, first established effective May 9, 1995, was amended as follows: effective September 1, 2000, the Plan was amended to reflect the Company's name change; effective January 1, 2002, January 1, 2003, February 15, 2007, May 1, 2009, May 1, 2010 and October 1, 2010, respectively, the Plan was amended to reflect changes in Director compensation; effective July 20, 2004, the Plan was amended to provide for tax withholding; and, effective May 1, 2009, the Plan was amended to permit Directors to defer their Annual Retainer awarded pursuant to the Plan under the ALLETE Amended and Restated Non-Employee Director Compensation Deferral Plan II. The Company now further amends and restates the Plan, effective May 15, 2013, to increase by 150,000 the number of shares authorized for issuance under this Plan, and to make other conforming amendments. Capitalized terms, unless otherwise defined herein, shall have the meaning provided in Article 10.</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196" w:lineRule="exact"/>
        <w:rPr>
          <w:sz w:val="20"/>
          <w:szCs w:val="20"/>
          <w:color w:val="auto"/>
        </w:rPr>
      </w:pPr>
    </w:p>
    <w:p>
      <w:pPr>
        <w:ind w:left="660" w:right="100" w:hanging="647"/>
        <w:spacing w:after="0" w:line="304"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u w:val="single" w:color="auto"/>
          <w:color w:val="auto"/>
        </w:rPr>
        <w:t>Administrator</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Executive Compensation Committee of the Board shall administer the Plan. Notwithstanding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foregoing, the Administrator may delegate any of its duties to such other person or persons from time to time as it may designate. Members of the Executive Compensation Committee may participate in the Plan; however, any Director serving on the Executive Compensation Committee shall not vote or act on any matter relating solely to himself or herself.</w:t>
      </w:r>
    </w:p>
    <w:p>
      <w:pPr>
        <w:spacing w:after="0" w:line="135" w:lineRule="exact"/>
        <w:rPr>
          <w:sz w:val="20"/>
          <w:szCs w:val="20"/>
          <w:color w:val="auto"/>
        </w:rPr>
      </w:pPr>
    </w:p>
    <w:p>
      <w:pPr>
        <w:jc w:val="center"/>
        <w:ind w:right="120"/>
        <w:spacing w:after="0"/>
        <w:tabs>
          <w:tab w:leader="none" w:pos="3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u w:val="single" w:color="auto"/>
          <w:color w:val="auto"/>
        </w:rPr>
        <w:t>Duties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Administrator has the authority to construe and interpret all provisions of the Plan, to resolve any ambiguities,</w:t>
      </w:r>
    </w:p>
    <w:p>
      <w:pPr>
        <w:spacing w:after="0" w:line="28" w:lineRule="exact"/>
        <w:rPr>
          <w:sz w:val="20"/>
          <w:szCs w:val="20"/>
          <w:color w:val="auto"/>
        </w:rPr>
      </w:pPr>
    </w:p>
    <w:p>
      <w:pPr>
        <w:ind w:left="660" w:right="420"/>
        <w:spacing w:after="0" w:line="245" w:lineRule="auto"/>
        <w:rPr>
          <w:sz w:val="20"/>
          <w:szCs w:val="20"/>
          <w:color w:val="auto"/>
        </w:rPr>
      </w:pPr>
      <w:r>
        <w:rPr>
          <w:rFonts w:ascii="Arial" w:cs="Arial" w:eastAsia="Arial" w:hAnsi="Arial"/>
          <w:sz w:val="22"/>
          <w:szCs w:val="22"/>
          <w:color w:val="auto"/>
        </w:rPr>
        <w:t>to adopt rules and practices concerning the administration of the Plan, to make any determinations and calculations necessary or appropriate hereunder, and to remedy any errors, inconsistencies or omissions. The Company shall pay all expenses and liabilities incurred in connection with Plan administration.</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85" w:right="279" w:bottom="1440" w:gutter="0" w:footer="0" w:header="0"/>
        </w:sectPr>
      </w:pPr>
    </w:p>
    <w:bookmarkStart w:id="54" w:name="page55"/>
    <w:bookmarkEnd w:id="54"/>
    <w:p>
      <w:pPr>
        <w:jc w:val="both"/>
        <w:ind w:left="660" w:right="120" w:hanging="647"/>
        <w:spacing w:after="0" w:line="315" w:lineRule="auto"/>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u w:val="single" w:color="auto"/>
          <w:color w:val="auto"/>
        </w:rPr>
        <w:t>Agents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Administrator may engage the services of accountants, attorneys, actuaries, investment consultants, and such</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other professional personnel as are deemed necessary or advisable to assist in fulfilling the Administrator's responsibilities. The Administrator, the Company and the Board may rely upon the advice, opinions or valuations of any such persons.</w:t>
      </w:r>
    </w:p>
    <w:p>
      <w:pPr>
        <w:spacing w:after="0" w:line="85" w:lineRule="exact"/>
        <w:rPr>
          <w:sz w:val="20"/>
          <w:szCs w:val="20"/>
          <w:color w:val="auto"/>
        </w:rPr>
      </w:pPr>
    </w:p>
    <w:p>
      <w:pPr>
        <w:ind w:left="660" w:right="80" w:hanging="647"/>
        <w:spacing w:after="0" w:line="298" w:lineRule="auto"/>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u w:val="single" w:color="auto"/>
          <w:color w:val="auto"/>
        </w:rPr>
        <w:t>Binding Effect of Decisions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decision or action of the Administrator with respect to any question arising out of or in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connection with the administration, interpretation and application of the Plan and the rules and regulations promulgated hereunder shall be final, conclusive and binding upon all persons having any interest in the Plan. Neither the Administrator, its delegates, nor the Board shall be personally liable for any good faith action, determination or interpretation with respect to the Plan, and each shall be fully protected by the Company in respect of any such action, determination or interpretation.</w:t>
      </w:r>
    </w:p>
    <w:p>
      <w:pPr>
        <w:spacing w:after="0" w:line="102" w:lineRule="exact"/>
        <w:rPr>
          <w:sz w:val="20"/>
          <w:szCs w:val="20"/>
          <w:color w:val="auto"/>
        </w:rPr>
      </w:pPr>
    </w:p>
    <w:p>
      <w:pPr>
        <w:jc w:val="both"/>
        <w:ind w:left="660" w:right="620" w:hanging="647"/>
        <w:spacing w:after="0" w:line="256" w:lineRule="auto"/>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b w:val="1"/>
          <w:bCs w:val="1"/>
          <w:u w:val="single" w:color="auto"/>
          <w:color w:val="auto"/>
        </w:rPr>
        <w:t>Company Information</w:t>
      </w:r>
      <w:r>
        <w:rPr>
          <w:rFonts w:ascii="Arial" w:cs="Arial" w:eastAsia="Arial" w:hAnsi="Arial"/>
          <w:sz w:val="22"/>
          <w:szCs w:val="22"/>
          <w:color w:val="auto"/>
        </w:rPr>
        <w:t>. To enable the Administrator to perform its duties, the Company shall supply full and timely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information to the Administrator on all matters relating to the Annual Retainer, the Directors and such other pertinent information as the Administrator may reasonably require.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Common Stock Subject to the Plan</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Subject to Article 6 below, the maximum aggregate number of shares of Common Stock that may be delivered under the Plan is 164,661 shares. The Common Stock to be delivered under the Plan may be made available from authorized but unissued shares of Common Stock or shares of Common Stock purchased on the open market.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Determination of Annual Retainer and Stock Payments</w:t>
      </w:r>
    </w:p>
    <w:p>
      <w:pPr>
        <w:spacing w:after="0" w:line="202" w:lineRule="exact"/>
        <w:rPr>
          <w:sz w:val="20"/>
          <w:szCs w:val="20"/>
          <w:color w:val="auto"/>
        </w:rPr>
      </w:pPr>
    </w:p>
    <w:p>
      <w:pPr>
        <w:ind w:left="660" w:right="540" w:hanging="647"/>
        <w:spacing w:after="0" w:line="263" w:lineRule="auto"/>
        <w:tabs>
          <w:tab w:leader="none" w:pos="640" w:val="left"/>
        </w:tabs>
        <w:rPr>
          <w:sz w:val="20"/>
          <w:szCs w:val="20"/>
          <w:color w:val="auto"/>
        </w:rPr>
      </w:pPr>
      <w:r>
        <w:rPr>
          <w:rFonts w:ascii="Arial" w:cs="Arial" w:eastAsia="Arial" w:hAnsi="Arial"/>
          <w:sz w:val="22"/>
          <w:szCs w:val="22"/>
          <w:color w:val="auto"/>
        </w:rPr>
        <w:t>4.1.</w:t>
        <w:tab/>
        <w:t>The Board shall determine the Annual Retainer payable to each Director. Unless otherwise specified by the Board, the Annual Retainer, once established, will remain in effect until the Board changes it.</w:t>
      </w:r>
    </w:p>
    <w:p>
      <w:pPr>
        <w:spacing w:after="0" w:line="134" w:lineRule="exact"/>
        <w:rPr>
          <w:sz w:val="20"/>
          <w:szCs w:val="20"/>
          <w:color w:val="auto"/>
        </w:rPr>
      </w:pPr>
    </w:p>
    <w:p>
      <w:pPr>
        <w:ind w:left="660" w:right="180" w:hanging="647"/>
        <w:spacing w:after="0" w:line="297"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Each Director shall receive a Stock Payment for services rendered during the Service Period on the first business day of June or as soon as practicable following that date. The number of shares shall be calculated by dividing the amount of the Stock Payment by the fair market value of a share of Common Stock, which for this purpose means the average New York Stock Exchange closing price for the last five (5) days up to and including the date that is ten (10) calendar days prior to June 1 of the Service Period (or on the first business day thereafter if June 1 is not a business day).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5" w:right="239" w:bottom="1440" w:gutter="0" w:footer="0" w:header="0"/>
        </w:sectPr>
      </w:pPr>
    </w:p>
    <w:bookmarkStart w:id="55" w:name="page56"/>
    <w:bookmarkEnd w:id="55"/>
    <w:p>
      <w:pPr>
        <w:ind w:left="660" w:right="100" w:firstLine="648"/>
        <w:spacing w:after="0" w:line="289" w:lineRule="auto"/>
        <w:rPr>
          <w:sz w:val="20"/>
          <w:szCs w:val="20"/>
          <w:color w:val="auto"/>
        </w:rPr>
      </w:pPr>
      <w:r>
        <w:rPr>
          <w:rFonts w:ascii="Arial" w:cs="Arial" w:eastAsia="Arial" w:hAnsi="Arial"/>
          <w:sz w:val="19"/>
          <w:szCs w:val="19"/>
          <w:color w:val="auto"/>
        </w:rPr>
        <w:t>To the extent the Director has not elected to defer any or all of the Stock Payment pursuant to the ALLETE Amended and Restated Non-Employee Director Compensation Deferral Plan II, or any successor deferral plan or arrangement established by the Company for such purpose, the Company shall either issue shares or cause the appropriate number of shares of Common Stock to be purchased in the market and delivered to the Director or, at the Company's election, to the Director's Invest Direct account or to the Director's account in such successor dividend reinvestment plan as the Company may establish. Fractional shares may be paid in cash. Any Director joining the Board during a Service Period after the first business day in June will receive his or her Stock Payment, valued using the same general methodology described above and prorated to reflect the number of months included in the Director's initial Service Period, as soon as practicable after the first business day following the effective date of his or her election or appointment to the Board.</w:t>
      </w:r>
    </w:p>
    <w:p>
      <w:pPr>
        <w:spacing w:after="0" w:line="158" w:lineRule="exact"/>
        <w:rPr>
          <w:sz w:val="20"/>
          <w:szCs w:val="20"/>
          <w:color w:val="auto"/>
        </w:rPr>
      </w:pPr>
    </w:p>
    <w:p>
      <w:pPr>
        <w:jc w:val="both"/>
        <w:ind w:left="660" w:right="200" w:hanging="647"/>
        <w:spacing w:after="0" w:line="271" w:lineRule="auto"/>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color w:val="auto"/>
        </w:rPr>
        <w:t>Any Director may decline a Stock Payment for any Plan Year, provided, however, that no cash compensation shall be paid in lieu thereof. Any Director who declines a Stock Payment must do so in writing prior to the performance of any services as a Director for the Plan Year to which such Stock Payment relates.</w:t>
      </w:r>
    </w:p>
    <w:p>
      <w:pPr>
        <w:spacing w:after="0" w:line="127" w:lineRule="exact"/>
        <w:rPr>
          <w:sz w:val="20"/>
          <w:szCs w:val="20"/>
          <w:color w:val="auto"/>
        </w:rPr>
      </w:pPr>
    </w:p>
    <w:p>
      <w:pPr>
        <w:ind w:left="660" w:hanging="647"/>
        <w:spacing w:after="0" w:line="312" w:lineRule="auto"/>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No Director shall be required to forfeit or otherwise return any shares of Common Stock issued as a Stock Payment pursuant to the Plan (including any shares of Common Stock received as a result of an election under Article 5) notwithstanding any change in status of such Director that renders him or her ineligible to continue as a Director in the Plan.</w:t>
      </w:r>
    </w:p>
    <w:p>
      <w:pPr>
        <w:spacing w:after="0" w:line="93" w:lineRule="exact"/>
        <w:rPr>
          <w:sz w:val="20"/>
          <w:szCs w:val="20"/>
          <w:color w:val="auto"/>
        </w:rPr>
      </w:pPr>
    </w:p>
    <w:p>
      <w:pPr>
        <w:jc w:val="both"/>
        <w:ind w:left="660" w:right="140" w:hanging="647"/>
        <w:spacing w:after="0" w:line="312" w:lineRule="auto"/>
        <w:tabs>
          <w:tab w:leader="none" w:pos="6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The cash portion of the Annual Retainer for such Plan Year shall be paid to Directors at such times and in such manner as may be determined by the Board of Directors, unless the Director has elected to defer some or all of the cash portion of the Annual Retainer pursuant to the ALLETE Amended and Restated Non-Employee Director Compensation Deferral Plan II.</w:t>
      </w:r>
    </w:p>
    <w:p>
      <w:pPr>
        <w:spacing w:after="0" w:line="93" w:lineRule="exact"/>
        <w:rPr>
          <w:sz w:val="20"/>
          <w:szCs w:val="20"/>
          <w:color w:val="auto"/>
        </w:rPr>
      </w:pPr>
    </w:p>
    <w:p>
      <w:pPr>
        <w:ind w:left="660" w:right="360" w:hanging="647"/>
        <w:spacing w:after="0" w:line="343" w:lineRule="auto"/>
        <w:tabs>
          <w:tab w:leader="none" w:pos="6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Any portion of the Annual Retainer that a Director elects to defer pursuant to the ALLETE Amended and Restated Non-Employee Director Compensation Deferral Plan II shall be considered a deferral under that plan and not this Plan.</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Election to Increase Amount of Stock Payment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in Lieu of Cash Portion of Annual Retainer</w:t>
      </w:r>
    </w:p>
    <w:p>
      <w:pPr>
        <w:spacing w:after="0" w:line="371" w:lineRule="exact"/>
        <w:rPr>
          <w:sz w:val="20"/>
          <w:szCs w:val="20"/>
          <w:color w:val="auto"/>
        </w:rPr>
      </w:pPr>
    </w:p>
    <w:p>
      <w:pPr>
        <w:jc w:val="both"/>
        <w:ind w:right="180"/>
        <w:spacing w:after="0" w:line="309"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u w:val="single" w:color="auto"/>
          <w:color w:val="auto"/>
        </w:rPr>
        <w:t>Annual Election</w:t>
      </w:r>
      <w:r>
        <w:rPr>
          <w:rFonts w:ascii="Arial" w:cs="Arial" w:eastAsia="Arial" w:hAnsi="Arial"/>
          <w:sz w:val="19"/>
          <w:szCs w:val="19"/>
          <w:color w:val="auto"/>
        </w:rPr>
        <w:t>. Each Plan Year, a Director may make a written election to reduce the cash portion of the Annual Retainer and have such amount applied to purchase additional shares of Common Stock. The election shall be made on a form provided by the Administrator and must be returned to the Administrator. An election becomes irrevocable no later than the date specified by the Administrator, but in any event before the beginning of the Plan Year to which the election relates.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56" w:name="page57"/>
    <w:bookmarkEnd w:id="56"/>
    <w:p>
      <w:pPr>
        <w:ind w:right="20"/>
        <w:spacing w:after="0" w:line="261" w:lineRule="auto"/>
        <w:rPr>
          <w:sz w:val="20"/>
          <w:szCs w:val="20"/>
          <w:color w:val="auto"/>
        </w:rPr>
      </w:pPr>
      <w:r>
        <w:rPr>
          <w:rFonts w:ascii="Arial" w:cs="Arial" w:eastAsia="Arial" w:hAnsi="Arial"/>
          <w:sz w:val="21"/>
          <w:szCs w:val="21"/>
          <w:color w:val="auto"/>
        </w:rPr>
        <w:t>A Director's election will become effective only if the forms required by the Administrator have been properly completed and signed by the Director, timely delivered to, and accepted by, the Administrator. The election form shall state the percentage or amount by which the Director desires to reduce the cash portion of the Annual Retainer, which shall be applied toward the purchase of Common Stock to be delivered on the same date that the Stock Payment is made, provided, however, that no fractional shares may be purchased. Cash in lieu of any fractional share may be paid to the Director. No Director shall be allowed to change or revoke any election for the then current year.</w:t>
      </w:r>
    </w:p>
    <w:p>
      <w:pPr>
        <w:spacing w:after="0" w:line="13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u w:val="single" w:color="auto"/>
          <w:color w:val="auto"/>
        </w:rPr>
        <w:t>Initial Election</w:t>
      </w:r>
      <w:r>
        <w:rPr>
          <w:rFonts w:ascii="Arial" w:cs="Arial" w:eastAsia="Arial" w:hAnsi="Arial"/>
          <w:sz w:val="22"/>
          <w:szCs w:val="22"/>
          <w:color w:val="auto"/>
        </w:rPr>
        <w:t>. A Director who first becomes eligible to participate in the Plan during a Plan Year may elect to reduce the cash portion of the Annual Retainer and have such amount applied to purchase additional shares of Common Stock by filing a signed election form with the Administrator no later than 30 days after the Director first becomes eligible to participate in the Plan. The election shall become irrevocable with respect to the Service Period covered by the election on the earlier of the 30th day following the date on which the Director first becomes eligible to participate in the Plan or the date on which payment is made to the Director.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Adjustment for Changes in Capitalization</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If the outstanding shares of Common Stock of the Company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property of the Company, reorganization or recapitalization, reclassification, stock dividend, stock split, reverse stock split, combinations of shares, rights offering, distribution of assets or other distribution with respect to such shares of Common Stock or other securities or other change in the corporate structure or shares of Common Stock, the number of shares to be granted annually, the maximum number of shares and the kind of shares that may be issued under the Plan shall be appropriately adjusted by the Administrator. Any determination by the Administrator as to any such adjustment will be final, binding, and conclusive. The maximum number of shares issuable under the Plan as a result of any such adjustment shall be rounded down to the nearest whole share.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Amendment or Termination of Plan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Board will have the power, in its discretion, to amend, suspend or terminate the Plan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Duration of the Plan</w:t>
      </w:r>
    </w:p>
    <w:p>
      <w:pPr>
        <w:spacing w:after="0" w:line="202"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Subject to the right of the Board to terminate the Plan pursuant to Article 7, the Plan shall remain in effect until all shares subject to the Plan have been purchased or acquired according to the Plan's provisions.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196" w:lineRule="exact"/>
        <w:rPr>
          <w:sz w:val="20"/>
          <w:szCs w:val="20"/>
          <w:color w:val="auto"/>
        </w:rPr>
      </w:pPr>
    </w:p>
    <w:p>
      <w:pPr>
        <w:ind w:left="660" w:hanging="647"/>
        <w:spacing w:after="0" w:line="261" w:lineRule="auto"/>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b w:val="1"/>
          <w:bCs w:val="1"/>
          <w:u w:val="single" w:color="auto"/>
          <w:color w:val="auto"/>
        </w:rPr>
        <w:t>Continuation of Directors in Same Status</w:t>
      </w:r>
      <w:r>
        <w:rPr>
          <w:rFonts w:ascii="Arial" w:cs="Arial" w:eastAsia="Arial" w:hAnsi="Arial"/>
          <w:sz w:val="21"/>
          <w:szCs w:val="21"/>
          <w:color w:val="auto"/>
        </w:rPr>
        <w:t>. Nothing in the Plan or any action taken pursuant to the Plan shall be construed</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as creating or constituting evidence of any agreement or understanding, express or implied, that the Company will retain a Director as a Director or in any other capacity for any period of time or at a particular retainer or other rate of compensation, as conferring upon any Director any legal or other right to continue as a Director or in any other capacity, or as limiting, interfering with or otherwise affecting the right of the Company to terminate a Director in his or her capacity as a Director or otherwise at any time for any reason, with or without cause, and without regard to the effect that such termination might have upon him or her as a participant under the Plan.</w:t>
      </w:r>
    </w:p>
    <w:p>
      <w:pPr>
        <w:spacing w:after="0" w:line="133" w:lineRule="exact"/>
        <w:rPr>
          <w:sz w:val="20"/>
          <w:szCs w:val="20"/>
          <w:color w:val="auto"/>
        </w:rPr>
      </w:pPr>
    </w:p>
    <w:p>
      <w:pPr>
        <w:ind w:left="660" w:hanging="647"/>
        <w:spacing w:after="0" w:line="286"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u w:val="single" w:color="auto"/>
          <w:color w:val="auto"/>
        </w:rPr>
        <w:t>Compliance with Government Regulation</w:t>
      </w:r>
      <w:r>
        <w:rPr>
          <w:rFonts w:ascii="Arial" w:cs="Arial" w:eastAsia="Arial" w:hAnsi="Arial"/>
          <w:sz w:val="19"/>
          <w:szCs w:val="19"/>
          <w:color w:val="auto"/>
        </w:rPr>
        <w:t>. Neither the Plan nor the Company shall be obligated to issue any shares of</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Common Stock pursuant to the Plan at any time unless and until all applicable requirements imposed by any federal and state securities and other laws, rules and regulations, by any regulatory agencies or by any stock exchanges upon which the Common Stock may be listed have been fully met. As a condition precedent to any issuance of shares of Common Stock, the Board or the Administrator may require a Director to take any such action and to make any such covenants, agreements and representations as the Board or the Administrator, as the case may be, in its discretion deems necessary or advisable to ensure compliance with such requirements. The Company shall in no event be obligated to register the shares of Common Stock deliverable under the Plan pursuant to the Securities Act of 1933, as amended, or to qualify or register such shares under any securities laws of any state upon their issuance under the Plan or at any time thereafter, or to take any other action in order to cause the issuance and delivery of such shares under the Plan or any subsequent offer, sale, or other transfer of such shares to comply with any such law, regulation, or requirement. Directors are responsible for complying with all applicable federal and state securities and other laws, rules, and regulations in connection with any offer, sale, or other transfer of the shares of Common Stock issued under the Plan or any interest therein including, without limitation, compliance with the registration requirements of the Securities Act of 1933 as amended (unless an exemption therefrom is available) or with the provisions of Rule 144 promulgated thereunder, if applicable, or any successor provisions. Certificates for shares of Common Stock may be legended as the Administrator shall deem appropriate.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5" w:right="239" w:bottom="1440" w:gutter="0" w:footer="0" w:header="0"/>
        </w:sectPr>
      </w:pPr>
    </w:p>
    <w:bookmarkStart w:id="58" w:name="page59"/>
    <w:bookmarkEnd w:id="58"/>
    <w:p>
      <w:pPr>
        <w:ind w:left="660" w:right="140" w:hanging="647"/>
        <w:spacing w:after="0" w:line="252" w:lineRule="auto"/>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b w:val="1"/>
          <w:bCs w:val="1"/>
          <w:u w:val="single" w:color="auto"/>
          <w:color w:val="auto"/>
        </w:rPr>
        <w:t>Non-transferability of Rights</w:t>
      </w:r>
      <w:r>
        <w:rPr>
          <w:rFonts w:ascii="Arial" w:cs="Arial" w:eastAsia="Arial" w:hAnsi="Arial"/>
          <w:sz w:val="22"/>
          <w:szCs w:val="22"/>
          <w:color w:val="auto"/>
        </w:rPr>
        <w:t>. No Director shall have the right to assign the right to receive any Stock Payment or any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other right or interest under the Plan, contingent or otherwise, or to cause or permit any encumbrance, pledge, or charge of any nature to be imposed on any such Stock Payment (prior to the delivery of such Stock Payment) or any such right or interest.</w:t>
      </w:r>
    </w:p>
    <w:p>
      <w:pPr>
        <w:spacing w:after="0" w:line="140" w:lineRule="exact"/>
        <w:rPr>
          <w:sz w:val="20"/>
          <w:szCs w:val="20"/>
          <w:color w:val="auto"/>
        </w:rPr>
      </w:pPr>
    </w:p>
    <w:p>
      <w:pPr>
        <w:ind w:left="660" w:right="80" w:hanging="647"/>
        <w:spacing w:after="0" w:line="269" w:lineRule="auto"/>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In the event that any provision of the Plan is held invalid, void, or unenforceable, the same shall not affect, in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any respect whatsoever, the validity of any other provision of the Plan.</w:t>
      </w:r>
    </w:p>
    <w:p>
      <w:pPr>
        <w:spacing w:after="0" w:line="122" w:lineRule="exact"/>
        <w:rPr>
          <w:sz w:val="20"/>
          <w:szCs w:val="20"/>
          <w:color w:val="auto"/>
        </w:rPr>
      </w:pPr>
    </w:p>
    <w:p>
      <w:pPr>
        <w:ind w:left="660" w:right="800" w:hanging="647"/>
        <w:spacing w:after="0" w:line="269" w:lineRule="auto"/>
        <w:tabs>
          <w:tab w:leader="none" w:pos="64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To the extent not preempted by federal law, the Plan shall be governed by the laws of the state of</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Minnesota.</w:t>
      </w:r>
    </w:p>
    <w:p>
      <w:pPr>
        <w:spacing w:after="0" w:line="122" w:lineRule="exact"/>
        <w:rPr>
          <w:sz w:val="20"/>
          <w:szCs w:val="20"/>
          <w:color w:val="auto"/>
        </w:rPr>
      </w:pPr>
    </w:p>
    <w:p>
      <w:pPr>
        <w:ind w:left="660" w:hanging="647"/>
        <w:spacing w:after="0" w:line="252" w:lineRule="auto"/>
        <w:tabs>
          <w:tab w:leader="none" w:pos="6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b w:val="1"/>
          <w:bCs w:val="1"/>
          <w:u w:val="single" w:color="auto"/>
          <w:color w:val="auto"/>
        </w:rPr>
        <w:t>Tax Withholding</w:t>
      </w:r>
      <w:r>
        <w:rPr>
          <w:rFonts w:ascii="Arial" w:cs="Arial" w:eastAsia="Arial" w:hAnsi="Arial"/>
          <w:sz w:val="22"/>
          <w:szCs w:val="22"/>
          <w:color w:val="auto"/>
        </w:rPr>
        <w:t>. The Company is authorized to withhold from the Annual Retainer including from the Stock Payment,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amounts of withholding and other taxes due in connection with such payment by the Company and to take such other action as the Company may deem advisable to enable the Company or Director to satisfy obligations relating to the payment of any Annual Retainer.</w:t>
      </w:r>
    </w:p>
    <w:p>
      <w:pPr>
        <w:spacing w:after="0" w:line="200" w:lineRule="exact"/>
        <w:rPr>
          <w:sz w:val="20"/>
          <w:szCs w:val="20"/>
          <w:color w:val="auto"/>
        </w:rPr>
      </w:pPr>
    </w:p>
    <w:p>
      <w:pPr>
        <w:spacing w:after="0" w:line="331"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ind w:left="52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When used herein, the following terms shall have the respective meanings set forth below:</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“Administrator” is defined in Article 2.1 of the Plan.</w:t>
      </w:r>
    </w:p>
    <w:p>
      <w:pPr>
        <w:spacing w:after="0" w:line="179" w:lineRule="exact"/>
        <w:rPr>
          <w:sz w:val="20"/>
          <w:szCs w:val="20"/>
          <w:color w:val="auto"/>
        </w:rPr>
      </w:pPr>
    </w:p>
    <w:p>
      <w:pPr>
        <w:ind w:left="660" w:right="500" w:hanging="647"/>
        <w:spacing w:after="0" w:line="263" w:lineRule="auto"/>
        <w:tabs>
          <w:tab w:leader="none" w:pos="640" w:val="left"/>
        </w:tabs>
        <w:rPr>
          <w:sz w:val="20"/>
          <w:szCs w:val="20"/>
          <w:color w:val="auto"/>
        </w:rPr>
      </w:pPr>
      <w:r>
        <w:rPr>
          <w:rFonts w:ascii="Arial" w:cs="Arial" w:eastAsia="Arial" w:hAnsi="Arial"/>
          <w:sz w:val="22"/>
          <w:szCs w:val="22"/>
          <w:color w:val="auto"/>
        </w:rPr>
        <w:t>10.2</w:t>
        <w:tab/>
        <w:t>“Annual Retainer” means the annual retainer payable by the Company to Directors (excluding any per meeting fees or expense reimbursements).</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“Board” or “Board of Directors” means the Board of Directors of the Company.</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“Common Stock” means the common stock, no par value, of the Company.</w:t>
      </w:r>
    </w:p>
    <w:p>
      <w:pPr>
        <w:spacing w:after="0" w:line="179" w:lineRule="exact"/>
        <w:rPr>
          <w:sz w:val="20"/>
          <w:szCs w:val="20"/>
          <w:color w:val="auto"/>
        </w:rPr>
      </w:pPr>
    </w:p>
    <w:p>
      <w:pPr>
        <w:ind w:left="660" w:right="80" w:hanging="647"/>
        <w:spacing w:after="0" w:line="263" w:lineRule="auto"/>
        <w:tabs>
          <w:tab w:leader="none" w:pos="640" w:val="left"/>
        </w:tabs>
        <w:rPr>
          <w:sz w:val="20"/>
          <w:szCs w:val="20"/>
          <w:color w:val="auto"/>
        </w:rPr>
      </w:pPr>
      <w:r>
        <w:rPr>
          <w:rFonts w:ascii="Arial" w:cs="Arial" w:eastAsia="Arial" w:hAnsi="Arial"/>
          <w:sz w:val="22"/>
          <w:szCs w:val="22"/>
          <w:color w:val="auto"/>
        </w:rPr>
        <w:t>10.5</w:t>
        <w:tab/>
        <w:t>“Company” means ALLETE, Inc., f/k/a Minnesota Power, Inc. and f/k/a Minnesota Power &amp; Light Company, a Minnesota corporation, and any successor corporation.</w:t>
      </w:r>
    </w:p>
    <w:p>
      <w:pPr>
        <w:spacing w:after="0" w:line="134" w:lineRule="exact"/>
        <w:rPr>
          <w:sz w:val="20"/>
          <w:szCs w:val="20"/>
          <w:color w:val="auto"/>
        </w:rPr>
      </w:pPr>
    </w:p>
    <w:p>
      <w:pPr>
        <w:ind w:left="660" w:right="540" w:hanging="647"/>
        <w:spacing w:after="0" w:line="263" w:lineRule="auto"/>
        <w:tabs>
          <w:tab w:leader="none" w:pos="640" w:val="left"/>
        </w:tabs>
        <w:rPr>
          <w:sz w:val="20"/>
          <w:szCs w:val="20"/>
          <w:color w:val="auto"/>
        </w:rPr>
      </w:pPr>
      <w:r>
        <w:rPr>
          <w:rFonts w:ascii="Arial" w:cs="Arial" w:eastAsia="Arial" w:hAnsi="Arial"/>
          <w:sz w:val="22"/>
          <w:szCs w:val="22"/>
          <w:color w:val="auto"/>
        </w:rPr>
        <w:t>10.6</w:t>
        <w:tab/>
        <w:t>“Director” means any person who is elected or appointed to the Board of Directors of the Company and who is not an Employee.</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85" w:right="279" w:bottom="1440" w:gutter="0" w:footer="0" w:header="0"/>
        </w:sectPr>
      </w:pPr>
    </w:p>
    <w:bookmarkStart w:id="59" w:name="page60"/>
    <w:bookmarkEnd w:id="59"/>
    <w:p>
      <w:pPr>
        <w:spacing w:after="0"/>
        <w:tabs>
          <w:tab w:leader="none" w:pos="64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“Employee” means any officer or other common law employee of the Company or of any Subsidiary.</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color w:val="auto"/>
        </w:rPr>
        <w:t>“Exchange Act” means the Securities Exchange Act of 1934, as amended.</w:t>
      </w:r>
    </w:p>
    <w:p>
      <w:pPr>
        <w:spacing w:after="0" w:line="179" w:lineRule="exact"/>
        <w:rPr>
          <w:sz w:val="20"/>
          <w:szCs w:val="20"/>
          <w:color w:val="auto"/>
        </w:rPr>
      </w:pPr>
    </w:p>
    <w:p>
      <w:pPr>
        <w:ind w:left="660" w:right="980" w:hanging="647"/>
        <w:spacing w:after="0" w:line="263" w:lineRule="auto"/>
        <w:tabs>
          <w:tab w:leader="none" w:pos="640" w:val="left"/>
        </w:tabs>
        <w:rPr>
          <w:sz w:val="20"/>
          <w:szCs w:val="20"/>
          <w:color w:val="auto"/>
        </w:rPr>
      </w:pPr>
      <w:r>
        <w:rPr>
          <w:rFonts w:ascii="Arial" w:cs="Arial" w:eastAsia="Arial" w:hAnsi="Arial"/>
          <w:sz w:val="22"/>
          <w:szCs w:val="22"/>
          <w:color w:val="auto"/>
        </w:rPr>
        <w:t>10.9</w:t>
        <w:tab/>
        <w:t>“Invest Direct” means the ALLETE Stock Purchase and Dividend Reinvestment Plan or any successor dividend reinvestment plan as the Company may establish.</w:t>
      </w:r>
    </w:p>
    <w:p>
      <w:pPr>
        <w:spacing w:after="0" w:line="13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10.10</w:t>
      </w:r>
      <w:r>
        <w:rPr>
          <w:sz w:val="20"/>
          <w:szCs w:val="20"/>
          <w:color w:val="auto"/>
        </w:rPr>
        <w:tab/>
      </w:r>
      <w:r>
        <w:rPr>
          <w:rFonts w:ascii="Arial" w:cs="Arial" w:eastAsia="Arial" w:hAnsi="Arial"/>
          <w:sz w:val="19"/>
          <w:szCs w:val="19"/>
          <w:color w:val="auto"/>
        </w:rPr>
        <w:t>“Plan Year” means the calendar year.</w:t>
      </w:r>
    </w:p>
    <w:p>
      <w:pPr>
        <w:spacing w:after="0" w:line="193" w:lineRule="exact"/>
        <w:rPr>
          <w:sz w:val="20"/>
          <w:szCs w:val="20"/>
          <w:color w:val="auto"/>
        </w:rPr>
      </w:pPr>
    </w:p>
    <w:p>
      <w:pPr>
        <w:ind w:left="660" w:right="60" w:hanging="647"/>
        <w:spacing w:after="0" w:line="250" w:lineRule="auto"/>
        <w:tabs>
          <w:tab w:leader="none" w:pos="640" w:val="left"/>
        </w:tabs>
        <w:rPr>
          <w:sz w:val="20"/>
          <w:szCs w:val="20"/>
          <w:color w:val="auto"/>
        </w:rPr>
      </w:pPr>
      <w:r>
        <w:rPr>
          <w:rFonts w:ascii="Arial" w:cs="Arial" w:eastAsia="Arial" w:hAnsi="Arial"/>
          <w:sz w:val="22"/>
          <w:szCs w:val="22"/>
          <w:color w:val="auto"/>
        </w:rPr>
        <w:t>10.11</w:t>
        <w:tab/>
        <w:t>“Service Period” means, with respect to the Annual Cash Retainer, a Plan Year, and with respect to the Annual Stock Retainer, the 12-month period beginning on June 1 of each Plan Year or, with respect to a Director who first becomes eligible to participate in the Plan after June 1 of a Plan Year, such lesser period beginning on the date the Director joins the Board and ending on the following May 31.</w:t>
      </w:r>
    </w:p>
    <w:p>
      <w:pPr>
        <w:spacing w:after="0" w:line="148"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10.12 “Stock Payment” means that portion of the Annual Retainer to be paid to Directors in shares of Common Stock rather than cash for services rendered as a Director of the Company, as provided in Article 4 hereof, including that portion of the Stock Payment resulting from any election specified in Article 5 hereof.</w:t>
      </w:r>
    </w:p>
    <w:p>
      <w:pPr>
        <w:spacing w:after="0" w:line="145" w:lineRule="exact"/>
        <w:rPr>
          <w:sz w:val="20"/>
          <w:szCs w:val="20"/>
          <w:color w:val="auto"/>
        </w:rPr>
      </w:pPr>
    </w:p>
    <w:p>
      <w:pPr>
        <w:ind w:left="660" w:right="240" w:hanging="647"/>
        <w:spacing w:after="0" w:line="263" w:lineRule="auto"/>
        <w:rPr>
          <w:sz w:val="20"/>
          <w:szCs w:val="20"/>
          <w:color w:val="auto"/>
        </w:rPr>
      </w:pPr>
      <w:r>
        <w:rPr>
          <w:rFonts w:ascii="Arial" w:cs="Arial" w:eastAsia="Arial" w:hAnsi="Arial"/>
          <w:sz w:val="22"/>
          <w:szCs w:val="22"/>
          <w:color w:val="auto"/>
        </w:rPr>
        <w:t>10.13 “Subsidiary” means any corporation that is a “subsidiary corporation” of the Company, as that term is defined in Section 424(f) of the Internal Revenue Code of 1986, as amended.</w:t>
      </w:r>
    </w:p>
    <w:p>
      <w:pPr>
        <w:spacing w:after="0" w:line="134" w:lineRule="exact"/>
        <w:rPr>
          <w:sz w:val="20"/>
          <w:szCs w:val="20"/>
          <w:color w:val="auto"/>
        </w:rPr>
      </w:pPr>
    </w:p>
    <w:p>
      <w:pPr>
        <w:ind w:right="700" w:firstLine="648"/>
        <w:spacing w:after="0" w:line="343" w:lineRule="auto"/>
        <w:rPr>
          <w:sz w:val="20"/>
          <w:szCs w:val="20"/>
          <w:color w:val="auto"/>
        </w:rPr>
      </w:pPr>
      <w:r>
        <w:rPr>
          <w:rFonts w:ascii="Arial" w:cs="Arial" w:eastAsia="Arial" w:hAnsi="Arial"/>
          <w:sz w:val="19"/>
          <w:szCs w:val="19"/>
          <w:color w:val="auto"/>
        </w:rPr>
        <w:t>In Witness Whereof, the Board of Directors of ALLETE, Inc. has caused this amended and restated ALLETE Non-Employee Director Stock Plan to be signed by its duly authorized representative, effective as of May 15, 2013.</w:t>
      </w:r>
    </w:p>
    <w:p>
      <w:pPr>
        <w:spacing w:after="0" w:line="105"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060"/>
        <w:spacing w:after="0"/>
        <w:rPr>
          <w:sz w:val="20"/>
          <w:szCs w:val="20"/>
          <w:color w:val="auto"/>
        </w:rPr>
      </w:pPr>
      <w:r>
        <w:rPr>
          <w:rFonts w:ascii="Arial" w:cs="Arial" w:eastAsia="Arial" w:hAnsi="Arial"/>
          <w:sz w:val="22"/>
          <w:szCs w:val="22"/>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24765</wp:posOffset>
            </wp:positionV>
            <wp:extent cx="2787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8" w:lineRule="exact"/>
        <w:rPr>
          <w:sz w:val="20"/>
          <w:szCs w:val="20"/>
          <w:color w:val="auto"/>
        </w:rPr>
      </w:pPr>
    </w:p>
    <w:p>
      <w:pPr>
        <w:ind w:left="7060"/>
        <w:spacing w:after="0"/>
        <w:rPr>
          <w:sz w:val="20"/>
          <w:szCs w:val="20"/>
          <w:color w:val="auto"/>
        </w:rPr>
      </w:pPr>
      <w:r>
        <w:rPr>
          <w:rFonts w:ascii="Arial" w:cs="Arial" w:eastAsia="Arial" w:hAnsi="Arial"/>
          <w:sz w:val="22"/>
          <w:szCs w:val="22"/>
          <w:color w:val="auto"/>
        </w:rPr>
        <w:t>Alan R. Hodnik</w:t>
      </w:r>
    </w:p>
    <w:p>
      <w:pPr>
        <w:spacing w:after="0" w:line="44" w:lineRule="exact"/>
        <w:rPr>
          <w:sz w:val="20"/>
          <w:szCs w:val="20"/>
          <w:color w:val="auto"/>
        </w:rPr>
      </w:pPr>
    </w:p>
    <w:p>
      <w:pPr>
        <w:ind w:left="7060"/>
        <w:spacing w:after="0"/>
        <w:rPr>
          <w:sz w:val="20"/>
          <w:szCs w:val="20"/>
          <w:color w:val="auto"/>
        </w:rPr>
      </w:pPr>
      <w:r>
        <w:rPr>
          <w:rFonts w:ascii="Arial" w:cs="Arial" w:eastAsia="Arial" w:hAnsi="Arial"/>
          <w:sz w:val="19"/>
          <w:szCs w:val="19"/>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Deborah A. Amberg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078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Deborah A. Amberg</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Senior Vice President, General Counsel and Secretary</w:t>
      </w: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5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AMENDED AND RESTATED LETTER OF CREDIT AGREEMENT</w:t>
      </w:r>
    </w:p>
    <w:p>
      <w:pPr>
        <w:spacing w:after="0" w:line="153" w:lineRule="exact"/>
        <w:rPr>
          <w:sz w:val="20"/>
          <w:szCs w:val="20"/>
          <w:color w:val="auto"/>
        </w:rPr>
      </w:pPr>
    </w:p>
    <w:p>
      <w:pPr>
        <w:ind w:right="220"/>
        <w:spacing w:after="0" w:line="273" w:lineRule="auto"/>
        <w:rPr>
          <w:sz w:val="20"/>
          <w:szCs w:val="20"/>
          <w:color w:val="auto"/>
        </w:rPr>
      </w:pPr>
      <w:r>
        <w:rPr>
          <w:rFonts w:ascii="Arial" w:cs="Arial" w:eastAsia="Arial" w:hAnsi="Arial"/>
          <w:sz w:val="19"/>
          <w:szCs w:val="19"/>
          <w:color w:val="auto"/>
        </w:rPr>
        <w:t xml:space="preserve">This Amendment is entered into as of June 1, 2013 by and between ALLETE, Inc., a Minnesota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Wells Fargo Bank, National Association, a national banking association (</w:t>
      </w:r>
      <w:r>
        <w:rPr>
          <w:rFonts w:ascii="Arial" w:cs="Arial" w:eastAsia="Arial" w:hAnsi="Arial"/>
          <w:sz w:val="19"/>
          <w:szCs w:val="19"/>
          <w:b w:val="1"/>
          <w:bCs w:val="1"/>
          <w:color w:val="auto"/>
        </w:rPr>
        <w:t>“Wells Fargo”</w:t>
      </w:r>
      <w:r>
        <w:rPr>
          <w:rFonts w:ascii="Arial" w:cs="Arial" w:eastAsia="Arial" w:hAnsi="Arial"/>
          <w:sz w:val="19"/>
          <w:szCs w:val="19"/>
          <w:color w:val="auto"/>
        </w:rPr>
        <w:t>), in its capacity as the Issuing Bank, Administrative Agent and sole Participating Bank under and as defined in the Reimbursement Agreement described below.</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 xml:space="preserve">The Company and Wells Fargo are parties to an Amended and Restated Letter of Credit Agreement (as amended, supplemented, restated or otherwise modified from time to time, the </w:t>
      </w:r>
      <w:r>
        <w:rPr>
          <w:rFonts w:ascii="Arial" w:cs="Arial" w:eastAsia="Arial" w:hAnsi="Arial"/>
          <w:sz w:val="19"/>
          <w:szCs w:val="19"/>
          <w:b w:val="1"/>
          <w:bCs w:val="1"/>
          <w:color w:val="auto"/>
        </w:rPr>
        <w:t>“Reimbursement Agreement”</w:t>
      </w:r>
      <w:r>
        <w:rPr>
          <w:rFonts w:ascii="Arial" w:cs="Arial" w:eastAsia="Arial" w:hAnsi="Arial"/>
          <w:sz w:val="19"/>
          <w:szCs w:val="19"/>
          <w:color w:val="auto"/>
        </w:rPr>
        <w:t xml:space="preserve">) dated June 3, 2011, setting forth the terms on which Wells Fargo, as the Issuing Bank thereunder, has maintained its Irrevocable Letter of Credit No. NZS569069, dated July 5, 2006 (as amended, supplemented, restated or otherwise modified from time to time, the </w:t>
      </w:r>
      <w:r>
        <w:rPr>
          <w:rFonts w:ascii="Arial" w:cs="Arial" w:eastAsia="Arial" w:hAnsi="Arial"/>
          <w:sz w:val="19"/>
          <w:szCs w:val="19"/>
          <w:b w:val="1"/>
          <w:bCs w:val="1"/>
          <w:color w:val="auto"/>
        </w:rPr>
        <w:t>“Letter of Credit”</w:t>
      </w:r>
      <w:r>
        <w:rPr>
          <w:rFonts w:ascii="Arial" w:cs="Arial" w:eastAsia="Arial" w:hAnsi="Arial"/>
          <w:sz w:val="19"/>
          <w:szCs w:val="19"/>
          <w:color w:val="auto"/>
        </w:rPr>
        <w:t>) to support certain obligations arising with respect to the Collier County (Florida) Industrial Authority Industrial Development Variable Rate Demand Refunding Revenue Bonds (ALLETE, Inc. Project), Series 2006, in the principal amount of $27,800,000.</w:t>
      </w:r>
    </w:p>
    <w:p>
      <w:pPr>
        <w:spacing w:after="0" w:line="138"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Company has asked the Issuing Bank to amend the Letter of Credit to provide that it is automatically extended from time to time unless notice of non-extension is provided by the Issuing Bank.</w:t>
      </w:r>
    </w:p>
    <w:p>
      <w:pPr>
        <w:spacing w:after="0" w:line="136"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The Banks (as defined in the Reimbursement Agreement) are willing to grant the Company's request, subject to the execution and delivery of this Amendment by each of the parties to the Reimbursement Agreement.</w:t>
      </w:r>
    </w:p>
    <w:p>
      <w:pPr>
        <w:spacing w:after="0" w:line="13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ACCORDINGLY, in consideration of the premises and the mutual covenants contained in the Reimbursement Agreement and this Amendment, the parties hereby agree as follows:</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Definitions.</w:t>
      </w:r>
    </w:p>
    <w:p>
      <w:pPr>
        <w:spacing w:after="0" w:line="181"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As used in this Amendment, capitalized terms defined in the Reimbursement Agreement that are not otherwise defined herein shall have the meanings given them in the Reimbursement Agreement.</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6"/>
          <w:szCs w:val="16"/>
          <w:b w:val="1"/>
          <w:bCs w:val="1"/>
          <w:color w:val="auto"/>
        </w:rPr>
        <w:t>Issuance of Letter of Credit Amendment.</w:t>
      </w:r>
    </w:p>
    <w:p>
      <w:pPr>
        <w:spacing w:after="0" w:line="181"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The Company hereby requests that the Issuing Bank issue its amendment to the Letter of Credit in the form of Exhibit A hereto. Subject to the conditions set forth in this Amendment, the Issuing Bank hereby agrees to issue such amendment to the Letter of Credit, and each Participating Bank consents thereto.</w:t>
      </w: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Amendment of Reimbursement Agreement.</w:t>
      </w:r>
    </w:p>
    <w:p>
      <w:pPr>
        <w:spacing w:after="0" w:line="181" w:lineRule="exact"/>
        <w:rPr>
          <w:sz w:val="20"/>
          <w:szCs w:val="20"/>
          <w:color w:val="auto"/>
        </w:rPr>
      </w:pPr>
    </w:p>
    <w:p>
      <w:pPr>
        <w:ind w:left="660" w:right="760" w:firstLine="645"/>
        <w:spacing w:after="0" w:line="260" w:lineRule="auto"/>
        <w:tabs>
          <w:tab w:leader="none" w:pos="1708"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Section 1.1 of the Reimbursement Agreement is hereby amended by inserting the following definition therein (in alphabetical order):</w:t>
      </w:r>
    </w:p>
    <w:p>
      <w:pPr>
        <w:spacing w:after="0" w:line="136" w:lineRule="exact"/>
        <w:rPr>
          <w:sz w:val="20"/>
          <w:szCs w:val="20"/>
          <w:color w:val="auto"/>
        </w:rPr>
      </w:pPr>
    </w:p>
    <w:p>
      <w:pPr>
        <w:ind w:left="1300" w:right="100"/>
        <w:spacing w:after="0" w:line="287" w:lineRule="auto"/>
        <w:rPr>
          <w:sz w:val="20"/>
          <w:szCs w:val="20"/>
          <w:color w:val="auto"/>
        </w:rPr>
      </w:pPr>
      <w:r>
        <w:rPr>
          <w:rFonts w:ascii="Arial" w:cs="Arial" w:eastAsia="Arial" w:hAnsi="Arial"/>
          <w:sz w:val="19"/>
          <w:szCs w:val="19"/>
          <w:i w:val="1"/>
          <w:iCs w:val="1"/>
          <w:color w:val="auto"/>
        </w:rPr>
        <w:t xml:space="preserve">“Non-Extension Notice” </w:t>
      </w:r>
      <w:r>
        <w:rPr>
          <w:rFonts w:ascii="Arial" w:cs="Arial" w:eastAsia="Arial" w:hAnsi="Arial"/>
          <w:sz w:val="19"/>
          <w:szCs w:val="19"/>
          <w:color w:val="auto"/>
        </w:rPr>
        <w:t>means notice by the Issuing Bank to the Trustee, in accordance with the terms of the Letter of Credit,</w:t>
      </w:r>
      <w:r>
        <w:rPr>
          <w:rFonts w:ascii="Arial" w:cs="Arial" w:eastAsia="Arial" w:hAnsi="Arial"/>
          <w:sz w:val="19"/>
          <w:szCs w:val="19"/>
          <w:i w:val="1"/>
          <w:iCs w:val="1"/>
          <w:color w:val="auto"/>
        </w:rPr>
        <w:t xml:space="preserve"> </w:t>
      </w:r>
      <w:r>
        <w:rPr>
          <w:rFonts w:ascii="Arial" w:cs="Arial" w:eastAsia="Arial" w:hAnsi="Arial"/>
          <w:sz w:val="19"/>
          <w:szCs w:val="19"/>
          <w:color w:val="auto"/>
        </w:rPr>
        <w:t>that the Issuing Bank has elected not to extend the Letter of Credit beyond the date specified in such notice.</w:t>
      </w:r>
    </w:p>
    <w:p>
      <w:pPr>
        <w:spacing w:after="0" w:line="112"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Section 2.15 of the Reimbursement Agreement is hereby amended in its entirety to read as follows:</w:t>
      </w:r>
    </w:p>
    <w:p>
      <w:pPr>
        <w:sectPr>
          <w:pgSz w:w="11900" w:h="16838" w:orient="portrait"/>
          <w:cols w:equalWidth="0" w:num="1">
            <w:col w:w="11420"/>
          </w:cols>
          <w:pgMar w:left="240" w:top="360" w:right="239" w:bottom="1440" w:gutter="0" w:footer="0" w:header="0"/>
        </w:sectPr>
      </w:pPr>
    </w:p>
    <w:bookmarkStart w:id="61" w:name="page62"/>
    <w:bookmarkEnd w:id="61"/>
    <w:p>
      <w:pPr>
        <w:ind w:left="100"/>
        <w:spacing w:after="0"/>
        <w:tabs>
          <w:tab w:leader="none" w:pos="1280" w:val="left"/>
        </w:tabs>
        <w:rPr>
          <w:sz w:val="20"/>
          <w:szCs w:val="20"/>
          <w:color w:val="auto"/>
        </w:rPr>
      </w:pPr>
      <w:r>
        <w:rPr>
          <w:rFonts w:ascii="Arial" w:cs="Arial" w:eastAsia="Arial" w:hAnsi="Arial"/>
          <w:sz w:val="20"/>
          <w:szCs w:val="20"/>
          <w:b w:val="1"/>
          <w:bCs w:val="1"/>
          <w:color w:val="auto"/>
        </w:rPr>
        <w:t>Section 2.15</w:t>
      </w:r>
      <w:r>
        <w:rPr>
          <w:sz w:val="20"/>
          <w:szCs w:val="20"/>
          <w:color w:val="auto"/>
        </w:rPr>
        <w:tab/>
      </w:r>
      <w:r>
        <w:rPr>
          <w:rFonts w:ascii="Arial" w:cs="Arial" w:eastAsia="Arial" w:hAnsi="Arial"/>
          <w:sz w:val="16"/>
          <w:szCs w:val="16"/>
          <w:b w:val="1"/>
          <w:bCs w:val="1"/>
          <w:color w:val="auto"/>
        </w:rPr>
        <w:t>Extension of Stated Expiration Date.</w:t>
      </w:r>
    </w:p>
    <w:p>
      <w:pPr>
        <w:spacing w:after="0" w:line="181" w:lineRule="exact"/>
        <w:rPr>
          <w:sz w:val="20"/>
          <w:szCs w:val="20"/>
          <w:color w:val="auto"/>
        </w:rPr>
      </w:pPr>
    </w:p>
    <w:p>
      <w:pPr>
        <w:ind w:left="100" w:firstLine="653"/>
        <w:spacing w:after="0" w:line="269" w:lineRule="auto"/>
        <w:tabs>
          <w:tab w:leader="none" w:pos="11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Letter of Credit provides by its terms that the Stated Expiration Date shall be automatically extended for successive one-year terms (but not later than July 5, 2018) unless the Issuing Bank provides a Non-Extension Notice not less than 30 days prior to the then-current Stated Expiration Date. The Issuing Bank may (and shall, if so directed by the Administrative Agent) provide such Non-Extension Notice at any time. The Administrative Agent shall direct the Issuing Bank to provide such Non-Extension Notice if so requested by the Company or any Participating Bank in writing to the Administrative Agent not more than 120 days and not less than 90 days prior to the then-applicable Stated Expiration Date. The Issuing Bank may issue any Non-Extension Notice, and any Participating Bank may make any request for issuance of a Non-Extension Notice under this Section 2.15, in each case in its sole and absolute discretion, whether or not any Potential Default or Event of Default exists. As a condition to allowing the extension of the Letter of Credit, any Bank may require the Company to deliver one or more amendments to this Agreement (which may include modifications to any fees or other amounts required to be paid hereunder) or certificates (which may cover, among other things, the continued accuracy of the representations and warranties made hereunder), or impose other conditions thereto. The Issuing Bank shall notify the Company of any decision not to extend the Stated Expiration Date promptly, and in any event not later than concurrently with the giving of such notice to the Trustee in accordance with the Letter of Credit. Unless notice of non-extension is provided in accordance with the Letter of Credit, the Stated Expiration Date shall be automatically extended in accordance with the terms of the Letter of Credit, and all references in this Agreement to the Stated Expiration Date shall be deemed to be references to the expiration date as so extended in accordance with the terms of the Letter of Credit.</w:t>
      </w:r>
    </w:p>
    <w:p>
      <w:pPr>
        <w:spacing w:after="0" w:line="134" w:lineRule="exact"/>
        <w:rPr>
          <w:rFonts w:ascii="Arial" w:cs="Arial" w:eastAsia="Arial" w:hAnsi="Arial"/>
          <w:sz w:val="18"/>
          <w:szCs w:val="18"/>
          <w:color w:val="auto"/>
        </w:rPr>
      </w:pPr>
    </w:p>
    <w:p>
      <w:pPr>
        <w:ind w:left="100" w:right="120" w:firstLine="653"/>
        <w:spacing w:after="0" w:line="243" w:lineRule="auto"/>
        <w:tabs>
          <w:tab w:leader="none" w:pos="1159" w:val="left"/>
        </w:tabs>
        <w:numPr>
          <w:ilvl w:val="1"/>
          <w:numId w:val="15"/>
        </w:numPr>
        <w:rPr>
          <w:rFonts w:ascii="Arial" w:cs="Arial" w:eastAsia="Arial" w:hAnsi="Arial"/>
          <w:sz w:val="20"/>
          <w:szCs w:val="20"/>
          <w:color w:val="auto"/>
        </w:rPr>
      </w:pPr>
      <w:r>
        <w:rPr>
          <w:rFonts w:ascii="Arial" w:cs="Arial" w:eastAsia="Arial" w:hAnsi="Arial"/>
          <w:sz w:val="20"/>
          <w:szCs w:val="20"/>
          <w:color w:val="auto"/>
        </w:rPr>
        <w:t>So long as the Company delivers a request for such notice to the Issuing Bank not more than 120 days and not less than 90 days prior to the then-applicable Stated Expiration Date, the Issuing Bank will notify the Company, not less than 75 days prior to the then-applicable Stated Expiration Date, if it intends to issue a Non-Extension Notice effective as of such Stated Expiration Date; provided, however, that nothing herein shall limit the Issuing Bank from issuing a Non-Extension Notice at any time while a Potential Default or Event of Default is continuing, even if the Issuing Bank has failed to give such notice of its intention.</w:t>
      </w:r>
    </w:p>
    <w:p>
      <w:pPr>
        <w:spacing w:after="0" w:line="155" w:lineRule="exact"/>
        <w:rPr>
          <w:rFonts w:ascii="Arial" w:cs="Arial" w:eastAsia="Arial" w:hAnsi="Arial"/>
          <w:sz w:val="20"/>
          <w:szCs w:val="20"/>
          <w:color w:val="auto"/>
        </w:rPr>
      </w:pPr>
    </w:p>
    <w:p>
      <w:pPr>
        <w:ind w:left="500" w:hanging="395"/>
        <w:spacing w:after="0"/>
        <w:tabs>
          <w:tab w:leader="none" w:pos="5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Section 7.10 of the Reimbursement Agreement is hereby amended in its entirety to read as follows:</w:t>
      </w:r>
    </w:p>
    <w:p>
      <w:pPr>
        <w:spacing w:after="0" w:line="169"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20"/>
          <w:szCs w:val="20"/>
          <w:b w:val="1"/>
          <w:bCs w:val="1"/>
          <w:color w:val="auto"/>
        </w:rPr>
        <w:t>Section 7.10</w:t>
      </w:r>
      <w:r>
        <w:rPr>
          <w:sz w:val="20"/>
          <w:szCs w:val="20"/>
          <w:color w:val="auto"/>
        </w:rPr>
        <w:tab/>
      </w:r>
      <w:r>
        <w:rPr>
          <w:rFonts w:ascii="Arial" w:cs="Arial" w:eastAsia="Arial" w:hAnsi="Arial"/>
          <w:sz w:val="16"/>
          <w:szCs w:val="16"/>
          <w:b w:val="1"/>
          <w:bCs w:val="1"/>
          <w:color w:val="auto"/>
        </w:rPr>
        <w:t>Amendments and Waivers.</w:t>
      </w:r>
    </w:p>
    <w:p>
      <w:pPr>
        <w:spacing w:after="0" w:line="181" w:lineRule="exact"/>
        <w:rPr>
          <w:sz w:val="20"/>
          <w:szCs w:val="20"/>
          <w:color w:val="auto"/>
        </w:rPr>
      </w:pPr>
    </w:p>
    <w:p>
      <w:pPr>
        <w:ind w:left="100" w:right="60"/>
        <w:spacing w:after="0" w:line="256" w:lineRule="auto"/>
        <w:rPr>
          <w:sz w:val="20"/>
          <w:szCs w:val="20"/>
          <w:color w:val="auto"/>
        </w:rPr>
      </w:pPr>
      <w:r>
        <w:rPr>
          <w:rFonts w:ascii="Arial" w:cs="Arial" w:eastAsia="Arial" w:hAnsi="Arial"/>
          <w:sz w:val="19"/>
          <w:szCs w:val="19"/>
          <w:color w:val="auto"/>
        </w:rPr>
        <w:t>Neither this Agreement nor any Related Document, nor any terms hereof or thereof may be amended, supplemented or modified except in accordance with the provisions of this subsection. The Majority Participating Banks may, or, with, but only with, the written consent of the Majority Participating Banks, the Administrative Agent or the Issuing Bank, as applicable, may, from time to time, (a) enter into with the Company written amendments, supplements or modifications hereto and to the other Financing Documents for the purpose of adding any provisions to this Agreement or the other Financing Documents or changing in any manner the rights of the Participating Banks or of the Company hereunder or thereunder or (b) waive, on such terms and conditions as the Majority Participating Banks or the Administrative Agent, as the case may be, may specify in such instrument, any of the requirements of an Event of Default and its consequences; provided, however, that no such waiver and no such amendment,</w:t>
      </w: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00"/>
          </w:cols>
          <w:pgMar w:left="1440" w:top="535" w:right="259" w:bottom="1440" w:gutter="0" w:footer="0" w:header="0"/>
        </w:sectPr>
      </w:pPr>
    </w:p>
    <w:bookmarkStart w:id="62" w:name="page63"/>
    <w:bookmarkEnd w:id="62"/>
    <w:p>
      <w:pPr>
        <w:ind w:left="1300" w:right="20"/>
        <w:spacing w:after="0" w:line="254" w:lineRule="auto"/>
        <w:rPr>
          <w:sz w:val="20"/>
          <w:szCs w:val="20"/>
          <w:color w:val="auto"/>
        </w:rPr>
      </w:pPr>
      <w:r>
        <w:rPr>
          <w:rFonts w:ascii="Arial" w:cs="Arial" w:eastAsia="Arial" w:hAnsi="Arial"/>
          <w:sz w:val="19"/>
          <w:szCs w:val="19"/>
          <w:color w:val="auto"/>
        </w:rPr>
        <w:t>supplement or modification shall, without the consent of each Participating Bank, (i) reduce the amount or extend the scheduled date of maturity of any Obligation or any installment thereof, or reduce the stated rate of any interest or fee payable hereunder or extend the scheduled date of any payment thereof or increase the amount or extend the Stated Expiration Date, in each case without the consent of each Participating Bank affected thereby (provided, however, that each Participating Bank shall be deemed to have given its consent to any automatic extension of the Stated Expiration Date in accordance with the terms of the Letter of Credit unless, in accordance with Section 2.15, such Participating Bank has directed the Administrative Agent to direct the Issuing Bank to give a Non-Extension Notice), or (ii) amend, modify or waive any provision of this subsection or reduce the percentage specified in the definition of Majority Participating Banks, or consent to the assignment or transfer by the Company of any of its rights and obligations under this Agreement and the other Financing Documents, in each case without the written consent of all the Participating Banks, or (iii) amend, modify or waive any provision of Article VIII or any provision hereunder affecting the rights or obligations of the Issuing Bank without the written consent of the Administrative Agent or the Issuing Bank, respectively. Any such waiver and any such amendment, supplement or modification shall apply equally to each of the Participating Banks and shall be binding upon the Company, the Participating Banks, the Issuing Bank and the Administrative Agent. In the case of any waiver, the Company, the Participating Banks, the Issuing Bank and the Administrative Agent shall be restored to their former positions and rights hereunder and under the other Financing Documents, and any Potential Default or Event of Default waived shall be deemed to be cured and not continuing; no such waiver shall extend to any subsequent or other Potential Default or Event of Default or impair any right consequent thereon.</w:t>
      </w: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Representations and Warranties.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Company hereby represents and warrants to the Banks as follows:</w:t>
      </w:r>
    </w:p>
    <w:p>
      <w:pPr>
        <w:spacing w:after="0" w:line="175" w:lineRule="exact"/>
        <w:rPr>
          <w:sz w:val="20"/>
          <w:szCs w:val="20"/>
          <w:color w:val="auto"/>
        </w:rPr>
      </w:pPr>
    </w:p>
    <w:p>
      <w:pPr>
        <w:ind w:left="660" w:firstLine="645"/>
        <w:spacing w:after="0" w:line="259" w:lineRule="auto"/>
        <w:tabs>
          <w:tab w:leader="none" w:pos="1708"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Company has all requisite power and authority, corporate or otherwise, to execute and deliver this Amendment and to perform all of its obligations under this Amendment and under the Reimbursement Agreement as amended hereby. This Amendment has been duly and validly executed and delivered to the Administrative Agent by the Company, and this Amendment, and the Reimbursement Agreement as amended hereby, constitute the legal, valid and binding obligation of the Company, enforceable in accordance with its terms, except that the enforceability thereof may be limited by applicable bankruptcy, insolvency, or other laws affecting the enforcement of creditors' rights generally and by equitable principles.</w:t>
      </w:r>
    </w:p>
    <w:p>
      <w:pPr>
        <w:spacing w:after="0" w:line="138" w:lineRule="exact"/>
        <w:rPr>
          <w:rFonts w:ascii="Arial" w:cs="Arial" w:eastAsia="Arial" w:hAnsi="Arial"/>
          <w:sz w:val="19"/>
          <w:szCs w:val="19"/>
          <w:color w:val="auto"/>
        </w:rPr>
      </w:pPr>
    </w:p>
    <w:p>
      <w:pPr>
        <w:ind w:left="660" w:right="140" w:firstLine="645"/>
        <w:spacing w:after="0" w:line="259" w:lineRule="auto"/>
        <w:tabs>
          <w:tab w:leader="none" w:pos="1719"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execution, delivery and performance of this Amendment, and the performance of the Reimbursement Agreement as amended hereby, have been duly authorized by all necessary action and do not and will not (i) require any authorization, consent or approval by any governmental department, commission, board, bureau, agency or instrumentality, domestic or foreign, (ii) violate the Company's articles of incorporation or bylaws or any provision of any law, rule, regulation or order presently in effect having applicability to the Company, or (iii) result in a breach of or constitute a default under any indenture or agreement to which the Company is a party or by which the Company or its properties may be bound or affected.</w:t>
      </w:r>
    </w:p>
    <w:p>
      <w:pPr>
        <w:spacing w:after="0" w:line="138" w:lineRule="exact"/>
        <w:rPr>
          <w:rFonts w:ascii="Arial" w:cs="Arial" w:eastAsia="Arial" w:hAnsi="Arial"/>
          <w:sz w:val="19"/>
          <w:szCs w:val="19"/>
          <w:color w:val="auto"/>
        </w:rPr>
      </w:pPr>
    </w:p>
    <w:p>
      <w:pPr>
        <w:ind w:left="660" w:right="200" w:firstLine="645"/>
        <w:spacing w:after="0" w:line="250" w:lineRule="auto"/>
        <w:tabs>
          <w:tab w:leader="none" w:pos="170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All of the representations and warranties contained in Article IV of the Reimbursement Agreement, as amended hereby, are correct on and as of the date hereof as though made on and as of such date, except to the extent that such representations and warranties relate solely to an earlier date.</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41" w:right="279" w:bottom="1440" w:gutter="0" w:footer="0" w:header="0"/>
        </w:sectPr>
      </w:pPr>
    </w:p>
    <w:bookmarkStart w:id="63" w:name="page64"/>
    <w:bookmarkEnd w:id="63"/>
    <w:p>
      <w:pPr>
        <w:spacing w:after="0"/>
        <w:tabs>
          <w:tab w:leader="none" w:pos="32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Conditions.</w:t>
      </w:r>
    </w:p>
    <w:p>
      <w:pPr>
        <w:spacing w:after="0" w:line="181"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The obligations of the Issuing Bank under Section 2 and the amendments set forth in Section 3 shall be effective only if the Administrative Agent has received, on or before the date hereof (or such later date as the Administrative Agent may agree to in writing), the following, each satisfactory to the Administrative Agent in form and substance:</w:t>
      </w:r>
    </w:p>
    <w:p>
      <w:pPr>
        <w:spacing w:after="0" w:line="146" w:lineRule="exact"/>
        <w:rPr>
          <w:sz w:val="20"/>
          <w:szCs w:val="20"/>
          <w:color w:val="auto"/>
        </w:rPr>
      </w:pPr>
    </w:p>
    <w:p>
      <w:pPr>
        <w:ind w:left="1700" w:hanging="395"/>
        <w:spacing w:after="0"/>
        <w:tabs>
          <w:tab w:leader="none" w:pos="1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This Amendment, duly executed by the Company.</w:t>
      </w:r>
    </w:p>
    <w:p>
      <w:pPr>
        <w:spacing w:after="0" w:line="175" w:lineRule="exact"/>
        <w:rPr>
          <w:rFonts w:ascii="Arial" w:cs="Arial" w:eastAsia="Arial" w:hAnsi="Arial"/>
          <w:sz w:val="20"/>
          <w:szCs w:val="20"/>
          <w:color w:val="auto"/>
        </w:rPr>
      </w:pPr>
    </w:p>
    <w:p>
      <w:pPr>
        <w:ind w:left="660" w:firstLine="645"/>
        <w:spacing w:after="0" w:line="232" w:lineRule="exact"/>
        <w:tabs>
          <w:tab w:leader="none" w:pos="17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certificate of the secretary or other appropriate officer of the Company (i) certifying that the execution, delivery and performance by the Company of this Amendment, and the performance of the Reimbursement Agreement as amended hereby, have been duly approved by all necessary action of the Company, and attaching true and correct copies of the applicable resolutions granting such approval, (ii) certifying that there have been no amendments to or restatements of the Company's by</w:t>
      </w:r>
      <w:r>
        <w:rPr>
          <w:rFonts w:ascii="MS PGothic" w:cs="MS PGothic" w:eastAsia="MS PGothic" w:hAnsi="MS PGothic"/>
          <w:sz w:val="18"/>
          <w:szCs w:val="18"/>
          <w:color w:val="auto"/>
        </w:rPr>
        <w:t>‑</w:t>
      </w:r>
      <w:r>
        <w:rPr>
          <w:rFonts w:ascii="Arial" w:cs="Arial" w:eastAsia="Arial" w:hAnsi="Arial"/>
          <w:sz w:val="18"/>
          <w:szCs w:val="18"/>
          <w:color w:val="auto"/>
        </w:rPr>
        <w:t>laws and articles of incorporation as furnished to the Administrative Agent in connection with the execution and delivery of the Reimbursement Agreement, other than those that may be attached to the certificate, and (iii) certifying the names of the officers of the Company that are authorized to sign this Amendment, together with the true signatures of such officers.</w:t>
      </w:r>
    </w:p>
    <w:p>
      <w:pPr>
        <w:spacing w:after="0" w:line="158" w:lineRule="exact"/>
        <w:rPr>
          <w:rFonts w:ascii="Arial" w:cs="Arial" w:eastAsia="Arial" w:hAnsi="Arial"/>
          <w:sz w:val="18"/>
          <w:szCs w:val="18"/>
          <w:color w:val="auto"/>
        </w:rPr>
      </w:pPr>
    </w:p>
    <w:p>
      <w:pPr>
        <w:ind w:left="660" w:right="20" w:firstLine="645"/>
        <w:spacing w:after="0" w:line="260" w:lineRule="auto"/>
        <w:tabs>
          <w:tab w:leader="none" w:pos="17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certificate of good standing for the Company from the Secretary of State of the State of Minnesota, dated not more than 30 days prior to the date hereof.</w:t>
      </w:r>
    </w:p>
    <w:p>
      <w:pPr>
        <w:spacing w:after="0" w:line="136" w:lineRule="exact"/>
        <w:rPr>
          <w:rFonts w:ascii="Arial" w:cs="Arial" w:eastAsia="Arial" w:hAnsi="Arial"/>
          <w:sz w:val="20"/>
          <w:szCs w:val="20"/>
          <w:color w:val="auto"/>
        </w:rPr>
      </w:pPr>
    </w:p>
    <w:p>
      <w:pPr>
        <w:ind w:left="660" w:right="300" w:firstLine="645"/>
        <w:spacing w:after="0" w:line="260" w:lineRule="auto"/>
        <w:tabs>
          <w:tab w:leader="none" w:pos="1719"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signed copy of an opinion of counsel for the Company, addressed to the Banks, opining as to the matters set forth in Section 4 (other than those in Section 4(c)) and such other matters as any Bank may require.</w:t>
      </w:r>
    </w:p>
    <w:p>
      <w:pPr>
        <w:spacing w:after="0" w:line="136" w:lineRule="exact"/>
        <w:rPr>
          <w:rFonts w:ascii="Arial" w:cs="Arial" w:eastAsia="Arial" w:hAnsi="Arial"/>
          <w:sz w:val="20"/>
          <w:szCs w:val="20"/>
          <w:color w:val="auto"/>
        </w:rPr>
      </w:pPr>
    </w:p>
    <w:p>
      <w:pPr>
        <w:ind w:left="660" w:right="440" w:firstLine="645"/>
        <w:spacing w:after="0" w:line="250" w:lineRule="auto"/>
        <w:tabs>
          <w:tab w:leader="none" w:pos="170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To the extent requested by the Administrative Agent, payment or reimbursement in full for all reasonable legal fees charged, and all costs and expenses incurred, by counsel for the Banks through the date hereof in connection with the transactions contemplated under this Amendment.</w:t>
      </w: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6"/>
          <w:szCs w:val="16"/>
          <w:b w:val="1"/>
          <w:bCs w:val="1"/>
          <w:color w:val="auto"/>
        </w:rPr>
        <w:t>Miscellaneous.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Company shall pay all costs and expenses of the Banks, including attorneys' fees, incurred in connection with the drafting and preparation of this Amendment and any related documents. Except as amended by this Amendment, all of the terms and conditions of the Reimbursement Agreement shall remain in full force and effect. This Amendment may be executed in any number of counterparts, each of which when so executed and delivered shall be deemed to be an original and all of which counterparts of this Amendment, taken together, shall constitute but one and the same instrument. Delivery of an executed counterpart of a signature page to this Amendment by facsimile or by e-mail transmission of a PDF or similar copy shall be equally as effective as delivery of an original executed counterpart of this Amendment. Any party delivering an executed counterpart signature page to this Amendment by facsimile or by e-mail transmission shall also deliver an original executed counterpart of this Amendment but the failure to deliver an original executed counterpart shall not affect the validity, enforceability or binding effect of this Amendment. This Amendment shall be governed by the substantive law of the State of Minnesota.</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35"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In witness whereof, the parties hereto have executed this Amendment as of the day and year first above written.</w:t>
      </w:r>
    </w:p>
    <w:p>
      <w:pPr>
        <w:spacing w:after="0" w:line="200" w:lineRule="exact"/>
        <w:rPr>
          <w:sz w:val="20"/>
          <w:szCs w:val="20"/>
          <w:color w:val="auto"/>
        </w:rPr>
      </w:pPr>
    </w:p>
    <w:p>
      <w:pPr>
        <w:spacing w:after="0" w:line="397"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6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Pr>
          <w:p>
            <w:pPr>
              <w:jc w:val="center"/>
              <w:spacing w:after="0"/>
              <w:rPr>
                <w:sz w:val="20"/>
                <w:szCs w:val="20"/>
                <w:color w:val="auto"/>
              </w:rPr>
            </w:pPr>
            <w:r>
              <w:rPr>
                <w:rFonts w:ascii="Arial" w:cs="Arial" w:eastAsia="Arial" w:hAnsi="Arial"/>
                <w:sz w:val="18"/>
                <w:szCs w:val="18"/>
                <w:color w:val="auto"/>
                <w:w w:val="92"/>
              </w:rPr>
              <w:t>/s/ Mark A. Schober</w:t>
            </w:r>
          </w:p>
        </w:tc>
      </w:tr>
      <w:tr>
        <w:trPr>
          <w:trHeight w:val="27"/>
        </w:trPr>
        <w:tc>
          <w:tcPr>
            <w:tcW w:w="5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Mark A. Schober</w:t>
            </w:r>
          </w:p>
        </w:tc>
      </w:tr>
      <w:tr>
        <w:trPr>
          <w:trHeight w:val="27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Sr. Vice President and CFO</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00"/>
        <w:spacing w:after="0"/>
        <w:rPr>
          <w:sz w:val="20"/>
          <w:szCs w:val="20"/>
          <w:color w:val="auto"/>
        </w:rPr>
      </w:pPr>
      <w:r>
        <w:rPr>
          <w:rFonts w:ascii="Arial" w:cs="Arial" w:eastAsia="Arial" w:hAnsi="Arial"/>
          <w:sz w:val="18"/>
          <w:szCs w:val="18"/>
          <w:i w:val="1"/>
          <w:iCs w:val="1"/>
          <w:color w:val="auto"/>
        </w:rPr>
        <w:t>Signature Page for First Amendment to Letter of Credit Agreement</w:t>
      </w:r>
    </w:p>
    <w:p>
      <w:pPr>
        <w:sectPr>
          <w:pgSz w:w="11900" w:h="16838" w:orient="portrait"/>
          <w:cols w:equalWidth="0" w:num="1">
            <w:col w:w="10219"/>
          </w:cols>
          <w:pgMar w:left="240" w:top="825" w:right="1440" w:bottom="1440" w:gutter="0" w:footer="0" w:header="0"/>
        </w:sectPr>
      </w:pPr>
    </w:p>
    <w:bookmarkStart w:id="65" w:name="page66"/>
    <w:bookmarkEnd w:id="65"/>
    <w:p>
      <w:pPr>
        <w:ind w:left="3340" w:hanging="323"/>
        <w:spacing w:after="0" w:line="267" w:lineRule="auto"/>
        <w:rPr>
          <w:sz w:val="20"/>
          <w:szCs w:val="20"/>
          <w:color w:val="auto"/>
        </w:rPr>
      </w:pPr>
      <w:r>
        <w:rPr>
          <w:rFonts w:ascii="Arial" w:cs="Arial" w:eastAsia="Arial" w:hAnsi="Arial"/>
          <w:sz w:val="20"/>
          <w:szCs w:val="20"/>
          <w:b w:val="1"/>
          <w:bCs w:val="1"/>
          <w:color w:val="auto"/>
        </w:rPr>
        <w:t>WELLS FARGO BANK, NATIONAL ASSOCIATION, as Administrative Agent, as Issuing Bank and as a Participating Bank</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51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/s/ Nick Brokke</w:t>
            </w:r>
          </w:p>
        </w:tc>
      </w:tr>
      <w:tr>
        <w:trPr>
          <w:trHeight w:val="27"/>
        </w:trPr>
        <w:tc>
          <w:tcPr>
            <w:tcW w:w="5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2540" w:type="dxa"/>
            <w:vAlign w:val="bottom"/>
          </w:tcPr>
          <w:p>
            <w:pPr>
              <w:jc w:val="center"/>
              <w:spacing w:after="0"/>
              <w:rPr>
                <w:sz w:val="20"/>
                <w:szCs w:val="20"/>
                <w:color w:val="auto"/>
              </w:rPr>
            </w:pPr>
            <w:r>
              <w:rPr>
                <w:rFonts w:ascii="Arial" w:cs="Arial" w:eastAsia="Arial" w:hAnsi="Arial"/>
                <w:sz w:val="18"/>
                <w:szCs w:val="18"/>
                <w:color w:val="auto"/>
                <w:w w:val="97"/>
              </w:rPr>
              <w:t>Nick Brokke</w:t>
            </w:r>
          </w:p>
        </w:tc>
      </w:tr>
      <w:tr>
        <w:trPr>
          <w:trHeight w:val="27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100"/>
        <w:spacing w:after="0"/>
        <w:rPr>
          <w:sz w:val="20"/>
          <w:szCs w:val="20"/>
          <w:color w:val="auto"/>
        </w:rPr>
      </w:pPr>
      <w:r>
        <w:rPr>
          <w:rFonts w:ascii="Arial" w:cs="Arial" w:eastAsia="Arial" w:hAnsi="Arial"/>
          <w:sz w:val="18"/>
          <w:szCs w:val="18"/>
          <w:i w:val="1"/>
          <w:iCs w:val="1"/>
          <w:color w:val="auto"/>
        </w:rPr>
        <w:t>Signature Page for First Amendment to Letter of Credit Agreement</w:t>
      </w:r>
    </w:p>
    <w:p>
      <w:pPr>
        <w:sectPr>
          <w:pgSz w:w="11900" w:h="16838" w:orient="portrait"/>
          <w:cols w:equalWidth="0" w:num="1">
            <w:col w:w="10100"/>
          </w:cols>
          <w:pgMar w:left="1440" w:top="995" w:right="35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b w:val="1"/>
          <w:bCs w:val="1"/>
          <w:u w:val="single" w:color="auto"/>
          <w:color w:val="auto"/>
        </w:rPr>
        <w:t>Exhibit A</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Letter of Credit Amendment</w:t>
      </w:r>
    </w:p>
    <w:p>
      <w:pPr>
        <w:spacing w:after="0" w:line="204" w:lineRule="exact"/>
        <w:rPr>
          <w:sz w:val="20"/>
          <w:szCs w:val="20"/>
          <w:color w:val="auto"/>
        </w:rPr>
      </w:pPr>
    </w:p>
    <w:p>
      <w:pPr>
        <w:jc w:val="center"/>
        <w:ind w:right="1200"/>
        <w:spacing w:after="0"/>
        <w:rPr>
          <w:sz w:val="20"/>
          <w:szCs w:val="20"/>
          <w:color w:val="auto"/>
        </w:rPr>
      </w:pPr>
      <w:r>
        <w:rPr>
          <w:rFonts w:ascii="Arial" w:cs="Arial" w:eastAsia="Arial" w:hAnsi="Arial"/>
          <w:sz w:val="20"/>
          <w:szCs w:val="20"/>
          <w:i w:val="1"/>
          <w:iCs w:val="1"/>
          <w:color w:val="auto"/>
        </w:rPr>
        <w:t>See attached.</w:t>
      </w:r>
    </w:p>
    <w:p>
      <w:pPr>
        <w:spacing w:after="0" w:line="24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0220"/>
          </w:cols>
          <w:pgMar w:left="1440" w:top="576" w:right="239" w:bottom="1440" w:gutter="0" w:footer="0" w:header="0"/>
        </w:sectPr>
      </w:pPr>
    </w:p>
    <w:bookmarkStart w:id="67" w:name="page68"/>
    <w:bookmarkEnd w:id="67"/>
    <w:p>
      <w:pPr>
        <w:ind w:left="5840"/>
        <w:spacing w:after="0"/>
        <w:rPr>
          <w:sz w:val="20"/>
          <w:szCs w:val="20"/>
          <w:color w:val="auto"/>
        </w:rPr>
      </w:pPr>
      <w:r>
        <w:rPr>
          <w:rFonts w:ascii="Arial" w:cs="Arial" w:eastAsia="Arial" w:hAnsi="Arial"/>
          <w:sz w:val="16"/>
          <w:szCs w:val="16"/>
          <w:color w:val="auto"/>
        </w:rPr>
        <w:t>Wells Fargo Bank, N.A.</w:t>
      </w:r>
    </w:p>
    <w:p>
      <w:pPr>
        <w:spacing w:after="0" w:line="2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U. S. Trade Services</w:t>
      </w:r>
    </w:p>
    <w:p>
      <w:pPr>
        <w:spacing w:after="0" w:line="2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Standby Letters of Credit</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MAC A0195-212</w:t>
      </w:r>
    </w:p>
    <w:p>
      <w:pPr>
        <w:spacing w:after="0" w:line="21"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One Front Street, 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Floor</w:t>
      </w:r>
    </w:p>
    <w:p>
      <w:pPr>
        <w:ind w:left="6500"/>
        <w:spacing w:after="0"/>
        <w:rPr>
          <w:sz w:val="20"/>
          <w:szCs w:val="20"/>
          <w:color w:val="auto"/>
        </w:rPr>
      </w:pPr>
      <w:r>
        <w:rPr>
          <w:rFonts w:ascii="Arial" w:cs="Arial" w:eastAsia="Arial" w:hAnsi="Arial"/>
          <w:sz w:val="16"/>
          <w:szCs w:val="16"/>
          <w:color w:val="auto"/>
        </w:rPr>
        <w:t>San Francisco, CA. 94111</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Phone: 1(800) 798-2815 Option 1</w:t>
      </w:r>
    </w:p>
    <w:p>
      <w:pPr>
        <w:spacing w:after="0" w:line="55"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E-Mail: sftrade@wellsfargo.com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Irrevocable Standby Letter Of Credit</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Number : NZS569069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Number : 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 Date : June 1, 2013</w:t>
      </w:r>
    </w:p>
    <w:p>
      <w:pPr>
        <w:sectPr>
          <w:pgSz w:w="11900" w:h="16838" w:orient="portrait"/>
          <w:cols w:equalWidth="0" w:num="1">
            <w:col w:w="11340"/>
          </w:cols>
          <w:pgMar w:left="240" w:top="589" w:right="3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BENEFICIARY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APPLICANT</w:t>
      </w:r>
    </w:p>
    <w:p>
      <w:pPr>
        <w:spacing w:after="0" w:line="200" w:lineRule="exact"/>
        <w:rPr>
          <w:sz w:val="20"/>
          <w:szCs w:val="20"/>
          <w:color w:val="auto"/>
        </w:rPr>
      </w:pPr>
    </w:p>
    <w:p>
      <w:pPr>
        <w:sectPr>
          <w:pgSz w:w="11900" w:h="16838" w:orient="portrait"/>
          <w:cols w:equalWidth="0" w:num="2">
            <w:col w:w="1580" w:space="720"/>
            <w:col w:w="9040"/>
          </w:cols>
          <w:pgMar w:left="240" w:top="589" w:right="319" w:bottom="1440" w:gutter="0" w:footer="0" w:header="0"/>
          <w:type w:val="continuous"/>
        </w:sectPr>
      </w:pPr>
    </w:p>
    <w:p>
      <w:pPr>
        <w:spacing w:after="0" w:line="37"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U.S. BANK NATIONAL ASSOCIATION</w:t>
      </w:r>
      <w:r>
        <w:rPr>
          <w:sz w:val="20"/>
          <w:szCs w:val="20"/>
          <w:color w:val="auto"/>
        </w:rPr>
        <w:tab/>
      </w:r>
      <w:r>
        <w:rPr>
          <w:rFonts w:ascii="Arial" w:cs="Arial" w:eastAsia="Arial" w:hAnsi="Arial"/>
          <w:sz w:val="17"/>
          <w:szCs w:val="17"/>
          <w:color w:val="auto"/>
        </w:rPr>
        <w:t>ALLETE, INC.</w:t>
      </w:r>
    </w:p>
    <w:p>
      <w:pPr>
        <w:spacing w:after="0" w:line="23"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color w:val="auto"/>
        </w:rPr>
        <w:t>ATTENTION: CORP. TRUST DEPT.</w:t>
      </w:r>
      <w:r>
        <w:rPr>
          <w:sz w:val="20"/>
          <w:szCs w:val="20"/>
          <w:color w:val="auto"/>
        </w:rPr>
        <w:tab/>
      </w:r>
      <w:r>
        <w:rPr>
          <w:rFonts w:ascii="Arial" w:cs="Arial" w:eastAsia="Arial" w:hAnsi="Arial"/>
          <w:sz w:val="16"/>
          <w:szCs w:val="16"/>
          <w:color w:val="auto"/>
        </w:rPr>
        <w:t>30 W. SUPERIOR STREET</w:t>
      </w:r>
    </w:p>
    <w:p>
      <w:pPr>
        <w:spacing w:after="0" w:line="9"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60 LIVINGSTON AVENUE</w:t>
      </w:r>
      <w:r>
        <w:rPr>
          <w:sz w:val="20"/>
          <w:szCs w:val="20"/>
          <w:color w:val="auto"/>
        </w:rPr>
        <w:tab/>
      </w:r>
      <w:r>
        <w:rPr>
          <w:rFonts w:ascii="Arial" w:cs="Arial" w:eastAsia="Arial" w:hAnsi="Arial"/>
          <w:sz w:val="17"/>
          <w:szCs w:val="17"/>
          <w:color w:val="auto"/>
        </w:rPr>
        <w:t>ATTN: RICHARD AUSMAN-CASH MGR</w:t>
      </w:r>
    </w:p>
    <w:p>
      <w:pPr>
        <w:spacing w:after="0" w:line="9"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ST. PAUL, MINNESOTA 55107</w:t>
      </w:r>
      <w:r>
        <w:rPr>
          <w:sz w:val="20"/>
          <w:szCs w:val="20"/>
          <w:color w:val="auto"/>
        </w:rPr>
        <w:tab/>
      </w:r>
      <w:r>
        <w:rPr>
          <w:rFonts w:ascii="Arial" w:cs="Arial" w:eastAsia="Arial" w:hAnsi="Arial"/>
          <w:sz w:val="17"/>
          <w:szCs w:val="17"/>
          <w:color w:val="auto"/>
        </w:rPr>
        <w:t>DULUTH, MINNESOTA 55802</w:t>
      </w:r>
    </w:p>
    <w:p>
      <w:pPr>
        <w:sectPr>
          <w:pgSz w:w="11900" w:h="16838" w:orient="portrait"/>
          <w:cols w:equalWidth="0" w:num="1">
            <w:col w:w="11340"/>
          </w:cols>
          <w:pgMar w:left="240" w:top="589" w:right="31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AT THE REQUEST AND FOR THE ACCOUNT OF THE ABOVE REFERENCED APPLICANT, WE HEREBY AMEND OUR IRREVOCABLE STANDBY LETTER OF CREDIT (THE “WELLS CREDIT”) IN YOUR FAVOR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THIRD PARAGRAPH OF THE FIRST PAGE OF OUR LETTER OF CREDIT DATED JULY 5, 2006 IS NOW TO READ: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LETTER OF CREDIT EXPIRES AT OUR LETTER OF CREDIT OPERATIONS OFFICE IN SAN FRANCISCO, CALIFORNIA ON JULY 5, 2014,</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BUT SHALL BE AUTOMATICALLY EXTENDED, WITHOUT WRITTEN AMENDMENT, TO JULY 5 IN EACH SUCCEEDING CALENDAR YEAR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UP TO, BUT NOT BEYOND, JULY 5, 2018 UNLESS YOU HAVE RECEIVED WRITTEN NOTICE FROM US SENT BY EXPRESS COURIER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REGISTERED MAIL TO YOUR ADDRESS ABOVE, OR BY FACSIMILE TRANSMISSION TO YOUR FAX NUMBER 651-466-7430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BENEFICIARY FAX NUMBER</w:t>
      </w:r>
      <w:r>
        <w:rPr>
          <w:rFonts w:ascii="Arial" w:cs="Arial" w:eastAsia="Arial" w:hAnsi="Arial"/>
          <w:sz w:val="17"/>
          <w:szCs w:val="17"/>
          <w:color w:val="auto"/>
        </w:rPr>
        <w:t>”), THAT WE ELECT NOT TO EXTEND THIS LETTER OF CREDIT BEYOND THE DATE SPECIFIED IN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NOTICE, WHICH DATE WILL BE A DATE BEFORE JULY 5, 2018. (THE EARLIER OF (I) THE DATE SPECIFIED IN SUCH NOTICE FROM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(II) JULY 5, 2018, OR IF SUCH EARLIER DATE IS NOT A BUSINESS DAY THEN THE FIRST (1ST) SUCCEEDING BUSINESS DAY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THEREAFTER, WILL BE HEREINAFTER REFERRED TO AS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TO BE EFFECTIVE, SUCH NOTICE FROM US MUST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 RECEIVED BY YOU AT LEAST 30 CALENDAR DAYS BEFORE THE EXPIRATION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REMAIN UNCHANGED.</w:t>
      </w:r>
    </w:p>
    <w:p>
      <w:pPr>
        <w:spacing w:after="0" w:line="225" w:lineRule="exact"/>
        <w:rPr>
          <w:sz w:val="20"/>
          <w:szCs w:val="20"/>
          <w:color w:val="auto"/>
        </w:rPr>
      </w:pPr>
    </w:p>
    <w:p>
      <w:pPr>
        <w:ind w:right="1800"/>
        <w:spacing w:after="0" w:line="498" w:lineRule="auto"/>
        <w:rPr>
          <w:sz w:val="20"/>
          <w:szCs w:val="20"/>
          <w:color w:val="auto"/>
        </w:rPr>
      </w:pPr>
      <w:r>
        <w:rPr>
          <w:rFonts w:ascii="Arial" w:cs="Arial" w:eastAsia="Arial" w:hAnsi="Arial"/>
          <w:sz w:val="18"/>
          <w:szCs w:val="18"/>
          <w:color w:val="auto"/>
        </w:rPr>
        <w:t>THIS AMENDMENT IS TO BE ATTACHED TO THE ORIGINAL WELLS CREDIT AND IS AN INTEGRAL PART THEREOF. Very Truly Yours,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BANK, N.A.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original of the Letter of Credit contains an embossed seal over the Authorized Signature.</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340"/>
          </w:cols>
          <w:pgMar w:left="240" w:top="589" w:right="319" w:bottom="1440" w:gutter="0" w:footer="0" w:header="0"/>
          <w:type w:val="continuous"/>
        </w:sectPr>
      </w:pPr>
    </w:p>
    <w:bookmarkStart w:id="68" w:name="page69"/>
    <w:bookmarkEnd w:id="68"/>
    <w:p>
      <w:pPr>
        <w:ind w:right="3040"/>
        <w:spacing w:after="0" w:line="342" w:lineRule="auto"/>
        <w:rPr>
          <w:sz w:val="20"/>
          <w:szCs w:val="20"/>
          <w:color w:val="auto"/>
        </w:rPr>
      </w:pPr>
      <w:r>
        <w:rPr>
          <w:rFonts w:ascii="Arial" w:cs="Arial" w:eastAsia="Arial" w:hAnsi="Arial"/>
          <w:sz w:val="16"/>
          <w:szCs w:val="16"/>
          <w:color w:val="auto"/>
        </w:rPr>
        <w:t xml:space="preserve">Please direct any written correspondence or inquiries regarding this Letter of Credit, always quoting our reference number, to </w:t>
      </w:r>
      <w:r>
        <w:rPr>
          <w:rFonts w:ascii="Arial" w:cs="Arial" w:eastAsia="Arial" w:hAnsi="Arial"/>
          <w:sz w:val="16"/>
          <w:szCs w:val="16"/>
          <w:b w:val="1"/>
          <w:bCs w:val="1"/>
          <w:color w:val="auto"/>
        </w:rPr>
        <w:t>Wells Fargo Bank, National Association,</w:t>
      </w:r>
      <w:r>
        <w:rPr>
          <w:rFonts w:ascii="Arial" w:cs="Arial" w:eastAsia="Arial" w:hAnsi="Arial"/>
          <w:sz w:val="16"/>
          <w:szCs w:val="16"/>
          <w:color w:val="auto"/>
        </w:rPr>
        <w:t xml:space="preserve"> Attn: U.S. Standby Trade Services</w:t>
      </w:r>
    </w:p>
    <w:p>
      <w:pPr>
        <w:spacing w:after="0" w:line="286" w:lineRule="exact"/>
        <w:rPr>
          <w:sz w:val="20"/>
          <w:szCs w:val="20"/>
          <w:color w:val="auto"/>
        </w:rPr>
      </w:pPr>
    </w:p>
    <w:p>
      <w:pPr>
        <w:ind w:left="40"/>
        <w:spacing w:after="0"/>
        <w:tabs>
          <w:tab w:leader="none" w:pos="940" w:val="left"/>
          <w:tab w:leader="none" w:pos="5720" w:val="left"/>
          <w:tab w:leader="none" w:pos="6640" w:val="left"/>
        </w:tabs>
        <w:rPr>
          <w:sz w:val="20"/>
          <w:szCs w:val="20"/>
          <w:color w:val="auto"/>
        </w:rPr>
      </w:pPr>
      <w:r>
        <w:rPr>
          <w:rFonts w:ascii="Arial" w:cs="Arial" w:eastAsia="Arial" w:hAnsi="Arial"/>
          <w:sz w:val="18"/>
          <w:szCs w:val="18"/>
          <w:b w:val="1"/>
          <w:bCs w:val="1"/>
          <w:i w:val="1"/>
          <w:iCs w:val="1"/>
          <w:color w:val="auto"/>
        </w:rPr>
        <w:t>at either</w:t>
      </w:r>
      <w:r>
        <w:rPr>
          <w:sz w:val="20"/>
          <w:szCs w:val="20"/>
          <w:color w:val="auto"/>
        </w:rPr>
        <w:tab/>
      </w:r>
      <w:r>
        <w:rPr>
          <w:rFonts w:ascii="Arial" w:cs="Arial" w:eastAsia="Arial" w:hAnsi="Arial"/>
          <w:sz w:val="18"/>
          <w:szCs w:val="18"/>
          <w:color w:val="auto"/>
        </w:rPr>
        <w:t>One Front Street</w:t>
      </w:r>
      <w:r>
        <w:rPr>
          <w:sz w:val="20"/>
          <w:szCs w:val="20"/>
          <w:color w:val="auto"/>
        </w:rPr>
        <w:tab/>
      </w:r>
      <w:r>
        <w:rPr>
          <w:rFonts w:ascii="Arial" w:cs="Arial" w:eastAsia="Arial" w:hAnsi="Arial"/>
          <w:sz w:val="18"/>
          <w:szCs w:val="18"/>
          <w:b w:val="1"/>
          <w:bCs w:val="1"/>
          <w:i w:val="1"/>
          <w:iCs w:val="1"/>
          <w:color w:val="auto"/>
        </w:rPr>
        <w:t>or</w:t>
      </w:r>
      <w:r>
        <w:rPr>
          <w:sz w:val="20"/>
          <w:szCs w:val="20"/>
          <w:color w:val="auto"/>
        </w:rPr>
        <w:tab/>
      </w:r>
      <w:r>
        <w:rPr>
          <w:rFonts w:ascii="Arial" w:cs="Arial" w:eastAsia="Arial" w:hAnsi="Arial"/>
          <w:sz w:val="16"/>
          <w:szCs w:val="16"/>
          <w:color w:val="auto"/>
        </w:rPr>
        <w:t>401 Linden Street</w:t>
      </w:r>
    </w:p>
    <w:p>
      <w:pPr>
        <w:spacing w:after="0" w:line="63" w:lineRule="exact"/>
        <w:rPr>
          <w:sz w:val="20"/>
          <w:szCs w:val="20"/>
          <w:color w:val="auto"/>
        </w:rPr>
      </w:pPr>
    </w:p>
    <w:p>
      <w:pPr>
        <w:ind w:left="960"/>
        <w:spacing w:after="0"/>
        <w:tabs>
          <w:tab w:leader="none" w:pos="6640" w:val="left"/>
        </w:tabs>
        <w:rPr>
          <w:sz w:val="20"/>
          <w:szCs w:val="20"/>
          <w:color w:val="auto"/>
        </w:rPr>
      </w:pPr>
      <w:r>
        <w:rPr>
          <w:rFonts w:ascii="Arial" w:cs="Arial" w:eastAsia="Arial" w:hAnsi="Arial"/>
          <w:sz w:val="18"/>
          <w:szCs w:val="18"/>
          <w:color w:val="auto"/>
        </w:rPr>
        <w:t>MAC A0195-212,</w:t>
      </w:r>
      <w:r>
        <w:rPr>
          <w:sz w:val="20"/>
          <w:szCs w:val="20"/>
          <w:color w:val="auto"/>
        </w:rPr>
        <w:tab/>
      </w:r>
      <w:r>
        <w:rPr>
          <w:rFonts w:ascii="Arial" w:cs="Arial" w:eastAsia="Arial" w:hAnsi="Arial"/>
          <w:sz w:val="17"/>
          <w:szCs w:val="17"/>
          <w:color w:val="auto"/>
        </w:rPr>
        <w:t>MAC D4004-017,</w:t>
      </w:r>
    </w:p>
    <w:p>
      <w:pPr>
        <w:spacing w:after="0" w:line="63" w:lineRule="exact"/>
        <w:rPr>
          <w:sz w:val="20"/>
          <w:szCs w:val="20"/>
          <w:color w:val="auto"/>
        </w:rPr>
      </w:pPr>
    </w:p>
    <w:p>
      <w:pPr>
        <w:jc w:val="right"/>
        <w:ind w:right="1920"/>
        <w:spacing w:after="0"/>
        <w:tabs>
          <w:tab w:leader="none" w:pos="1940" w:val="left"/>
        </w:tabs>
        <w:rPr>
          <w:sz w:val="20"/>
          <w:szCs w:val="20"/>
          <w:color w:val="auto"/>
        </w:rPr>
      </w:pPr>
      <w:r>
        <w:rPr>
          <w:rFonts w:ascii="Arial" w:cs="Arial" w:eastAsia="Arial" w:hAnsi="Arial"/>
          <w:sz w:val="18"/>
          <w:szCs w:val="18"/>
          <w:color w:val="auto"/>
        </w:rPr>
        <w:t>San Francisco, CA 94111</w:t>
      </w:r>
      <w:r>
        <w:rPr>
          <w:sz w:val="20"/>
          <w:szCs w:val="20"/>
          <w:color w:val="auto"/>
        </w:rPr>
        <w:tab/>
      </w:r>
      <w:r>
        <w:rPr>
          <w:rFonts w:ascii="Arial" w:cs="Arial" w:eastAsia="Arial" w:hAnsi="Arial"/>
          <w:sz w:val="16"/>
          <w:szCs w:val="16"/>
          <w:color w:val="auto"/>
        </w:rPr>
        <w:t>Winston-Salem, NC 27101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Phone inquiries regarding this credit should be directed to our Standby Customer Connection Professionals</w:t>
      </w:r>
    </w:p>
    <w:p>
      <w:pPr>
        <w:sectPr>
          <w:pgSz w:w="11900" w:h="16838" w:orient="portrait"/>
          <w:cols w:equalWidth="0" w:num="1">
            <w:col w:w="10540"/>
          </w:cols>
          <w:pgMar w:left="240" w:top="584" w:right="1119" w:bottom="1440" w:gutter="0" w:footer="0" w:header="0"/>
        </w:sect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1-800-798-2815 Option 1</w:t>
      </w:r>
    </w:p>
    <w:p>
      <w:pPr>
        <w:spacing w:after="0" w:line="6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(Hours of Operation: 8:00 a.m. PT to 5:00 p.m. PT)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1-800-776-3862 Option 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(Hours of Operation: 8:00 a.m. EST to 5:30 p.m. EST)</w:t>
      </w:r>
    </w:p>
    <w:p>
      <w:pPr>
        <w:spacing w:after="0" w:line="200" w:lineRule="exact"/>
        <w:rPr>
          <w:sz w:val="20"/>
          <w:szCs w:val="20"/>
          <w:color w:val="auto"/>
        </w:rPr>
      </w:pPr>
    </w:p>
    <w:p>
      <w:pPr>
        <w:sectPr>
          <w:pgSz w:w="11900" w:h="16838" w:orient="portrait"/>
          <w:cols w:equalWidth="0" w:num="2">
            <w:col w:w="5880" w:space="720"/>
            <w:col w:w="3940"/>
          </w:cols>
          <w:pgMar w:left="240" w:top="584"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Exhibit A-3</w:t>
      </w:r>
    </w:p>
    <w:p>
      <w:pPr>
        <w:sectPr>
          <w:pgSz w:w="11900" w:h="16838" w:orient="portrait"/>
          <w:cols w:equalWidth="0" w:num="1">
            <w:col w:w="10540"/>
          </w:cols>
          <w:pgMar w:left="240" w:top="584" w:right="111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50" w:lineRule="exact"/>
        <w:rPr>
          <w:sz w:val="20"/>
          <w:szCs w:val="20"/>
          <w:color w:val="auto"/>
        </w:rPr>
      </w:pPr>
    </w:p>
    <w:p>
      <w:pPr>
        <w:ind w:left="9480"/>
        <w:spacing w:after="0"/>
        <w:rPr>
          <w:sz w:val="20"/>
          <w:szCs w:val="20"/>
          <w:color w:val="auto"/>
        </w:rPr>
      </w:pPr>
      <w:r>
        <w:rPr>
          <w:rFonts w:ascii="Arial" w:cs="Arial" w:eastAsia="Arial" w:hAnsi="Arial"/>
          <w:sz w:val="14"/>
          <w:szCs w:val="14"/>
          <w:b w:val="1"/>
          <w:bCs w:val="1"/>
          <w:i w:val="1"/>
          <w:iCs w:val="1"/>
          <w:color w:val="auto"/>
        </w:rPr>
        <w:t>Approved by ALLETE Board</w:t>
      </w:r>
    </w:p>
    <w:p>
      <w:pPr>
        <w:spacing w:after="0" w:line="42" w:lineRule="exact"/>
        <w:rPr>
          <w:sz w:val="20"/>
          <w:szCs w:val="20"/>
          <w:color w:val="auto"/>
        </w:rPr>
      </w:pPr>
    </w:p>
    <w:p>
      <w:pPr>
        <w:ind w:left="9480"/>
        <w:spacing w:after="0"/>
        <w:rPr>
          <w:sz w:val="20"/>
          <w:szCs w:val="20"/>
          <w:color w:val="auto"/>
        </w:rPr>
      </w:pPr>
      <w:r>
        <w:rPr>
          <w:rFonts w:ascii="Arial" w:cs="Arial" w:eastAsia="Arial" w:hAnsi="Arial"/>
          <w:sz w:val="14"/>
          <w:szCs w:val="14"/>
          <w:b w:val="1"/>
          <w:bCs w:val="1"/>
          <w:i w:val="1"/>
          <w:iCs w:val="1"/>
          <w:color w:val="auto"/>
        </w:rPr>
        <w:t>of Directors on July 26, 2013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ALLETE and Affiliated Companies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Compensation Recovery Policy</w:t>
      </w:r>
    </w:p>
    <w:p>
      <w:pPr>
        <w:spacing w:after="0" w:line="202"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The Board of Directors of the Company (the “Board”) has determined that it is in the best interests of the Company to adopt a Compensation Recovery Policy (“Policy”) that will allow ALLETE (together with its affiliates, the “Company”) to recover incentive payments and other forms of compensation (at the discretion of the Board) from Section 16 Officers in the event of a Financial Restatement, and from Covered Executives in the event of an Error or Misconduct. The Policy is generally effective January 1, 2011 and shall apply to all incentive payments earned on or after that date, and, to the extent required by applicable law, to payments earned before that 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26"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“Administrator” means, with respect to Section 16 Officers, the Executive Compensation Committee of the Board, and with respect to any other Covered Executive, the Company.</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“Covered Executive” means an individual who is or was either a Section 16 Officer or an Incentive Plan Participant,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both.</w:t>
      </w:r>
    </w:p>
    <w:p>
      <w:pPr>
        <w:spacing w:after="0" w:line="94"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“Dodd-Frank Act” means the Dodd-Frank Wall Street Reform and Consumer Protection Act, Pub. Law No. 111-203, as amended from time to time.</w:t>
      </w:r>
    </w:p>
    <w:p>
      <w:pPr>
        <w:spacing w:after="0" w:line="67"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“Error” means a Covered Executive received an incentive award payment based on the attainment of performance criteria, the measurement of which is later determined by the Administrator, in its sole discretion, to be materially inaccurate, without regard to whether the inaccuracy is the result of Misconduct.</w:t>
      </w:r>
    </w:p>
    <w:p>
      <w:pPr>
        <w:spacing w:after="0" w:line="78"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“Financial Restatement” means that the Company is or was required to prepare financial restatement due to material non-compliance with any financial reporting requirement under the securities laws of the United States.</w:t>
      </w:r>
    </w:p>
    <w:p>
      <w:pPr>
        <w:spacing w:after="0" w:line="67" w:lineRule="exact"/>
        <w:rPr>
          <w:sz w:val="20"/>
          <w:szCs w:val="20"/>
          <w:color w:val="auto"/>
        </w:rPr>
      </w:pPr>
    </w:p>
    <w:p>
      <w:pPr>
        <w:ind w:right="120" w:firstLine="648"/>
        <w:spacing w:after="0" w:line="271" w:lineRule="auto"/>
        <w:rPr>
          <w:sz w:val="20"/>
          <w:szCs w:val="20"/>
          <w:color w:val="auto"/>
        </w:rPr>
      </w:pPr>
      <w:r>
        <w:rPr>
          <w:rFonts w:ascii="Arial" w:cs="Arial" w:eastAsia="Arial" w:hAnsi="Arial"/>
          <w:sz w:val="21"/>
          <w:szCs w:val="21"/>
          <w:color w:val="auto"/>
        </w:rPr>
        <w:t>“Incentive Plan Participant” means an individual, whether or not an employee at the time of an event triggering this Policy, who is or becomes entitled to receive any payment pursuant to the Company's annual incentive plan, payment on account of an award granted pursuant to the Company's long-term incentive plan, or both.</w:t>
      </w:r>
    </w:p>
    <w:p>
      <w:pPr>
        <w:spacing w:after="0" w:line="60"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“Misconduct” means the occurrence of either or both of the following, as determined by the Administrator, in its sole discretion:</w:t>
      </w:r>
    </w:p>
    <w:p>
      <w:pPr>
        <w:spacing w:after="0" w:line="67" w:lineRule="exact"/>
        <w:rPr>
          <w:sz w:val="20"/>
          <w:szCs w:val="20"/>
          <w:color w:val="auto"/>
        </w:rPr>
      </w:pPr>
    </w:p>
    <w:p>
      <w:pPr>
        <w:ind w:left="660" w:right="220" w:hanging="4"/>
        <w:spacing w:after="0" w:line="276" w:lineRule="auto"/>
        <w:tabs>
          <w:tab w:leader="none" w:pos="10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 act or omission by the Covered Executive involving dishonesty in connection with his or her responsibilities as an employee of the Company; or</w:t>
      </w:r>
    </w:p>
    <w:p>
      <w:pPr>
        <w:spacing w:after="0" w:line="52" w:lineRule="exact"/>
        <w:rPr>
          <w:rFonts w:ascii="Arial" w:cs="Arial" w:eastAsia="Arial" w:hAnsi="Arial"/>
          <w:sz w:val="22"/>
          <w:szCs w:val="22"/>
          <w:color w:val="auto"/>
        </w:rPr>
      </w:pPr>
    </w:p>
    <w:p>
      <w:pPr>
        <w:jc w:val="both"/>
        <w:ind w:left="660" w:right="20" w:hanging="4"/>
        <w:spacing w:after="0" w:line="254" w:lineRule="auto"/>
        <w:tabs>
          <w:tab w:leader="none" w:pos="1092"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Covered Executive's conviction of, or entry of a plea of nolo contendere to, any felony or a misdemeanor involving moral turpitude, provided that a misdemeanor motor vehicle violation will not constitute a crime of moral turpitude unless it involves driving while impaired within the scope of employment or another serious driving offense committed within the scope of employment.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0" w:name="page71"/>
    <w:bookmarkEnd w:id="70"/>
    <w:p>
      <w:pPr>
        <w:spacing w:after="0" w:line="253" w:lineRule="auto"/>
        <w:rPr>
          <w:sz w:val="20"/>
          <w:szCs w:val="20"/>
          <w:color w:val="auto"/>
        </w:rPr>
      </w:pPr>
      <w:r>
        <w:rPr>
          <w:rFonts w:ascii="Arial" w:cs="Arial" w:eastAsia="Arial" w:hAnsi="Arial"/>
          <w:sz w:val="22"/>
          <w:szCs w:val="22"/>
          <w:color w:val="auto"/>
        </w:rPr>
        <w:t>Misconduct can occur regardless of whether the Company discovers the Misconduct before or after the Covered Executive's employment with the Company is terminated and regardless of whether the Company terminates the Covered Executive on account of Misconduct.</w:t>
      </w:r>
    </w:p>
    <w:p>
      <w:pPr>
        <w:spacing w:after="0" w:line="78" w:lineRule="exact"/>
        <w:rPr>
          <w:sz w:val="20"/>
          <w:szCs w:val="20"/>
          <w:color w:val="auto"/>
        </w:rPr>
      </w:pPr>
    </w:p>
    <w:p>
      <w:pPr>
        <w:ind w:right="620" w:firstLine="648"/>
        <w:spacing w:after="0" w:line="343" w:lineRule="auto"/>
        <w:rPr>
          <w:sz w:val="20"/>
          <w:szCs w:val="20"/>
          <w:color w:val="auto"/>
        </w:rPr>
      </w:pPr>
      <w:r>
        <w:rPr>
          <w:rFonts w:ascii="Arial" w:cs="Arial" w:eastAsia="Arial" w:hAnsi="Arial"/>
          <w:sz w:val="19"/>
          <w:szCs w:val="19"/>
          <w:color w:val="auto"/>
        </w:rPr>
        <w:t>“Section 16 Officer” means any individual, whether or not an employee at the time of an event triggering this Policy, determined by the Company to be currently or formerly subject to Section 16 of the Securities Exchange Act of 1934.</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22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The Administrator shall administer this Policy and shall have sole and express discretionary authority to interpret and administer this Policy and to make all determinations with respect to this Policy in its sole discretion. The Administrator may consult with the Board from time to time as the Administrator deems appropriate. All determinations of the Administrator shall be final and binding on all Covered Executives.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Applicability</w:t>
      </w:r>
    </w:p>
    <w:p>
      <w:pPr>
        <w:spacing w:after="0" w:line="226"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This Policy applies to all Covered Executives and supplements the provisions on forfeiture or termination of amounts payable under Company plans or agreements. The terms and conditions of any incentive award program under which Covered Executives may receive incentive payments from the Company and each individual award pursuant to any such program shall incorporate the requirements of this Policy.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Events that Permit Recovery</w:t>
      </w:r>
    </w:p>
    <w:p>
      <w:pPr>
        <w:spacing w:after="0" w:line="226"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If the Administrator determines, in its sole discretion, that any one or more of the following events has occurred, it may require recovery of amounts from a Covered Executive in accordance with this Policy: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respect to Section 16 Officers:</w:t>
      </w:r>
    </w:p>
    <w:p>
      <w:pPr>
        <w:spacing w:after="0" w:line="220" w:lineRule="exact"/>
        <w:rPr>
          <w:sz w:val="20"/>
          <w:szCs w:val="20"/>
          <w:color w:val="auto"/>
        </w:rPr>
      </w:pPr>
    </w:p>
    <w:p>
      <w:pPr>
        <w:ind w:left="660" w:right="7240" w:firstLine="645"/>
        <w:spacing w:after="0" w:line="519" w:lineRule="auto"/>
        <w:tabs>
          <w:tab w:leader="none" w:pos="1632" w:val="left"/>
        </w:tabs>
        <w:numPr>
          <w:ilvl w:val="0"/>
          <w:numId w:val="20"/>
        </w:numPr>
        <w:rPr>
          <w:rFonts w:ascii="Arial" w:cs="Arial" w:eastAsia="Arial" w:hAnsi="Arial"/>
          <w:sz w:val="16"/>
          <w:szCs w:val="16"/>
          <w:color w:val="auto"/>
        </w:rPr>
      </w:pPr>
      <w:r>
        <w:rPr>
          <w:rFonts w:ascii="Arial" w:cs="Arial" w:eastAsia="Arial" w:hAnsi="Arial"/>
          <w:sz w:val="19"/>
          <w:szCs w:val="19"/>
          <w:color w:val="auto"/>
        </w:rPr>
        <w:t>a Financial Restatement; and With respect to Covered Executives:</w:t>
      </w:r>
    </w:p>
    <w:p>
      <w:pPr>
        <w:ind w:left="1620" w:hanging="31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22"/>
          <w:szCs w:val="22"/>
          <w:color w:val="auto"/>
        </w:rPr>
        <w:t>Error; and, or</w:t>
      </w:r>
    </w:p>
    <w:p>
      <w:pPr>
        <w:spacing w:after="0" w:line="219" w:lineRule="exact"/>
        <w:rPr>
          <w:rFonts w:ascii="Arial" w:cs="Arial" w:eastAsia="Arial" w:hAnsi="Arial"/>
          <w:sz w:val="18"/>
          <w:szCs w:val="18"/>
          <w:color w:val="auto"/>
        </w:rPr>
      </w:pPr>
    </w:p>
    <w:p>
      <w:pPr>
        <w:ind w:left="1620" w:hanging="31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22"/>
          <w:szCs w:val="22"/>
          <w:color w:val="auto"/>
        </w:rPr>
        <w:t>Misconduct.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Amount of Recovery</w:t>
      </w:r>
    </w:p>
    <w:p>
      <w:pPr>
        <w:spacing w:after="0" w:line="226"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The amount of an incentive payment subject to forfeiture or recovery on account of and upon Financial Restatement, with respect to Section 16 Officers, or an Error, with respect to Covered Executives, shall be the amount of the incentive payment to the individual in excess of the amount that would have been paid (or if no amount would have been paid, the entire amount) according to the restated financial statements or the corrected performance metric criteria or other Error. The right to recovery shall apply to incentive payments that were received during the three years prior to the date on which the Company is required to prepare a Financial Restatement or the Company discovers an Error, as applicable.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91" w:right="279" w:bottom="1440" w:gutter="0" w:footer="0" w:header="0"/>
        </w:sectPr>
      </w:pPr>
    </w:p>
    <w:bookmarkStart w:id="71" w:name="page72"/>
    <w:bookmarkEnd w:id="71"/>
    <w:p>
      <w:pPr>
        <w:jc w:val="both"/>
        <w:ind w:firstLine="648"/>
        <w:spacing w:after="0" w:line="253" w:lineRule="auto"/>
        <w:rPr>
          <w:sz w:val="20"/>
          <w:szCs w:val="20"/>
          <w:color w:val="auto"/>
        </w:rPr>
      </w:pPr>
      <w:r>
        <w:rPr>
          <w:rFonts w:ascii="Arial" w:cs="Arial" w:eastAsia="Arial" w:hAnsi="Arial"/>
          <w:sz w:val="22"/>
          <w:szCs w:val="22"/>
          <w:color w:val="auto"/>
        </w:rPr>
        <w:t>The amount subject to forfeiture or recovery on account of and upon Misconduct shall be the entire amount of any incentive payment or bonus that is attributable to, or relates to, the period during which the Misconduct occurred and any subsequent period, regardless of when the incentive payment or bonus is or was earned and paid.</w:t>
      </w:r>
    </w:p>
    <w:p>
      <w:pPr>
        <w:spacing w:after="0" w:line="186"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In addition, the Administrator may equitably adjust or recover from a Covered Executive, the amount of any other payment the amount of which is based in whole or in part on an incentive award payment forfeited or recovered pursuant to this Policy.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Sources of Repayment</w:t>
      </w:r>
    </w:p>
    <w:p>
      <w:pPr>
        <w:spacing w:after="0" w:line="226" w:lineRule="exact"/>
        <w:rPr>
          <w:sz w:val="20"/>
          <w:szCs w:val="20"/>
          <w:color w:val="auto"/>
        </w:rPr>
      </w:pPr>
    </w:p>
    <w:p>
      <w:pPr>
        <w:ind w:right="80" w:firstLine="648"/>
        <w:spacing w:after="0" w:line="290" w:lineRule="auto"/>
        <w:rPr>
          <w:sz w:val="20"/>
          <w:szCs w:val="20"/>
          <w:color w:val="auto"/>
        </w:rPr>
      </w:pPr>
      <w:r>
        <w:rPr>
          <w:rFonts w:ascii="Arial" w:cs="Arial" w:eastAsia="Arial" w:hAnsi="Arial"/>
          <w:sz w:val="19"/>
          <w:szCs w:val="19"/>
          <w:color w:val="auto"/>
        </w:rPr>
        <w:t>If the Administrator determines that a Covered Executive must repay any amounts to the Company, the Administrator may, in its sole discretion, authorize the reduction of future payments or seek repayment or return of prior payments to the Covered Executive at the time and in the form specified by the Administrator. Without limiting the foregoing, the Company shall have the right to withhold any such repayment amount from any compensation otherwise payable to the Covered Executive, including but not limited to unpaid incentive payments, executive retirement benefits and elective and non-elective deferrals under the ALLETE and Affiliated Companies Supplemental Executive Retirement Plan and The ALLETE and Affiliated Companies Supplemental Executive Retirement Plan II, wages or any other amounts payable by the Company to the Covered Executive. All actions by the Company to recover incentive payments or other compensation shall be taken in accordance with applicable law.</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Notice</w:t>
      </w:r>
    </w:p>
    <w:p>
      <w:pPr>
        <w:spacing w:after="0" w:line="226" w:lineRule="exact"/>
        <w:rPr>
          <w:sz w:val="20"/>
          <w:szCs w:val="20"/>
          <w:color w:val="auto"/>
        </w:rPr>
      </w:pPr>
    </w:p>
    <w:p>
      <w:pPr>
        <w:ind w:right="140" w:firstLine="648"/>
        <w:spacing w:after="0" w:line="263" w:lineRule="auto"/>
        <w:rPr>
          <w:sz w:val="20"/>
          <w:szCs w:val="20"/>
          <w:color w:val="auto"/>
        </w:rPr>
      </w:pPr>
      <w:r>
        <w:rPr>
          <w:rFonts w:ascii="Arial" w:cs="Arial" w:eastAsia="Arial" w:hAnsi="Arial"/>
          <w:sz w:val="21"/>
          <w:szCs w:val="21"/>
          <w:color w:val="auto"/>
        </w:rPr>
        <w:t>The Company shall take all appropriate steps to inform Covered Executives of this Policy, so that such Policy shall be enforceable to the fullest extent legally permissible. These steps may include, but not be limited to providing that this Policy shall be acknowledged by Covered Executives, and incorporating the terms of this policy into the terms of any incentive plan or incentive award agreement applicable to Covered Executives. In addition, the Company shall take all appropriate steps to disclose this policy in accordance with the requirements of the Dodd-Frank Act.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Coordination with Law</w:t>
      </w:r>
    </w:p>
    <w:p>
      <w:pPr>
        <w:spacing w:after="0" w:line="22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This policy is designed, and shall be interpreted, to comply with section 954 of the Dodd-Frank Act, and Section 10D of the Securities Exchange Act of 1934, as amended, and, in each case, any regulations promulgated with respect thereto, and in the event that any provision of this Policy is inconsistent with any requirement of the Dodd-Frank Act or any interpretive regulations issued thereunder, the Administrator shall administer this Policy to comply with the Dodd-Frank Act and the regulations. In addition, the Administrator shall have the authority to amend this Policy at any time as the Administrator deems necessary or appropriate, in its sole discretion, to comply with the requirements of the Dodd-Frank Act and the regulations.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General Rights</w:t>
      </w:r>
    </w:p>
    <w:p>
      <w:pPr>
        <w:spacing w:after="0" w:line="226"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This Policy shall not limit the rights of the Company to take any other actions or pursue other remedies that the Company may deem appropriate under the circumstances and under applicable law.</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Policy may be amended from time to time by the Board.</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807" w:right="27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2013,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August 1, 2013</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2013,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August 1, 2013</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June 30, 2013,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 2013</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 2013</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75" w:name="page76"/>
    <w:bookmarkEnd w:id="75"/>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599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quarter ended June 30, 2013, BNI Coal, owner of Center Mine, received two citations under Section 104(a) of the Mine Safety Act, one of which was a significant and substantial (S&amp;S) citation. The total penalties assessed on BNI with respect to the two citations were $599. For the quarter ended June 30, 2013, there were no citations, orders, violations or notices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76" w:name="page77"/>
    <w:bookmarkEnd w:id="76"/>
    <w:p>
      <w:pPr>
        <w:ind w:left="10720"/>
        <w:spacing w:after="0"/>
        <w:rPr>
          <w:sz w:val="20"/>
          <w:szCs w:val="20"/>
          <w:color w:val="auto"/>
        </w:rPr>
      </w:pPr>
      <w:r>
        <w:rPr>
          <w:rFonts w:ascii="Arial" w:cs="Arial" w:eastAsia="Arial" w:hAnsi="Arial"/>
          <w:sz w:val="15"/>
          <w:szCs w:val="15"/>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-42545</wp:posOffset>
            </wp:positionV>
            <wp:extent cx="1629410" cy="737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9410" cy="737235"/>
                    </a:xfrm>
                    <a:prstGeom prst="rect">
                      <a:avLst/>
                    </a:prstGeom>
                    <a:noFill/>
                  </pic:spPr>
                </pic:pic>
              </a:graphicData>
            </a:graphic>
          </wp:anchor>
        </w:drawing>
      </w:r>
    </w:p>
    <w:p>
      <w:pPr>
        <w:sectPr>
          <w:pgSz w:w="11900" w:h="16838" w:orient="portrait"/>
          <w:cols w:equalWidth="0" w:num="1">
            <w:col w:w="11400"/>
          </w:cols>
          <w:pgMar w:left="240" w:top="845" w:right="259" w:bottom="1440" w:gutter="0" w:footer="0" w:header="0"/>
        </w:sectPr>
      </w:pPr>
    </w:p>
    <w:p>
      <w:pPr>
        <w:spacing w:after="0" w:line="84"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August 1, 2013</w:t>
      </w:r>
    </w:p>
    <w:p>
      <w:pPr>
        <w:spacing w:after="0" w:line="96" w:lineRule="exact"/>
        <w:rPr>
          <w:sz w:val="20"/>
          <w:szCs w:val="20"/>
          <w:color w:val="auto"/>
        </w:rPr>
      </w:pPr>
    </w:p>
    <w:p>
      <w:pPr>
        <w:sectPr>
          <w:pgSz w:w="11900" w:h="16838" w:orient="portrait"/>
          <w:cols w:equalWidth="0" w:num="2">
            <w:col w:w="8000" w:space="720"/>
            <w:col w:w="2680"/>
          </w:cols>
          <w:pgMar w:left="240" w:top="845" w:right="259" w:bottom="1440" w:gutter="0" w:footer="0" w:header="0"/>
          <w:type w:val="continuous"/>
        </w:sectPr>
      </w:pPr>
    </w:p>
    <w:p>
      <w:pPr>
        <w:ind w:left="690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40" w:space="680"/>
            <w:col w:w="2680"/>
          </w:cols>
          <w:pgMar w:left="240" w:top="845" w:right="259" w:bottom="1440" w:gutter="0" w:footer="0" w:header="0"/>
          <w:type w:val="continuous"/>
        </w:sectPr>
      </w:pPr>
    </w:p>
    <w:p>
      <w:pPr>
        <w:ind w:left="872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400"/>
          </w:cols>
          <w:pgMar w:left="240" w:top="845" w:right="259" w:bottom="1440" w:gutter="0" w:footer="0" w:header="0"/>
          <w:type w:val="continuous"/>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ALLETE reports second quarter earnings and reaffirms guidance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Industrial demand nominations strong for remainder of 2013</w:t>
      </w:r>
    </w:p>
    <w:p>
      <w:pPr>
        <w:spacing w:after="0" w:line="200" w:lineRule="exact"/>
        <w:rPr>
          <w:sz w:val="20"/>
          <w:szCs w:val="20"/>
          <w:color w:val="auto"/>
        </w:rPr>
      </w:pPr>
    </w:p>
    <w:p>
      <w:pPr>
        <w:spacing w:after="0" w:line="32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DULUTH, Minn. - ALLETE, Inc. (NYSE:ALE) today reported second quarter 2013 earnings of 35 cents per share on net income of $14.0 million and operating revenue of $235.6 million, compared to 39 cents per share on net income of $14.4 million and operating revenue of $216.4 million in 2012.</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and the company's investment in the American Transmission Company, recorded net income of $16.3 million versus $14.4 million in 2012.</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Second quarter 2013 results were impacted by several factors attributable to Minnesota Power's recent capital investments. Higher revenue from renewable energy investments and federal production tax credits were partially offset by increases in depreciation and interest expense. In late 2012, Minnesota Power completed two phases of the Bison Wind Energy Center and both have been in service during 2013. Total electric sales also rose 2.2 percent compared to a year ago.</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“Industrial demand for power remains strong,” said ALLETE Chairman, President and CEO Al Hodnik. “Based on demand nominations received from our largest power users this week, these customers expect to run at full-capacity for the remainder of the year.”</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ALLETE's Investments and Other segment, which includes results from BNI Coal, ALLETE Properties, ALLETE Clean Energy, and other miscellaneous income and expense, recorded a $2.3 million net loss during the quarter, versus a break-even quarter a year ago. Higher state income tax and interest expense contributed to the variance from the second quarter in 2012. State income tax expense was higher in 2013 as more North Dakota income tax credits attributable to our North Dakota capital investments were recognized in 2012.</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Year-to-date financial results included 2013 earnings of $1.18 per share on net income of $46.5 million and operating revenue of $499.4 million, compared to $1.05 per share on net income of $38.8 million and operating revenue of $456.4 million in 2012. An increase from a year ago in the average number of common stock shares outstanding, with proceeds used to fund the company's capital investment program, resulted in dilution of seven cents per share.</w:t>
      </w:r>
    </w:p>
    <w:p>
      <w:pPr>
        <w:spacing w:after="0" w:line="14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year-to-date results are right where we expected them to be,” Hodnik said. “The company's full year earnings guidance remains unchanged, in an expected range of between $2.58 and $2.78 per share.” He said 2013 guidance assumes continued strong industrial demand for electricity, higher cost recovery rider revenue and federal production tax credits, higher operating and maintenance, depreciation and interest expenses, and dilution from equity issuances of between $0.10 and $0.15 per share.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company will host a conference call and webcast at 10 a.m. Eastern time today to discuss details of its quarterly performance. Interested parties may listen live by calling (877) 303-5852, or by accessing the webcast at </w:t>
      </w:r>
      <w:r>
        <w:rPr>
          <w:rFonts w:ascii="Arial" w:cs="Arial" w:eastAsia="Arial" w:hAnsi="Arial"/>
          <w:sz w:val="18"/>
          <w:szCs w:val="18"/>
          <w:u w:val="single" w:color="auto"/>
          <w:color w:val="0000FF"/>
        </w:rPr>
        <w:t>www.allete.com</w:t>
      </w:r>
      <w:r>
        <w:rPr>
          <w:rFonts w:ascii="Arial" w:cs="Arial" w:eastAsia="Arial" w:hAnsi="Arial"/>
          <w:sz w:val="18"/>
          <w:szCs w:val="18"/>
          <w:color w:val="auto"/>
        </w:rPr>
        <w:t>. A replay of the call will be available through August 4, 2013 by dialing (855) 859-2056, pass code 99389011.</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of Wisconsin, ALLETE owns BNI Coal in Center, N.D., ALLETE Clean Energy, based in Duluth, and has an eight percent equity interest in the American Transmission Co. More information about ALLETE is available at </w:t>
      </w:r>
      <w:r>
        <w:rPr>
          <w:rFonts w:ascii="Arial" w:cs="Arial" w:eastAsia="Arial" w:hAnsi="Arial"/>
          <w:sz w:val="18"/>
          <w:szCs w:val="18"/>
          <w:u w:val="single" w:color="auto"/>
          <w:color w:val="0000FF"/>
        </w:rPr>
        <w:t>www.allete.com</w:t>
      </w:r>
      <w:r>
        <w:rPr>
          <w:rFonts w:ascii="Arial" w:cs="Arial" w:eastAsia="Arial" w:hAnsi="Arial"/>
          <w:sz w:val="18"/>
          <w:szCs w:val="18"/>
          <w:color w:val="auto"/>
        </w:rPr>
        <w:t>.</w:t>
      </w:r>
    </w:p>
    <w:p>
      <w:pPr>
        <w:sectPr>
          <w:pgSz w:w="11900" w:h="16838" w:orient="portrait"/>
          <w:cols w:equalWidth="0" w:num="1">
            <w:col w:w="11400"/>
          </w:cols>
          <w:pgMar w:left="240" w:top="845" w:right="259" w:bottom="1440" w:gutter="0" w:footer="0" w:header="0"/>
          <w:type w:val="continuous"/>
        </w:sectPr>
      </w:pPr>
    </w:p>
    <w:bookmarkStart w:id="77" w:name="page78"/>
    <w:bookmarkEnd w:id="77"/>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665" w:right="279" w:bottom="1440" w:gutter="0" w:footer="0" w:header="0"/>
        </w:sectPr>
      </w:pPr>
    </w:p>
    <w:bookmarkStart w:id="78" w:name="page79"/>
    <w:bookmarkEnd w:id="78"/>
    <w:p>
      <w:pPr>
        <w:ind w:left="5360"/>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78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Quarter Ended</w:t>
            </w:r>
          </w:p>
        </w:tc>
        <w:tc>
          <w:tcPr>
            <w:tcW w:w="29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740" w:type="dxa"/>
            <w:vAlign w:val="bottom"/>
          </w:tcPr>
          <w:p>
            <w:pPr>
              <w:spacing w:after="0"/>
              <w:rPr>
                <w:sz w:val="23"/>
                <w:szCs w:val="23"/>
                <w:color w:val="auto"/>
              </w:rPr>
            </w:pPr>
          </w:p>
        </w:tc>
        <w:tc>
          <w:tcPr>
            <w:tcW w:w="256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220" w:type="dxa"/>
            <w:vAlign w:val="bottom"/>
          </w:tcPr>
          <w:p>
            <w:pPr>
              <w:spacing w:after="0"/>
              <w:rPr>
                <w:sz w:val="23"/>
                <w:szCs w:val="23"/>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r>
      <w:tr>
        <w:trPr>
          <w:trHeight w:val="270"/>
        </w:trPr>
        <w:tc>
          <w:tcPr>
            <w:tcW w:w="4740" w:type="dxa"/>
            <w:vAlign w:val="bottom"/>
          </w:tcPr>
          <w:p>
            <w:pPr>
              <w:spacing w:after="0"/>
              <w:rPr>
                <w:sz w:val="23"/>
                <w:szCs w:val="23"/>
                <w:color w:val="auto"/>
              </w:rPr>
            </w:pPr>
          </w:p>
        </w:tc>
        <w:tc>
          <w:tcPr>
            <w:tcW w:w="2560" w:type="dxa"/>
            <w:vAlign w:val="bottom"/>
          </w:tcPr>
          <w:p>
            <w:pPr>
              <w:jc w:val="right"/>
              <w:ind w:right="950"/>
              <w:spacing w:after="0"/>
              <w:rPr>
                <w:sz w:val="20"/>
                <w:szCs w:val="20"/>
                <w:color w:val="auto"/>
              </w:rPr>
            </w:pPr>
            <w:r>
              <w:rPr>
                <w:rFonts w:ascii="Arial" w:cs="Arial" w:eastAsia="Arial" w:hAnsi="Arial"/>
                <w:sz w:val="18"/>
                <w:szCs w:val="18"/>
                <w:b w:val="1"/>
                <w:bCs w:val="1"/>
                <w:color w:val="auto"/>
              </w:rPr>
              <w:t>2013</w:t>
            </w: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1840" w:type="dxa"/>
            <w:vAlign w:val="bottom"/>
          </w:tcPr>
          <w:p>
            <w:pPr>
              <w:jc w:val="right"/>
              <w:ind w:right="950"/>
              <w:spacing w:after="0"/>
              <w:rPr>
                <w:sz w:val="20"/>
                <w:szCs w:val="20"/>
                <w:color w:val="auto"/>
              </w:rPr>
            </w:pPr>
            <w:r>
              <w:rPr>
                <w:rFonts w:ascii="Arial" w:cs="Arial" w:eastAsia="Arial" w:hAnsi="Arial"/>
                <w:sz w:val="18"/>
                <w:szCs w:val="18"/>
                <w:b w:val="1"/>
                <w:bCs w:val="1"/>
                <w:color w:val="auto"/>
              </w:rPr>
              <w:t>2013</w:t>
            </w: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r>
      <w:tr>
        <w:trPr>
          <w:trHeight w:val="27"/>
        </w:trPr>
        <w:tc>
          <w:tcPr>
            <w:tcW w:w="4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4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5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$235.6</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$216.4</w:t>
            </w:r>
          </w:p>
        </w:tc>
        <w:tc>
          <w:tcPr>
            <w:tcW w:w="1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$499.4</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$456.4</w:t>
            </w:r>
          </w:p>
        </w:tc>
      </w:tr>
      <w:tr>
        <w:trPr>
          <w:trHeight w:val="277"/>
        </w:trPr>
        <w:tc>
          <w:tcPr>
            <w:tcW w:w="47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2560" w:type="dxa"/>
            <w:vAlign w:val="bottom"/>
          </w:tcPr>
          <w:p>
            <w:pPr>
              <w:jc w:val="right"/>
              <w:ind w:right="630"/>
              <w:spacing w:after="0"/>
              <w:rPr>
                <w:sz w:val="20"/>
                <w:szCs w:val="20"/>
                <w:color w:val="auto"/>
              </w:rPr>
            </w:pPr>
            <w:r>
              <w:rPr>
                <w:rFonts w:ascii="Arial" w:cs="Arial" w:eastAsia="Arial" w:hAnsi="Arial"/>
                <w:sz w:val="18"/>
                <w:szCs w:val="18"/>
                <w:color w:val="auto"/>
              </w:rPr>
              <w:t>78.7</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72.1</w:t>
            </w: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165.2</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149.2</w:t>
            </w:r>
          </w:p>
        </w:tc>
      </w:tr>
      <w:tr>
        <w:trPr>
          <w:trHeight w:val="27"/>
        </w:trPr>
        <w:tc>
          <w:tcPr>
            <w:tcW w:w="4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5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103.8</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96.2</w:t>
            </w:r>
          </w:p>
        </w:tc>
        <w:tc>
          <w:tcPr>
            <w:tcW w:w="1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208.5</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196.1</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560" w:type="dxa"/>
            <w:vAlign w:val="bottom"/>
          </w:tcPr>
          <w:p>
            <w:pPr>
              <w:jc w:val="right"/>
              <w:ind w:right="630"/>
              <w:spacing w:after="0"/>
              <w:rPr>
                <w:sz w:val="20"/>
                <w:szCs w:val="20"/>
                <w:color w:val="auto"/>
              </w:rPr>
            </w:pPr>
            <w:r>
              <w:rPr>
                <w:rFonts w:ascii="Arial" w:cs="Arial" w:eastAsia="Arial" w:hAnsi="Arial"/>
                <w:sz w:val="18"/>
                <w:szCs w:val="18"/>
                <w:color w:val="auto"/>
              </w:rPr>
              <w:t>28.7</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24.8</w:t>
            </w: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56.9</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49.4</w:t>
            </w:r>
          </w:p>
        </w:tc>
      </w:tr>
      <w:tr>
        <w:trPr>
          <w:trHeight w:val="27"/>
        </w:trPr>
        <w:tc>
          <w:tcPr>
            <w:tcW w:w="4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5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211.2</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193.1</w:t>
            </w:r>
          </w:p>
        </w:tc>
        <w:tc>
          <w:tcPr>
            <w:tcW w:w="1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430.6</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394.7</w:t>
            </w:r>
          </w:p>
        </w:tc>
      </w:tr>
      <w:tr>
        <w:trPr>
          <w:trHeight w:val="284"/>
        </w:trPr>
        <w:tc>
          <w:tcPr>
            <w:tcW w:w="4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5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24.4</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23.3</w:t>
            </w:r>
          </w:p>
        </w:tc>
        <w:tc>
          <w:tcPr>
            <w:tcW w:w="1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68.8</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61.7</w:t>
            </w:r>
          </w:p>
        </w:tc>
      </w:tr>
      <w:tr>
        <w:trPr>
          <w:trHeight w:val="277"/>
        </w:trPr>
        <w:tc>
          <w:tcPr>
            <w:tcW w:w="47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560" w:type="dxa"/>
            <w:vAlign w:val="bottom"/>
          </w:tcPr>
          <w:p>
            <w:pPr>
              <w:jc w:val="right"/>
              <w:ind w:right="650"/>
              <w:spacing w:after="0"/>
              <w:rPr>
                <w:sz w:val="20"/>
                <w:szCs w:val="20"/>
                <w:color w:val="auto"/>
              </w:rPr>
            </w:pPr>
            <w:r>
              <w:rPr>
                <w:rFonts w:ascii="Arial" w:cs="Arial" w:eastAsia="Arial" w:hAnsi="Arial"/>
                <w:sz w:val="18"/>
                <w:szCs w:val="18"/>
                <w:color w:val="auto"/>
              </w:rPr>
              <w:t>(12.8)</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(25.1)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(21.1)</w:t>
            </w:r>
          </w:p>
        </w:tc>
      </w:tr>
      <w:tr>
        <w:trPr>
          <w:trHeight w:val="27"/>
        </w:trPr>
        <w:tc>
          <w:tcPr>
            <w:tcW w:w="4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5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5.0</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4.8</w:t>
            </w:r>
          </w:p>
        </w:tc>
        <w:tc>
          <w:tcPr>
            <w:tcW w:w="1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10.2</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9.4</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2560" w:type="dxa"/>
            <w:vAlign w:val="bottom"/>
          </w:tcPr>
          <w:p>
            <w:pPr>
              <w:jc w:val="right"/>
              <w:ind w:right="630"/>
              <w:spacing w:after="0"/>
              <w:rPr>
                <w:sz w:val="20"/>
                <w:szCs w:val="20"/>
                <w:color w:val="auto"/>
              </w:rPr>
            </w:pPr>
            <w:r>
              <w:rPr>
                <w:rFonts w:ascii="Arial" w:cs="Arial" w:eastAsia="Arial" w:hAnsi="Arial"/>
                <w:sz w:val="18"/>
                <w:szCs w:val="18"/>
                <w:color w:val="auto"/>
              </w:rPr>
              <w:t>1.5</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4.2</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1.9</w:t>
            </w:r>
          </w:p>
        </w:tc>
      </w:tr>
      <w:tr>
        <w:trPr>
          <w:trHeight w:val="27"/>
        </w:trPr>
        <w:tc>
          <w:tcPr>
            <w:tcW w:w="4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5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(6.3)</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(4.1)</w:t>
            </w:r>
          </w:p>
        </w:tc>
        <w:tc>
          <w:tcPr>
            <w:tcW w:w="1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(10.7)</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(9.8)</w:t>
            </w:r>
          </w:p>
        </w:tc>
      </w:tr>
      <w:tr>
        <w:trPr>
          <w:trHeight w:val="277"/>
        </w:trPr>
        <w:tc>
          <w:tcPr>
            <w:tcW w:w="47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5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18.1</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19.2</w:t>
            </w:r>
          </w:p>
        </w:tc>
        <w:tc>
          <w:tcPr>
            <w:tcW w:w="1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58.1</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560" w:type="dxa"/>
            <w:vAlign w:val="bottom"/>
          </w:tcPr>
          <w:p>
            <w:pPr>
              <w:jc w:val="right"/>
              <w:ind w:right="630"/>
              <w:spacing w:after="0"/>
              <w:rPr>
                <w:sz w:val="20"/>
                <w:szCs w:val="20"/>
                <w:color w:val="auto"/>
              </w:rPr>
            </w:pPr>
            <w:r>
              <w:rPr>
                <w:rFonts w:ascii="Arial" w:cs="Arial" w:eastAsia="Arial" w:hAnsi="Arial"/>
                <w:sz w:val="18"/>
                <w:szCs w:val="18"/>
                <w:color w:val="auto"/>
              </w:rPr>
              <w:t>4.1</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4.8</w:t>
            </w: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11.6</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13.1</w:t>
            </w:r>
          </w:p>
        </w:tc>
      </w:tr>
      <w:tr>
        <w:trPr>
          <w:trHeight w:val="27"/>
        </w:trPr>
        <w:tc>
          <w:tcPr>
            <w:tcW w:w="4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5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$14.0</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$14.4</w:t>
            </w:r>
          </w:p>
        </w:tc>
        <w:tc>
          <w:tcPr>
            <w:tcW w:w="1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$46.5</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$38.8</w:t>
            </w:r>
          </w:p>
        </w:tc>
      </w:tr>
      <w:tr>
        <w:trPr>
          <w:trHeight w:val="277"/>
        </w:trPr>
        <w:tc>
          <w:tcPr>
            <w:tcW w:w="47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Basic</w:t>
            </w:r>
          </w:p>
        </w:tc>
        <w:tc>
          <w:tcPr>
            <w:tcW w:w="2560" w:type="dxa"/>
            <w:vAlign w:val="bottom"/>
          </w:tcPr>
          <w:p>
            <w:pPr>
              <w:jc w:val="right"/>
              <w:ind w:right="710"/>
              <w:spacing w:after="0"/>
              <w:rPr>
                <w:sz w:val="20"/>
                <w:szCs w:val="20"/>
                <w:color w:val="auto"/>
              </w:rPr>
            </w:pPr>
            <w:r>
              <w:rPr>
                <w:rFonts w:ascii="Arial" w:cs="Arial" w:eastAsia="Arial" w:hAnsi="Arial"/>
                <w:sz w:val="18"/>
                <w:szCs w:val="18"/>
                <w:color w:val="auto"/>
              </w:rPr>
              <w:t>39.4</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37.3</w:t>
            </w:r>
          </w:p>
        </w:tc>
        <w:tc>
          <w:tcPr>
            <w:tcW w:w="1840" w:type="dxa"/>
            <w:vAlign w:val="bottom"/>
          </w:tcPr>
          <w:p>
            <w:pPr>
              <w:jc w:val="right"/>
              <w:ind w:right="710"/>
              <w:spacing w:after="0"/>
              <w:rPr>
                <w:sz w:val="20"/>
                <w:szCs w:val="20"/>
                <w:color w:val="auto"/>
              </w:rPr>
            </w:pPr>
            <w:r>
              <w:rPr>
                <w:rFonts w:ascii="Arial" w:cs="Arial" w:eastAsia="Arial" w:hAnsi="Arial"/>
                <w:sz w:val="18"/>
                <w:szCs w:val="18"/>
                <w:color w:val="auto"/>
              </w:rPr>
              <w:t>39.2</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37.0</w:t>
            </w:r>
          </w:p>
        </w:tc>
      </w:tr>
      <w:tr>
        <w:trPr>
          <w:trHeight w:val="27"/>
        </w:trPr>
        <w:tc>
          <w:tcPr>
            <w:tcW w:w="4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56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39.6</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37.4</w:t>
            </w:r>
          </w:p>
        </w:tc>
        <w:tc>
          <w:tcPr>
            <w:tcW w:w="184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39.3</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37.1</w:t>
            </w:r>
          </w:p>
        </w:tc>
      </w:tr>
      <w:tr>
        <w:trPr>
          <w:trHeight w:val="277"/>
        </w:trPr>
        <w:tc>
          <w:tcPr>
            <w:tcW w:w="474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5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$0.36</w:t>
            </w:r>
          </w:p>
        </w:tc>
        <w:tc>
          <w:tcPr>
            <w:tcW w:w="1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$0.39</w:t>
            </w:r>
          </w:p>
        </w:tc>
        <w:tc>
          <w:tcPr>
            <w:tcW w:w="1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$1.19</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$1.05</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560" w:type="dxa"/>
            <w:vAlign w:val="bottom"/>
          </w:tcPr>
          <w:p>
            <w:pPr>
              <w:jc w:val="right"/>
              <w:ind w:right="630"/>
              <w:spacing w:after="0"/>
              <w:rPr>
                <w:sz w:val="20"/>
                <w:szCs w:val="20"/>
                <w:color w:val="auto"/>
              </w:rPr>
            </w:pPr>
            <w:r>
              <w:rPr>
                <w:rFonts w:ascii="Arial" w:cs="Arial" w:eastAsia="Arial" w:hAnsi="Arial"/>
                <w:sz w:val="18"/>
                <w:szCs w:val="18"/>
                <w:color w:val="auto"/>
              </w:rPr>
              <w:t>$0.35</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$0.39</w:t>
            </w: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$1.18</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$1.05</w:t>
            </w:r>
          </w:p>
        </w:tc>
      </w:tr>
      <w:tr>
        <w:trPr>
          <w:trHeight w:val="27"/>
        </w:trPr>
        <w:tc>
          <w:tcPr>
            <w:tcW w:w="4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47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560" w:type="dxa"/>
            <w:vAlign w:val="bottom"/>
          </w:tcPr>
          <w:p>
            <w:pPr>
              <w:jc w:val="right"/>
              <w:ind w:right="630"/>
              <w:spacing w:after="0"/>
              <w:rPr>
                <w:sz w:val="20"/>
                <w:szCs w:val="20"/>
                <w:color w:val="auto"/>
              </w:rPr>
            </w:pPr>
            <w:r>
              <w:rPr>
                <w:rFonts w:ascii="Arial" w:cs="Arial" w:eastAsia="Arial" w:hAnsi="Arial"/>
                <w:sz w:val="18"/>
                <w:szCs w:val="18"/>
                <w:color w:val="auto"/>
              </w:rPr>
              <w:t>$0.475</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$0.46</w:t>
            </w: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$0.95</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$0.92</w:t>
            </w:r>
          </w:p>
        </w:tc>
      </w:tr>
      <w:tr>
        <w:trPr>
          <w:trHeight w:val="27"/>
        </w:trPr>
        <w:tc>
          <w:tcPr>
            <w:tcW w:w="4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4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Jun.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384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384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jc w:val="right"/>
              <w:spacing w:after="0"/>
              <w:rPr>
                <w:sz w:val="20"/>
                <w:szCs w:val="20"/>
                <w:color w:val="auto"/>
              </w:rPr>
            </w:pPr>
            <w:r>
              <w:rPr>
                <w:rFonts w:ascii="Arial" w:cs="Arial" w:eastAsia="Arial" w:hAnsi="Arial"/>
                <w:sz w:val="18"/>
                <w:szCs w:val="18"/>
                <w:color w:val="auto"/>
              </w:rPr>
              <w:t>$193.1</w:t>
            </w:r>
          </w:p>
        </w:tc>
        <w:tc>
          <w:tcPr>
            <w:tcW w:w="840" w:type="dxa"/>
            <w:vAlign w:val="bottom"/>
          </w:tcPr>
          <w:p>
            <w:pPr>
              <w:jc w:val="right"/>
              <w:spacing w:after="0"/>
              <w:rPr>
                <w:sz w:val="20"/>
                <w:szCs w:val="20"/>
                <w:color w:val="auto"/>
              </w:rPr>
            </w:pPr>
            <w:r>
              <w:rPr>
                <w:rFonts w:ascii="Arial" w:cs="Arial" w:eastAsia="Arial" w:hAnsi="Arial"/>
                <w:sz w:val="18"/>
                <w:szCs w:val="18"/>
                <w:color w:val="auto"/>
              </w:rPr>
              <w:t>$283.4</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192.4</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2,397.2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2,347.6</w:t>
            </w:r>
          </w:p>
        </w:tc>
        <w:tc>
          <w:tcPr>
            <w:tcW w:w="384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435.5</w:t>
            </w:r>
          </w:p>
        </w:tc>
        <w:tc>
          <w:tcPr>
            <w:tcW w:w="840" w:type="dxa"/>
            <w:vAlign w:val="bottom"/>
          </w:tcPr>
          <w:p>
            <w:pPr>
              <w:jc w:val="right"/>
              <w:spacing w:after="0"/>
              <w:rPr>
                <w:sz w:val="20"/>
                <w:szCs w:val="20"/>
                <w:color w:val="auto"/>
              </w:rPr>
            </w:pPr>
            <w:r>
              <w:rPr>
                <w:rFonts w:ascii="Arial" w:cs="Arial" w:eastAsia="Arial" w:hAnsi="Arial"/>
                <w:sz w:val="18"/>
                <w:szCs w:val="18"/>
                <w:color w:val="auto"/>
              </w:rPr>
              <w:t>423.8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97"/>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spacing w:after="0"/>
              <w:rPr>
                <w:sz w:val="20"/>
                <w:szCs w:val="20"/>
                <w:color w:val="auto"/>
              </w:rPr>
            </w:pPr>
            <w:r>
              <w:rPr>
                <w:rFonts w:ascii="Arial" w:cs="Arial" w:eastAsia="Arial" w:hAnsi="Arial"/>
                <w:sz w:val="18"/>
                <w:szCs w:val="18"/>
                <w:color w:val="auto"/>
              </w:rPr>
              <w:t>111.2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384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216.2</w:t>
            </w:r>
          </w:p>
        </w:tc>
        <w:tc>
          <w:tcPr>
            <w:tcW w:w="840" w:type="dxa"/>
            <w:vAlign w:val="bottom"/>
          </w:tcPr>
          <w:p>
            <w:pPr>
              <w:jc w:val="right"/>
              <w:spacing w:after="0"/>
              <w:rPr>
                <w:sz w:val="20"/>
                <w:szCs w:val="20"/>
                <w:color w:val="auto"/>
              </w:rPr>
            </w:pPr>
            <w:r>
              <w:rPr>
                <w:rFonts w:ascii="Arial" w:cs="Arial" w:eastAsia="Arial" w:hAnsi="Arial"/>
                <w:sz w:val="18"/>
                <w:szCs w:val="18"/>
                <w:color w:val="auto"/>
              </w:rPr>
              <w:t>228.2</w:t>
            </w:r>
          </w:p>
        </w:tc>
      </w:tr>
      <w:tr>
        <w:trPr>
          <w:trHeight w:val="189"/>
        </w:trPr>
        <w:tc>
          <w:tcPr>
            <w:tcW w:w="3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40" w:type="dxa"/>
            <w:vAlign w:val="bottom"/>
          </w:tcPr>
          <w:p>
            <w:pPr>
              <w:ind w:left="260"/>
              <w:spacing w:after="0" w:line="189" w:lineRule="exact"/>
              <w:rPr>
                <w:sz w:val="20"/>
                <w:szCs w:val="20"/>
                <w:color w:val="auto"/>
              </w:rPr>
            </w:pPr>
            <w:r>
              <w:rPr>
                <w:rFonts w:ascii="Arial" w:cs="Arial" w:eastAsia="Arial" w:hAnsi="Arial"/>
                <w:sz w:val="18"/>
                <w:szCs w:val="18"/>
                <w:color w:val="auto"/>
              </w:rPr>
              <w:t>Postretirement Benefit Plans</w:t>
            </w: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384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380" w:type="dxa"/>
            <w:vAlign w:val="bottom"/>
          </w:tcPr>
          <w:p>
            <w:pPr>
              <w:jc w:val="right"/>
              <w:spacing w:after="0"/>
              <w:rPr>
                <w:sz w:val="20"/>
                <w:szCs w:val="20"/>
                <w:color w:val="auto"/>
              </w:rPr>
            </w:pPr>
            <w:r>
              <w:rPr>
                <w:rFonts w:ascii="Arial" w:cs="Arial" w:eastAsia="Arial" w:hAnsi="Arial"/>
                <w:sz w:val="18"/>
                <w:szCs w:val="18"/>
                <w:color w:val="auto"/>
              </w:rPr>
              <w:t>1,249.0</w:t>
            </w:r>
          </w:p>
        </w:tc>
        <w:tc>
          <w:tcPr>
            <w:tcW w:w="840" w:type="dxa"/>
            <w:vAlign w:val="bottom"/>
          </w:tcPr>
          <w:p>
            <w:pPr>
              <w:jc w:val="right"/>
              <w:spacing w:after="0"/>
              <w:rPr>
                <w:sz w:val="20"/>
                <w:szCs w:val="20"/>
                <w:color w:val="auto"/>
              </w:rPr>
            </w:pPr>
            <w:r>
              <w:rPr>
                <w:rFonts w:ascii="Arial" w:cs="Arial" w:eastAsia="Arial" w:hAnsi="Arial"/>
                <w:sz w:val="18"/>
                <w:szCs w:val="18"/>
                <w:color w:val="auto"/>
              </w:rPr>
              <w:t>1,201.0</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$3,253.4</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w:t>
            </w:r>
          </w:p>
        </w:tc>
      </w:tr>
      <w:tr>
        <w:trPr>
          <w:trHeight w:val="20"/>
        </w:trPr>
        <w:tc>
          <w:tcPr>
            <w:tcW w:w="30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280" w:type="dxa"/>
            <w:vAlign w:val="bottom"/>
          </w:tcPr>
          <w:p>
            <w:pPr>
              <w:spacing w:after="0"/>
              <w:rPr>
                <w:sz w:val="20"/>
                <w:szCs w:val="20"/>
                <w:color w:val="auto"/>
              </w:rPr>
            </w:pPr>
          </w:p>
        </w:tc>
        <w:tc>
          <w:tcPr>
            <w:tcW w:w="306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80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280" w:type="dxa"/>
            <w:vAlign w:val="bottom"/>
          </w:tcPr>
          <w:p>
            <w:pPr>
              <w:spacing w:after="0"/>
              <w:rPr>
                <w:sz w:val="23"/>
                <w:szCs w:val="23"/>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3"/>
                <w:szCs w:val="23"/>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800" w:type="dxa"/>
            <w:vAlign w:val="bottom"/>
          </w:tcPr>
          <w:p>
            <w:pPr>
              <w:jc w:val="right"/>
              <w:ind w:right="1110"/>
              <w:spacing w:after="0"/>
              <w:rPr>
                <w:sz w:val="20"/>
                <w:szCs w:val="20"/>
                <w:color w:val="auto"/>
              </w:rPr>
            </w:pPr>
            <w:r>
              <w:rPr>
                <w:rFonts w:ascii="Arial" w:cs="Arial" w:eastAsia="Arial" w:hAnsi="Arial"/>
                <w:sz w:val="18"/>
                <w:szCs w:val="18"/>
                <w:b w:val="1"/>
                <w:bCs w:val="1"/>
                <w:color w:val="auto"/>
              </w:rPr>
              <w:t>2013</w:t>
            </w:r>
          </w:p>
        </w:tc>
        <w:tc>
          <w:tcPr>
            <w:tcW w:w="1280" w:type="dxa"/>
            <w:vAlign w:val="bottom"/>
          </w:tcPr>
          <w:p>
            <w:pPr>
              <w:jc w:val="right"/>
              <w:ind w:right="810"/>
              <w:spacing w:after="0"/>
              <w:rPr>
                <w:sz w:val="20"/>
                <w:szCs w:val="20"/>
                <w:color w:val="auto"/>
              </w:rPr>
            </w:pPr>
            <w:r>
              <w:rPr>
                <w:rFonts w:ascii="Arial" w:cs="Arial" w:eastAsia="Arial" w:hAnsi="Arial"/>
                <w:sz w:val="18"/>
                <w:szCs w:val="18"/>
                <w:b w:val="1"/>
                <w:bCs w:val="1"/>
                <w:color w:val="auto"/>
                <w:w w:val="89"/>
              </w:rPr>
              <w:t>2012</w:t>
            </w:r>
          </w:p>
        </w:tc>
        <w:tc>
          <w:tcPr>
            <w:tcW w:w="190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80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$16.3</w:t>
            </w:r>
          </w:p>
        </w:tc>
        <w:tc>
          <w:tcPr>
            <w:tcW w:w="12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$14.4</w:t>
            </w:r>
          </w:p>
        </w:tc>
        <w:tc>
          <w:tcPr>
            <w:tcW w:w="19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$48.4</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$38.8</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2800" w:type="dxa"/>
            <w:vAlign w:val="bottom"/>
          </w:tcPr>
          <w:p>
            <w:pPr>
              <w:jc w:val="right"/>
              <w:ind w:right="770"/>
              <w:spacing w:after="0"/>
              <w:rPr>
                <w:sz w:val="20"/>
                <w:szCs w:val="20"/>
                <w:color w:val="auto"/>
              </w:rPr>
            </w:pPr>
            <w:r>
              <w:rPr>
                <w:rFonts w:ascii="Arial" w:cs="Arial" w:eastAsia="Arial" w:hAnsi="Arial"/>
                <w:sz w:val="18"/>
                <w:szCs w:val="18"/>
                <w:color w:val="auto"/>
              </w:rPr>
              <w:t>(2.3)</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90"/>
              <w:spacing w:after="0"/>
              <w:rPr>
                <w:sz w:val="20"/>
                <w:szCs w:val="20"/>
                <w:color w:val="auto"/>
              </w:rPr>
            </w:pPr>
            <w:r>
              <w:rPr>
                <w:rFonts w:ascii="Arial" w:cs="Arial" w:eastAsia="Arial" w:hAnsi="Arial"/>
                <w:sz w:val="18"/>
                <w:szCs w:val="18"/>
                <w:color w:val="auto"/>
              </w:rPr>
              <w:t>(1.9)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280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$14.0</w:t>
            </w:r>
          </w:p>
        </w:tc>
        <w:tc>
          <w:tcPr>
            <w:tcW w:w="12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$14.4</w:t>
            </w:r>
          </w:p>
        </w:tc>
        <w:tc>
          <w:tcPr>
            <w:tcW w:w="19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$46.5</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$38.8</w:t>
            </w: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$0.35</w:t>
            </w:r>
          </w:p>
        </w:tc>
        <w:tc>
          <w:tcPr>
            <w:tcW w:w="12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$0.39</w:t>
            </w:r>
          </w:p>
        </w:tc>
        <w:tc>
          <w:tcPr>
            <w:tcW w:w="19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$1.18</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$1.05</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588"/>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2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8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High</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$52.25</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$41.99</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$52.25</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$42.49</w:t>
            </w: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$46.85</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$38.03</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$41.39</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$38.03</w:t>
            </w: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Close</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$49.85</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$41.80</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$49.85</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$41.80</w:t>
            </w: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$31.12</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$29.24</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$31.12</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$29.24</w:t>
            </w:r>
          </w:p>
        </w:tc>
      </w:tr>
      <w:tr>
        <w:trPr>
          <w:trHeight w:val="594"/>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8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251</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226</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605</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552</w:t>
            </w:r>
          </w:p>
        </w:tc>
      </w:tr>
      <w:tr>
        <w:trPr>
          <w:trHeight w:val="243"/>
        </w:trPr>
        <w:tc>
          <w:tcPr>
            <w:tcW w:w="428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335</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326</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712</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690</w:t>
            </w: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225</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234</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499</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498</w:t>
            </w:r>
          </w:p>
        </w:tc>
      </w:tr>
      <w:tr>
        <w:trPr>
          <w:trHeight w:val="243"/>
        </w:trPr>
        <w:tc>
          <w:tcPr>
            <w:tcW w:w="428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1,769</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1,842</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3,614</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3,710</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2,580</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2,628</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5,430</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5,450</w:t>
            </w: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610</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492</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1,201</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1,009</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3,190</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3,120</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6,631</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6,459</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33</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64</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55</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3,223</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3,145</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6,695</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6,514</w:t>
            </w:r>
          </w:p>
        </w:tc>
      </w:tr>
      <w:tr>
        <w:trPr>
          <w:trHeight w:val="588"/>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8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Millions</w:t>
            </w:r>
          </w:p>
        </w:tc>
        <w:tc>
          <w:tcPr>
            <w:tcW w:w="2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8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2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$23.2</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$20.5</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$56.2</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$49.9</w:t>
            </w:r>
          </w:p>
        </w:tc>
      </w:tr>
      <w:tr>
        <w:trPr>
          <w:trHeight w:val="243"/>
        </w:trPr>
        <w:tc>
          <w:tcPr>
            <w:tcW w:w="428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27.5</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24.7</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58.8</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51.9</w:t>
            </w: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15.8</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13.9</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32.4</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31.3</w:t>
            </w:r>
          </w:p>
        </w:tc>
      </w:tr>
      <w:tr>
        <w:trPr>
          <w:trHeight w:val="243"/>
        </w:trPr>
        <w:tc>
          <w:tcPr>
            <w:tcW w:w="428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95.4</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93.5</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197.6</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191.3</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Municipals</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161.9</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152.6</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345.0</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324.4</w:t>
            </w:r>
          </w:p>
        </w:tc>
      </w:tr>
      <w:tr>
        <w:trPr>
          <w:trHeight w:val="243"/>
        </w:trPr>
        <w:tc>
          <w:tcPr>
            <w:tcW w:w="428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22.4</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17.7</w:t>
            </w: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44.7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36.4</w:t>
            </w:r>
          </w:p>
        </w:tc>
      </w:tr>
      <w:tr>
        <w:trPr>
          <w:trHeight w:val="27"/>
        </w:trPr>
        <w:tc>
          <w:tcPr>
            <w:tcW w:w="4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31.5</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26.7</w:t>
            </w:r>
          </w:p>
        </w:tc>
        <w:tc>
          <w:tcPr>
            <w:tcW w:w="19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67.5</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54.8</w:t>
            </w:r>
          </w:p>
        </w:tc>
      </w:tr>
      <w:tr>
        <w:trPr>
          <w:trHeight w:val="237"/>
        </w:trPr>
        <w:tc>
          <w:tcPr>
            <w:tcW w:w="4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8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$215.8</w:t>
            </w:r>
          </w:p>
        </w:tc>
        <w:tc>
          <w:tcPr>
            <w:tcW w:w="12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$197.0</w:t>
            </w:r>
          </w:p>
        </w:tc>
        <w:tc>
          <w:tcPr>
            <w:tcW w:w="19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$457.2</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$415.6</w:t>
            </w:r>
          </w:p>
        </w:tc>
      </w:tr>
      <w:tr>
        <w:trPr>
          <w:trHeight w:val="27"/>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32"/>
    </w:lvl>
  </w:abstractNum>
  <w:abstractNum w:abstractNumId="12">
    <w:nsid w:val="431BD7B7"/>
    <w:multiLevelType w:val="hybridMultilevel"/>
    <w:lvl w:ilvl="0">
      <w:lvlJc w:val="left"/>
      <w:lvlText w:val="%1"/>
      <w:numFmt w:val="decimal"/>
      <w:start w:val="99"/>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lvl w:ilvl="1">
      <w:lvlJc w:val="left"/>
      <w:lvlText w:val="(%2)"/>
      <w:numFmt w:val="lowerLetter"/>
      <w:start w:val="1"/>
    </w:lvl>
  </w:abstractNum>
  <w:abstractNum w:abstractNumId="15">
    <w:nsid w:val="257130A3"/>
    <w:multiLevelType w:val="hybridMultilevel"/>
    <w:lvl w:ilvl="0">
      <w:lvlJc w:val="left"/>
      <w:lvlText w:val="(%1)"/>
      <w:numFmt w:val="lowerLetter"/>
      <w:start w:val="3"/>
    </w:lvl>
    <w:lvl w:ilvl="1">
      <w:lvlJc w:val="left"/>
      <w:lvlText w:val="%2"/>
      <w:numFmt w:val="lowerLetter"/>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2019-12-05T12:56:27Z</dcterms:created>
  <dcterms:modified xsi:type="dcterms:W3CDTF">2019-12-05T12:56:27Z</dcterms:modified>
</cp:coreProperties>
</file>